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Calibri" w:cs="Calibri"/>
          <w:b/>
          <w:b/>
          <w:position w:val="0"/>
          <w:sz w:val="22"/>
          <w:vertAlign w:val="baseline"/>
        </w:rPr>
      </w:pPr>
      <w:r>
        <w:rPr>
          <w:rFonts w:eastAsia="Calibri" w:cs="Calibri"/>
          <w:b/>
          <w:position w:val="0"/>
          <w:sz w:val="22"/>
          <w:vertAlign w:val="baseline"/>
        </w:rPr>
      </w:r>
    </w:p>
    <w:p>
      <w:pPr>
        <w:pStyle w:val="Normal"/>
        <w:shd w:val="clear" w:fill="BDD6EE"/>
        <w:jc w:val="center"/>
        <w:rPr>
          <w:position w:val="0"/>
          <w:sz w:val="22"/>
          <w:vertAlign w:val="baseline"/>
        </w:rPr>
      </w:pPr>
      <w:r>
        <w:rPr>
          <w:rFonts w:eastAsia="Calibri" w:cs="Calibri"/>
          <w:b/>
          <w:position w:val="0"/>
          <w:sz w:val="36"/>
          <w:sz w:val="36"/>
          <w:szCs w:val="36"/>
          <w:vertAlign w:val="baseline"/>
        </w:rPr>
        <w:t>CAMPUS SERRA TALHADA</w:t>
      </w:r>
    </w:p>
    <w:tbl>
      <w:tblPr>
        <w:tblStyle w:val="Table1"/>
        <w:tblW w:w="1399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8074"/>
        <w:gridCol w:w="2410"/>
        <w:gridCol w:w="3510"/>
      </w:tblGrid>
      <w:tr>
        <w:trPr/>
        <w:tc>
          <w:tcPr>
            <w:tcW w:w="8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8D08D" w:val="clear"/>
            <w:tcMar>
              <w:left w:w="103" w:type="dxa"/>
            </w:tcMar>
          </w:tcPr>
          <w:p>
            <w:pPr>
              <w:pStyle w:val="Normal"/>
              <w:shd w:val="clear" w:fill="A8D08D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TIPO DE POSTO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8D08D" w:val="clear"/>
            <w:tcMar>
              <w:left w:w="103" w:type="dxa"/>
            </w:tcMar>
          </w:tcPr>
          <w:p>
            <w:pPr>
              <w:pStyle w:val="Normal"/>
              <w:shd w:val="clear" w:fill="A8D08D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NÚMERO DE POSTOS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8D08D" w:val="clear"/>
            <w:tcMar>
              <w:left w:w="103" w:type="dxa"/>
            </w:tcMar>
          </w:tcPr>
          <w:p>
            <w:pPr>
              <w:pStyle w:val="Normal"/>
              <w:shd w:val="clear" w:fill="A8D08D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QUANTIDADE DE EMPREGADOS</w:t>
            </w:r>
          </w:p>
        </w:tc>
      </w:tr>
      <w:tr>
        <w:trPr/>
        <w:tc>
          <w:tcPr>
            <w:tcW w:w="8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8D08D" w:val="clear"/>
            <w:tcMar>
              <w:left w:w="103" w:type="dxa"/>
            </w:tcMar>
          </w:tcPr>
          <w:p>
            <w:pPr>
              <w:pStyle w:val="Normal"/>
              <w:shd w:val="clear" w:fill="A8D08D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VIGILANCIA ARMADA NOTURNA NÃO MOTORIZADA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8D08D" w:val="clear"/>
            <w:tcMar>
              <w:left w:w="103" w:type="dxa"/>
            </w:tcMar>
          </w:tcPr>
          <w:p>
            <w:pPr>
              <w:pStyle w:val="Normal"/>
              <w:shd w:val="clear" w:fill="A8D08D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</w:t>
            </w:r>
          </w:p>
        </w:tc>
        <w:tc>
          <w:tcPr>
            <w:tcW w:w="3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8D08D" w:val="clear"/>
            <w:tcMar>
              <w:left w:w="103" w:type="dxa"/>
            </w:tcMar>
          </w:tcPr>
          <w:p>
            <w:pPr>
              <w:pStyle w:val="Normal"/>
              <w:shd w:val="clear" w:fill="A8D08D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04</w:t>
            </w:r>
          </w:p>
        </w:tc>
      </w:tr>
    </w:tbl>
    <w:p>
      <w:pPr>
        <w:pStyle w:val="Normal"/>
        <w:shd w:val="clear" w:fill="FFFFFF"/>
        <w:jc w:val="center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tbl>
      <w:tblPr>
        <w:tblStyle w:val="Table2"/>
        <w:tblW w:w="1399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726"/>
        <w:gridCol w:w="4629"/>
        <w:gridCol w:w="1855"/>
        <w:gridCol w:w="1794"/>
        <w:gridCol w:w="1448"/>
        <w:gridCol w:w="1951"/>
        <w:gridCol w:w="1589"/>
      </w:tblGrid>
      <w:tr>
        <w:trPr/>
        <w:tc>
          <w:tcPr>
            <w:tcW w:w="139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DD6EE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36"/>
                <w:sz w:val="36"/>
                <w:szCs w:val="36"/>
                <w:vertAlign w:val="baseline"/>
              </w:rPr>
              <w:t>FARDAMENTO POR POSTO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 xml:space="preserve">ITEM </w:t>
            </w:r>
          </w:p>
        </w:tc>
        <w:tc>
          <w:tcPr>
            <w:tcW w:w="4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DESCRIÇÃO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UNIDADE DE FORNECIMENTO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PERIODICIDADE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TIPO DE USO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QUANTIDADE ANUAL POR POSTO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QUANTIDADE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TOTAL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4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 xml:space="preserve">Bota tipo coturno tipo Militar com as seguintes especificações: FORRAÇÃO: Tecido poliéster, poliamida dublado, forro do colarinho em trama </w:t>
            </w:r>
            <w:r>
              <w:rPr>
                <w:sz w:val="24"/>
                <w:szCs w:val="24"/>
              </w:rPr>
              <w:t>colméia</w:t>
            </w: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; PALMILHA CONFORTO confeccionada em poliuretano de alta resiliência, conformada, e tecido poliéster para absorção de suor; SOLADO CORVETA Solado de borracha de alto desempenho; Resistência a altas temperaturas até 300º C Blaqueação total;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Par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 pares por posto a cada 06 meses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individual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04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08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4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Boné na cor preta com emblema da empresa com as seguintes especificações: Confeccionado em tecido Rip Stop Profissional; Tamanho único; Velcro na parte de trás que permita a regulagem   da numeração entre 54 e 62; que possua 2 ilhóses em cada lado do boné, para respiro; comprimento da Aba, medido na parte central: 6,5 cm e na Largura da Aba: 17 cm; e que seja extremamente maleável, leve e resistente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 unidades por posto a cada 06 meses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Individual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04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08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4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Calça tática na cor preta tipo Rip Stop com as seguintes especificações: Material/tecido: 67% Algodão e 33% Poliéster em Rip Stop; costura dupla; material reforçado; tecido confortável; reforço nos joelhos; fácil de lavar; possui 06 Bolsos, sendo 02 Traseiros, 02 Laterais e 02 Frontais.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 unidades por posto a cada 04 meses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Individual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06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12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4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Camisa tática na cor preta de manga curta tipo Ripstop com as seguintes especificações: Material/tecido: 67% Algodão e 33% Poliéster em Rip Stop; costura dupla; material reforçado; tecido confortável, fechamento com botão; martingali nos ombros; velcro acima do bolso direito; dois bolsos frontais superiores com lapela; bolso esquerdo com abertura para entrada de caneta; costa lisa sem recortes para aplicação de bordado ou estampa.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 unidades por posto a cada 04 meses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Individual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06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12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4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Capa de chuva com emblema da empresa com as seguintes especificações: Confeccionada em Nylon emborrachado impermeável; Capuz com regulagem através de cordão com travador; possui 10 pares de botões de pressão, sendo cada botão possui um lado macho e outra fêmea; Possui dois bolsos tipo envelope medindo 120 mm x 130 mm, com fechamento através de botões; Sutache para identificação acima do bolso direito; Nos ombros contém duas lapelas medindo 120 mm x 50 mm para fixação de platinas com fechamento através de botões.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 por posto a cada 12 meses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Individual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04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4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Cinto de nylon: na cor preta com as seguintes especificações: material do cinto em Nylon; comprimento 125 cm; largura 5.5 cm; material da fivela Polímero; feche de encaixe seguro e rápido; ajustável para qualquer cintura; modelo Padrão N.A.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 por posto a cada 06 meses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Individual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04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08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4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Crachá de PVC completo com cordão personalizado com o emblema da empresa, com as seguintes especificações: Cordão com 2 cm de largura impressão colorida frente e verso podendo ser com mosquete ou prendedor jacaré; Crachá em pvc de 1mm com laminação fosca anti reflexo; Impressão no crachá frente e verso com as seguintes dimensões: 9 x 6 cm, sendo Altura: 9.00 cm e Largura: 6.00 cm.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 por posto a cada 12 meses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Individual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04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4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Jaqueta de Frio ou Japona tipo Rip Stop na cor preta com as seguintes especificações: confeccionado em tecido Rip Stop Profissional; Forro interno em tecido 100% Poliéster; 4 bolsos frontais com tampa; fechamento com zíper e botões; com touca que pode ser ocultada em um compartimento especial; e cordão que impede a entrada de vento pela parte inferior da japona.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 por posto a cada 12 meses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Individual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04</w:t>
            </w:r>
          </w:p>
        </w:tc>
      </w:tr>
      <w:tr>
        <w:trPr>
          <w:trHeight w:val="98" w:hRule="atLeast"/>
        </w:trPr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4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Meia do tipo militar na cor preta com as seguintes especificações: Ideal para usar em calçado bota tipo coturno; Composição: 52,64% Algodão / 46% Poliamida / 1,36% Elastodieno; Constituída de perna, calcanhar e pé; tamanho único.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 pares, por posto, a cada 03 meses</w:t>
            </w:r>
          </w:p>
        </w:tc>
        <w:tc>
          <w:tcPr>
            <w:tcW w:w="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Individual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bookmarkStart w:id="0" w:name="_heading=h.gjdgxs"/>
            <w:bookmarkEnd w:id="0"/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08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16</w:t>
            </w:r>
          </w:p>
        </w:tc>
      </w:tr>
    </w:tbl>
    <w:p>
      <w:pPr>
        <w:pStyle w:val="Normal"/>
        <w:jc w:val="center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"/>
        <w:jc w:val="center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tbl>
      <w:tblPr>
        <w:tblStyle w:val="Table3"/>
        <w:tblW w:w="1399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726"/>
        <w:gridCol w:w="4331"/>
        <w:gridCol w:w="1855"/>
        <w:gridCol w:w="1877"/>
        <w:gridCol w:w="1756"/>
        <w:gridCol w:w="1858"/>
        <w:gridCol w:w="1589"/>
      </w:tblGrid>
      <w:tr>
        <w:trPr/>
        <w:tc>
          <w:tcPr>
            <w:tcW w:w="139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DD6EE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36"/>
                <w:sz w:val="36"/>
                <w:szCs w:val="36"/>
                <w:vertAlign w:val="baseline"/>
              </w:rPr>
              <w:t>EQUIPAMENTOS DE PROTEÇÃO INDIVIDUAL POR POSTO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 xml:space="preserve">ITEM </w:t>
            </w: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DESCRIÇÃO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UNIDADE DE FORNECIMENTO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PERIODICIDADE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TIPO DE USO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QUANTIDADE ANUAL POR POSTO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QUANTIDADE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TOTAL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Algemas: Algema, material: aço carbono aisi 1020, tratamento superficial: niquelado, aplicação: pulso, características adicionais: com dobradiça, trava e porta algemas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01 por posto a cada 12 meses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Compartilhado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Apito com cordão: Apito, material: metal ou plástico; aplicação: vigia, tamanho: médio, características adicionais: com cordão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02, por posto, a cada 12 meses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Individual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04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Cassetete. material: polímero; comprimento: aproximadamente 58 cm; tipo: tonfa; formato: anatômico; características adicionais: cor preta, cabo sulcos transversais toda extensão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</w:t>
            </w:r>
            <w:r>
              <w:rPr>
                <w:sz w:val="24"/>
                <w:szCs w:val="24"/>
              </w:rPr>
              <w:t>1</w:t>
            </w: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, por posto, a cada 12 meses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sz w:val="24"/>
                <w:szCs w:val="24"/>
              </w:rPr>
              <w:t>Compartilhado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sz w:val="24"/>
                <w:szCs w:val="24"/>
              </w:rPr>
              <w:t>02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Capa e Colete a prova de balas com as seguintes especificações: Colete balístico com NÍVEL DE PROTEÇÃO: Nível de proteção II. Colete Multiameaça para uso policial Nível II, confeccionado em material leve e flexível em tecido de Aramida, para proteção simultânea contra-ataques de objetos e ou instrumentos pontiagudos (SPIKE), com energia de impacto E1 igual a 33 Joules + 0,60, e E2 igual a 50 Joules.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02, por posto, a cada 12 meses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Individual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04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Cinto tático com coldre, porta tonfa, baleiro e porta lanterna. Com regulagem com velcro. Em tecido Rip-stop extra forte. Confeccionado com material durável, de alta resistência, com excelente acabamento na cor preta. O cinto deverá ser novo, de primeiro uso.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02, por posto, a cada 12 meses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Individual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04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Lanterna LED tática profissional com as seguintes especificações: Multifunção inteligente: acendimento sempre no modo de alta intensidade; 300 lumens; 2 horas de autonomia; Resistente à água (IPX6); Foco regulável com a função zoom; 5 funções com multifunção inteligente; Compacta; LED Cree XML2 U2 para uso profissional; Acionamento traseiro multifunção: alta, baixa, velada, estrobo e S.O.S; Empunhadura ergonômica com textura antiderrapante e clip tático; Design tático compacto, em alumínio aeroespacial; Recarregável, incluindo bateria 18650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01 por posto, a cada 06 meses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Compartilhado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04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Rádio de comunicação. Rádio comunicador UHF/VHF, bivolt, com entrada para fones de ouvido/microfone e com bateria recarregável. Área de cobertura de no mínimo 4km; Acessórios: carregador rápido bivolt, clipe cinto, fone ouvido.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01 por posto a cada 12 meses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Compartilhado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4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Revólver calibre 38: comprimento do cano de 5 a 6 Polegadas; capacidade de 6 a 7 tiros</w:t>
            </w:r>
          </w:p>
        </w:tc>
        <w:tc>
          <w:tcPr>
            <w:tcW w:w="1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01 por posto a cada 12 meses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Compartilhado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01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</w:t>
            </w:r>
          </w:p>
        </w:tc>
      </w:tr>
    </w:tbl>
    <w:p>
      <w:pPr>
        <w:pStyle w:val="Normal"/>
        <w:jc w:val="center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"/>
        <w:jc w:val="center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"/>
        <w:jc w:val="center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"/>
        <w:jc w:val="center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tbl>
      <w:tblPr>
        <w:tblStyle w:val="Table4"/>
        <w:tblW w:w="1399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726"/>
        <w:gridCol w:w="4093"/>
        <w:gridCol w:w="2246"/>
        <w:gridCol w:w="1859"/>
        <w:gridCol w:w="1700"/>
        <w:gridCol w:w="1842"/>
        <w:gridCol w:w="1526"/>
      </w:tblGrid>
      <w:tr>
        <w:trPr/>
        <w:tc>
          <w:tcPr>
            <w:tcW w:w="1399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DD6EE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36"/>
                <w:sz w:val="36"/>
                <w:szCs w:val="36"/>
                <w:vertAlign w:val="baseline"/>
              </w:rPr>
              <w:t>MATERIAL DE CONSUMO POR POSTO DE TRABALHO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 xml:space="preserve">ITEM </w:t>
            </w:r>
          </w:p>
        </w:tc>
        <w:tc>
          <w:tcPr>
            <w:tcW w:w="4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DESCRIÇÃO</w:t>
            </w: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UNIDADE DE FORNECIMENTO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PERIODICIDADE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TIPO DE USO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QUANTIDADE ANUAL POR POSTO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TOTAL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4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Caneta esferográfica na cor azul ou preta</w:t>
            </w: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02, por posto, a cada 06 meses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Compartilhado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04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08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4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Livro de ocorrências. Livro tipo atas em margens. Folhas numeradas tipograficamente e acabamento em capa dura. Dimensão 21,10cm x 30,80cm</w:t>
            </w: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01, por posto, a cada 12 meses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Compartilhado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01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02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4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Munição calibre 38. Projétil munição arma fogo, material: chumbo, calibre: .38, tipo: ogival, peso: 158 g, aplicação: revólver, calibre .38 especial</w:t>
            </w: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06, por posto, a cada 06 meses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Compartilhado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12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24</w:t>
            </w:r>
          </w:p>
        </w:tc>
      </w:tr>
    </w:tbl>
    <w:p>
      <w:pPr>
        <w:pStyle w:val="Normal"/>
        <w:jc w:val="center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"/>
        <w:jc w:val="center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"/>
        <w:jc w:val="center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"/>
        <w:jc w:val="center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"/>
        <w:jc w:val="center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tbl>
      <w:tblPr>
        <w:tblStyle w:val="Table5"/>
        <w:tblW w:w="1399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726"/>
        <w:gridCol w:w="3803"/>
        <w:gridCol w:w="2211"/>
        <w:gridCol w:w="2545"/>
        <w:gridCol w:w="2352"/>
        <w:gridCol w:w="2355"/>
      </w:tblGrid>
      <w:tr>
        <w:trPr/>
        <w:tc>
          <w:tcPr>
            <w:tcW w:w="139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DD6EE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36"/>
                <w:sz w:val="36"/>
                <w:szCs w:val="36"/>
                <w:vertAlign w:val="baseline"/>
              </w:rPr>
              <w:t>EQUIPAMENTOS UTILIZADOS POR POSTO DE TRABALHO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 xml:space="preserve">ITEM </w:t>
            </w:r>
          </w:p>
        </w:tc>
        <w:tc>
          <w:tcPr>
            <w:tcW w:w="3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DESCRIÇÃO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UNIDADE DE FORNECIMENTO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PERIODICIDADE</w:t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TIPO DE USO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b/>
                <w:position w:val="0"/>
                <w:sz w:val="24"/>
                <w:sz w:val="24"/>
                <w:szCs w:val="24"/>
                <w:vertAlign w:val="baseline"/>
              </w:rPr>
              <w:t>QUANTIDADE</w:t>
            </w:r>
          </w:p>
        </w:tc>
      </w:tr>
      <w:tr>
        <w:trPr/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3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 xml:space="preserve">Cofre para armazenamento de armas e munições. </w:t>
            </w:r>
          </w:p>
        </w:tc>
        <w:tc>
          <w:tcPr>
            <w:tcW w:w="2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Unidade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01 durante a vigência contratual</w:t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Compartilhado</w:t>
            </w:r>
          </w:p>
        </w:tc>
        <w:tc>
          <w:tcPr>
            <w:tcW w:w="2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position w:val="0"/>
                <w:sz w:val="22"/>
                <w:vertAlign w:val="baseline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</w:rPr>
              <w:t>01</w:t>
            </w:r>
          </w:p>
        </w:tc>
      </w:tr>
    </w:tbl>
    <w:p>
      <w:pPr>
        <w:pStyle w:val="Normal"/>
        <w:jc w:val="center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  <w:t xml:space="preserve">Obs. Os itens descritos devem ser entregues no </w:t>
      </w:r>
      <w:r>
        <w:rPr/>
        <w:t>início</w:t>
      </w:r>
      <w:r>
        <w:rPr>
          <w:position w:val="0"/>
          <w:sz w:val="22"/>
          <w:vertAlign w:val="baseline"/>
        </w:rPr>
        <w:t xml:space="preserve"> da vigência contratual. Quando se tratar de itens com entregas parceladas as demais entregas deverão ser efetuadas de acordo com a solicitação da contratante. </w:t>
      </w:r>
    </w:p>
    <w:p>
      <w:pPr>
        <w:pStyle w:val="Normal"/>
        <w:jc w:val="center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position w:val="0"/>
          <w:sz w:val="22"/>
          <w:vertAlign w:val="baseline"/>
        </w:rPr>
      </w:pPr>
      <w:r>
        <w:rPr/>
        <w:t>Serra Talhada - PE, 25/08/2020</w:t>
      </w:r>
    </w:p>
    <w:p>
      <w:pPr>
        <w:pStyle w:val="Normal"/>
        <w:jc w:val="right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867025" cy="750570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772" t="-14901" r="-2297" b="8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t>Marcondes Melo da Silva</w:t>
      </w:r>
    </w:p>
    <w:p>
      <w:pPr>
        <w:pStyle w:val="Normal"/>
        <w:jc w:val="center"/>
        <w:rPr/>
      </w:pPr>
      <w:r>
        <w:rPr/>
        <w:t>Coord. de Planejamento, Licitações e Compras - CST</w:t>
      </w:r>
    </w:p>
    <w:p>
      <w:pPr>
        <w:pStyle w:val="Normal"/>
        <w:jc w:val="center"/>
        <w:rPr/>
      </w:pPr>
      <w:r>
        <w:rPr/>
        <w:t>Mat. SIAPE 1881506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160"/>
        <w:jc w:val="center"/>
        <w:rPr/>
      </w:pPr>
      <w:r>
        <w:rPr/>
      </w:r>
    </w:p>
    <w:sectPr>
      <w:headerReference w:type="default" r:id="rId3"/>
      <w:type w:val="nextPage"/>
      <w:pgSz w:w="16838" w:h="11906"/>
      <w:pgMar w:left="1417" w:right="1417" w:header="708" w:top="1701" w:footer="0" w:bottom="1701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0"/>
        <w:szCs w:val="20"/>
        <w:highlight w:val="white"/>
        <w:u w:val="none"/>
        <w:vertAlign w:val="baseline"/>
      </w:rPr>
    </w:pPr>
    <w:r>
      <w:rPr/>
      <w:drawing>
        <wp:inline distT="0" distB="0" distL="0" distR="0">
          <wp:extent cx="1311910" cy="60007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2380" t="0" r="-12638" b="0"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708660" cy="699135"/>
          <wp:effectExtent l="0" t="0" r="0" b="0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920" t="0" r="-18920" b="0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keepNext/>
      <w:keepLines w:val="false"/>
      <w:widowControl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highlight w:val="white"/>
        <w:u w:val="none"/>
        <w:vertAlign w:val="baseline"/>
      </w:rPr>
    </w:pP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FFFFFF" w:val="clear"/>
        <w:vertAlign w:val="baseline"/>
      </w:rPr>
      <w:t>SERVIÇO PÚBLICO FEDERAL</w:t>
    </w:r>
  </w:p>
  <w:p>
    <w:pPr>
      <w:pStyle w:val="Normal"/>
      <w:keepNext/>
      <w:keepLines w:val="false"/>
      <w:widowControl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highlight w:val="white"/>
        <w:u w:val="none"/>
        <w:vertAlign w:val="baseline"/>
      </w:rPr>
    </w:pP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FFFFFF" w:val="clear"/>
        <w:vertAlign w:val="baseline"/>
      </w:rPr>
      <w:t>MINISTÉRIO DA EDUCAÇÃO</w:t>
    </w:r>
  </w:p>
  <w:p>
    <w:pPr>
      <w:pStyle w:val="Normal"/>
      <w:keepNext/>
      <w:keepLines w:val="false"/>
      <w:widowControl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highlight w:val="white"/>
        <w:u w:val="none"/>
        <w:vertAlign w:val="baseline"/>
      </w:rPr>
    </w:pP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FFFFFF" w:val="clear"/>
        <w:vertAlign w:val="baseline"/>
      </w:rPr>
      <w:t>SECRETARIA DE EDUCAÇÃO PROFISSIONAL E TECNOLÓGICA</w:t>
    </w:r>
  </w:p>
  <w:p>
    <w:pPr>
      <w:pStyle w:val="Normal"/>
      <w:keepNext/>
      <w:keepLines w:val="false"/>
      <w:widowControl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highlight w:val="white"/>
        <w:u w:val="none"/>
        <w:vertAlign w:val="baseline"/>
      </w:rPr>
    </w:pP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FFFFFF" w:val="clear"/>
        <w:vertAlign w:val="baseline"/>
      </w:rPr>
      <w:t>INSTITUTO FEDERAL DE EDUCAÇÃO, CIÊNCIA E TECNOLOGIA DO SERTÃO PERNAMBUCANO</w:t>
    </w:r>
  </w:p>
  <w:p>
    <w:pPr>
      <w:pStyle w:val="Normal"/>
      <w:keepNext/>
      <w:keepLines w:val="false"/>
      <w:widowControl/>
      <w:pBdr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>
        <w:spacing w:lineRule="auto" w:line="259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lineRule="auto" w:line="259" w:before="0" w:after="160"/>
      <w:jc w:val="left"/>
      <w:textAlignment w:val="top"/>
      <w:outlineLvl w:val="0"/>
    </w:pPr>
    <w:rPr>
      <w:rFonts w:ascii="Calibri" w:hAnsi="Calibri" w:eastAsia="Calibri" w:cs=""/>
      <w:color w:val="auto"/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Ttulo1">
    <w:name w:val="Título 1"/>
    <w:basedOn w:val="Normal1"/>
    <w:next w:val="Normal"/>
    <w:pPr>
      <w:keepNext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Título 2"/>
    <w:basedOn w:val="Normal1"/>
    <w:next w:val="Normal"/>
    <w:pPr>
      <w:keepNext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Título 3"/>
    <w:basedOn w:val="Normal1"/>
    <w:next w:val="Normal"/>
    <w:pPr>
      <w:keepNext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Título 4"/>
    <w:basedOn w:val="Normal1"/>
    <w:next w:val="Normal"/>
    <w:pPr>
      <w:keepNext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Título 5"/>
    <w:basedOn w:val="Normal1"/>
    <w:next w:val="Normal"/>
    <w:pPr>
      <w:keepNext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Título 6"/>
    <w:basedOn w:val="Normal1"/>
    <w:next w:val="Normal"/>
    <w:pPr>
      <w:keepNext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>
      <w:w w:val="100"/>
      <w:position w:val="0"/>
      <w:sz w:val="22"/>
      <w:effect w:val="none"/>
      <w:vertAlign w:val="baseline"/>
      <w:em w:val="none"/>
    </w:rPr>
  </w:style>
  <w:style w:type="character" w:styleId="CabealhoChar">
    <w:name w:val="Cabeçalho Char"/>
    <w:basedOn w:val="DefaultParagraphFont"/>
    <w:qFormat/>
    <w:rPr>
      <w:w w:val="100"/>
      <w:position w:val="0"/>
      <w:sz w:val="22"/>
      <w:effect w:val="none"/>
      <w:vertAlign w:val="baseline"/>
      <w:em w:val="none"/>
    </w:rPr>
  </w:style>
  <w:style w:type="character" w:styleId="RodapChar">
    <w:name w:val="Rodapé Char"/>
    <w:basedOn w:val="DefaultParagraphFont"/>
    <w:qFormat/>
    <w:rPr>
      <w:w w:val="100"/>
      <w:position w:val="0"/>
      <w:sz w:val="22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>
    <w:name w:val="Texto de comentário Char"/>
    <w:basedOn w:val="DefaultParagraphFont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AssuntodocomentrioChar">
    <w:name w:val="Assunto do comentário Char"/>
    <w:basedOn w:val="TextodecomentrioChar"/>
    <w:qFormat/>
    <w:rPr>
      <w:b/>
      <w:bCs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TextodebaloChar">
    <w:name w:val="Texto de balão Char"/>
    <w:basedOn w:val="DefaultParagraphFont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</w:rPr>
  </w:style>
  <w:style w:type="paragraph" w:styleId="Ttulo">
    <w:name w:val="Título"/>
    <w:basedOn w:val="Normal1"/>
    <w:next w:val="Corpodetexto"/>
    <w:qFormat/>
    <w:pPr>
      <w:keepNext/>
      <w:widowControl/>
      <w:suppressAutoHyphens w:val="false"/>
      <w:bidi w:val="0"/>
      <w:spacing w:lineRule="auto" w:line="259" w:before="240" w:after="120"/>
      <w:jc w:val="left"/>
      <w:textAlignment w:val="top"/>
      <w:outlineLvl w:val="0"/>
    </w:pPr>
    <w:rPr>
      <w:rFonts w:ascii="Liberation Sans" w:hAnsi="Liberation Sans" w:eastAsia="Microsoft YaHei" w:cs="Lucida Sans"/>
      <w:w w:val="100"/>
      <w:position w:val="0"/>
      <w:sz w:val="28"/>
      <w:sz w:val="28"/>
      <w:szCs w:val="28"/>
      <w:effect w:val="none"/>
      <w:vertAlign w:val="baseline"/>
      <w:em w:val="none"/>
      <w:lang w:val="pt-BR" w:eastAsia="en-US" w:bidi="ar-SA"/>
    </w:rPr>
  </w:style>
  <w:style w:type="paragraph" w:styleId="Corpodetexto">
    <w:name w:val="Corpo de texto"/>
    <w:basedOn w:val="Normal1"/>
    <w:qFormat/>
    <w:pPr>
      <w:widowControl/>
      <w:suppressAutoHyphens w:val="false"/>
      <w:bidi w:val="0"/>
      <w:spacing w:lineRule="auto" w:line="276" w:before="0" w:after="140"/>
      <w:jc w:val="left"/>
      <w:textAlignment w:val="top"/>
      <w:outlineLvl w:val="0"/>
    </w:pPr>
    <w:rPr>
      <w:rFonts w:ascii="Calibri" w:hAnsi="Calibri" w:eastAsia="Calibri" w:cs=""/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Lista">
    <w:name w:val="Lista"/>
    <w:basedOn w:val="Corpodetexto"/>
    <w:qFormat/>
    <w:pPr>
      <w:widowControl/>
      <w:suppressAutoHyphens w:val="false"/>
      <w:bidi w:val="0"/>
      <w:spacing w:lineRule="auto" w:line="276" w:before="0" w:after="140"/>
      <w:jc w:val="left"/>
      <w:textAlignment w:val="top"/>
      <w:outlineLvl w:val="0"/>
    </w:pPr>
    <w:rPr>
      <w:rFonts w:ascii="Calibri" w:hAnsi="Calibri" w:eastAsia="Calibri" w:cs="Lucida Sans"/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Legenda">
    <w:name w:val="Legenda"/>
    <w:basedOn w:val="Normal1"/>
    <w:qFormat/>
    <w:pPr>
      <w:widowControl/>
      <w:suppressLineNumbers/>
      <w:suppressAutoHyphens w:val="false"/>
      <w:bidi w:val="0"/>
      <w:spacing w:lineRule="auto" w:line="259" w:before="120" w:after="120"/>
      <w:jc w:val="left"/>
      <w:textAlignment w:val="top"/>
      <w:outlineLvl w:val="0"/>
    </w:pPr>
    <w:rPr>
      <w:rFonts w:ascii="Calibri" w:hAnsi="Calibri" w:eastAsia="Calibri" w:cs="Lucida 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en-US" w:bidi="ar-SA"/>
    </w:rPr>
  </w:style>
  <w:style w:type="paragraph" w:styleId="Ndice">
    <w:name w:val="Índice"/>
    <w:basedOn w:val="Normal1"/>
    <w:qFormat/>
    <w:pPr>
      <w:widowControl/>
      <w:suppressLineNumbers/>
      <w:suppressAutoHyphens w:val="false"/>
      <w:bidi w:val="0"/>
      <w:spacing w:lineRule="auto" w:line="259" w:before="0" w:after="160"/>
      <w:jc w:val="left"/>
      <w:textAlignment w:val="top"/>
      <w:outlineLvl w:val="0"/>
    </w:pPr>
    <w:rPr>
      <w:rFonts w:ascii="Calibri" w:hAnsi="Calibri" w:eastAsia="Calibri" w:cs="Lucida Sans"/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sz w:val="22"/>
      <w:szCs w:val="22"/>
      <w:lang w:val="pt-BR" w:eastAsia="zh-CN" w:bidi="hi-IN"/>
    </w:rPr>
  </w:style>
  <w:style w:type="paragraph" w:styleId="Ttulododocumento">
    <w:name w:val="Título do documento"/>
    <w:basedOn w:val="Normal1"/>
    <w:next w:val="Normal"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Cabealho">
    <w:name w:val="Cabeçalho"/>
    <w:basedOn w:val="Normal1"/>
    <w:qFormat/>
    <w:pPr>
      <w:widowControl/>
      <w:tabs>
        <w:tab w:val="center" w:pos="4252" w:leader="none"/>
        <w:tab w:val="right" w:pos="8504" w:leader="none"/>
      </w:tabs>
      <w:suppressAutoHyphens w:val="false"/>
      <w:bidi w:val="0"/>
      <w:spacing w:lineRule="auto" w:line="240" w:before="0" w:after="0"/>
      <w:jc w:val="left"/>
      <w:textAlignment w:val="top"/>
      <w:outlineLvl w:val="0"/>
    </w:pPr>
    <w:rPr>
      <w:rFonts w:ascii="Calibri" w:hAnsi="Calibri" w:eastAsia="Calibri" w:cs=""/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Rodap">
    <w:name w:val="Rodapé"/>
    <w:basedOn w:val="Normal1"/>
    <w:qFormat/>
    <w:pPr>
      <w:widowControl/>
      <w:tabs>
        <w:tab w:val="center" w:pos="4252" w:leader="none"/>
        <w:tab w:val="right" w:pos="8504" w:leader="none"/>
      </w:tabs>
      <w:suppressAutoHyphens w:val="false"/>
      <w:bidi w:val="0"/>
      <w:spacing w:lineRule="auto" w:line="240" w:before="0" w:after="0"/>
      <w:jc w:val="left"/>
      <w:textAlignment w:val="top"/>
      <w:outlineLvl w:val="0"/>
    </w:pPr>
    <w:rPr>
      <w:rFonts w:ascii="Calibri" w:hAnsi="Calibri" w:eastAsia="Calibri" w:cs=""/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Annotationtext">
    <w:name w:val="annotation text"/>
    <w:basedOn w:val="Normal1"/>
    <w:qFormat/>
    <w:pPr>
      <w:widowControl/>
      <w:suppressAutoHyphens w:val="false"/>
      <w:bidi w:val="0"/>
      <w:spacing w:lineRule="auto" w:line="240" w:before="0" w:after="160"/>
      <w:jc w:val="left"/>
      <w:textAlignment w:val="top"/>
      <w:outlineLvl w:val="0"/>
    </w:pPr>
    <w:rPr>
      <w:rFonts w:ascii="Calibri" w:hAnsi="Calibri" w:eastAsia="Calibri" w:cs=""/>
      <w:w w:val="100"/>
      <w:position w:val="0"/>
      <w:sz w:val="20"/>
      <w:sz w:val="20"/>
      <w:szCs w:val="20"/>
      <w:effect w:val="none"/>
      <w:vertAlign w:val="baseline"/>
      <w:em w:val="none"/>
      <w:lang w:val="pt-BR" w:eastAsia="en-US" w:bidi="ar-SA"/>
    </w:rPr>
  </w:style>
  <w:style w:type="paragraph" w:styleId="Annotationsubject">
    <w:name w:val="annotation subject"/>
    <w:basedOn w:val="Annotationtext"/>
    <w:qFormat/>
    <w:pPr>
      <w:widowControl/>
      <w:suppressAutoHyphens w:val="false"/>
      <w:bidi w:val="0"/>
      <w:spacing w:lineRule="auto" w:line="240" w:before="0" w:after="160"/>
      <w:jc w:val="left"/>
      <w:textAlignment w:val="top"/>
      <w:outlineLvl w:val="0"/>
    </w:pPr>
    <w:rPr>
      <w:rFonts w:ascii="Calibri" w:hAnsi="Calibri" w:eastAsia="Calibri" w:cs="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pt-BR" w:eastAsia="en-US" w:bidi="ar-SA"/>
    </w:rPr>
  </w:style>
  <w:style w:type="paragraph" w:styleId="BalloonText">
    <w:name w:val="Balloon Text"/>
    <w:basedOn w:val="Normal1"/>
    <w:qFormat/>
    <w:pPr>
      <w:widowControl/>
      <w:suppressAutoHyphens w:val="false"/>
      <w:bidi w:val="0"/>
      <w:spacing w:lineRule="auto" w:line="240" w:before="0" w:after="0"/>
      <w:jc w:val="left"/>
      <w:textAlignment w:val="top"/>
      <w:outlineLvl w:val="0"/>
    </w:pPr>
    <w:rPr>
      <w:rFonts w:ascii="Segoe UI" w:hAnsi="Segoe UI" w:eastAsia="Calibri" w:cs="Segoe UI"/>
      <w:w w:val="100"/>
      <w:position w:val="0"/>
      <w:sz w:val="18"/>
      <w:sz w:val="18"/>
      <w:szCs w:val="18"/>
      <w:effect w:val="none"/>
      <w:vertAlign w:val="baseline"/>
      <w:em w:val="none"/>
      <w:lang w:val="pt-BR" w:eastAsia="en-US" w:bidi="ar-SA"/>
    </w:rPr>
  </w:style>
  <w:style w:type="paragraph" w:styleId="Subttulo">
    <w:name w:val="Subtítulo"/>
    <w:basedOn w:val="Normal1"/>
    <w:next w:val="Normal"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5RtMcpVUELZho1JokHrB6JOHutA==">AMUW2mXPpeQ+XYVliDlvONw9RsbRLmGircJo5ctgniUdOh1+Of/qDcr6xa7BdeF/2JvGjUHZRdOMC+udWsCD6Efe4qEg+v/pxns84ItCH0DoaFiObq9/MDicPpwhy27GnrlKLS0jhEKd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LibreOffice/5.0.5.2$Windows_X86_64 LibreOffice_project/55b006a02d247b5f7215fc6ea0fde844b30035b3</Application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2020-07-29T20:33:00Z</dcterms:created>
  <dc:creator>Willame Dias</dc:creator>
  <dc:language>pt-BR</dc:language>
  <dcterms:modified xsi:type="dcterms:W3CDTF">2020-08-25T10:17:51Z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