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7A1C" w:rsidRDefault="002A7A1C">
      <w:pPr>
        <w:jc w:val="center"/>
        <w:rPr>
          <w:rFonts w:ascii="Arial" w:eastAsia="Arial" w:hAnsi="Arial" w:cs="Arial"/>
        </w:rPr>
      </w:pPr>
      <w:bookmarkStart w:id="0" w:name="_GoBack"/>
      <w:bookmarkEnd w:id="0"/>
    </w:p>
    <w:p w:rsidR="002A7A1C" w:rsidRDefault="002A7A1C">
      <w:pPr>
        <w:jc w:val="center"/>
        <w:rPr>
          <w:rFonts w:ascii="Arial" w:eastAsia="Arial" w:hAnsi="Arial" w:cs="Arial"/>
          <w:b/>
          <w:sz w:val="16"/>
          <w:szCs w:val="16"/>
        </w:rPr>
      </w:pPr>
    </w:p>
    <w:tbl>
      <w:tblPr>
        <w:tblStyle w:val="a"/>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18"/>
        <w:gridCol w:w="4822"/>
      </w:tblGrid>
      <w:tr w:rsidR="002A7A1C">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rsidR="002A7A1C" w:rsidRDefault="006C5B7B">
            <w:pPr>
              <w:jc w:val="center"/>
              <w:rPr>
                <w:b/>
                <w:color w:val="000000"/>
              </w:rPr>
            </w:pPr>
            <w:r>
              <w:rPr>
                <w:b/>
                <w:color w:val="000000"/>
              </w:rPr>
              <w:t>ESTUDOS TÉCNICOS PRELIMINAR</w:t>
            </w:r>
          </w:p>
        </w:tc>
      </w:tr>
      <w:tr w:rsidR="002A7A1C">
        <w:tc>
          <w:tcPr>
            <w:tcW w:w="9640" w:type="dxa"/>
            <w:gridSpan w:val="2"/>
            <w:tcBorders>
              <w:left w:val="single" w:sz="4" w:space="0" w:color="000000"/>
              <w:bottom w:val="single" w:sz="4" w:space="0" w:color="000000"/>
              <w:right w:val="single" w:sz="4" w:space="0" w:color="000000"/>
            </w:tcBorders>
            <w:shd w:val="clear" w:color="auto" w:fill="auto"/>
          </w:tcPr>
          <w:p w:rsidR="002A7A1C" w:rsidRDefault="006C5B7B">
            <w:pPr>
              <w:jc w:val="both"/>
              <w:rPr>
                <w:color w:val="000000"/>
              </w:rPr>
            </w:pPr>
            <w:r>
              <w:rPr>
                <w:color w:val="000000"/>
              </w:rPr>
              <w:t>O presente documento visa analisar a viabilidade da presente contratação, bem como levantar os elementos essenciais que servirão para compor o Termo de Referência ou Projeto Básico, de forma a melhor atender às necessidades da Administração.</w:t>
            </w:r>
          </w:p>
        </w:tc>
      </w:tr>
      <w:tr w:rsidR="002A7A1C">
        <w:tc>
          <w:tcPr>
            <w:tcW w:w="9640" w:type="dxa"/>
            <w:gridSpan w:val="2"/>
            <w:tcBorders>
              <w:left w:val="single" w:sz="4" w:space="0" w:color="000000"/>
              <w:bottom w:val="single" w:sz="4" w:space="0" w:color="000000"/>
              <w:right w:val="single" w:sz="4" w:space="0" w:color="000000"/>
            </w:tcBorders>
            <w:shd w:val="clear" w:color="auto" w:fill="B2B2B2"/>
          </w:tcPr>
          <w:p w:rsidR="002A7A1C" w:rsidRDefault="006C5B7B">
            <w:pPr>
              <w:ind w:left="720"/>
              <w:jc w:val="center"/>
              <w:rPr>
                <w:b/>
                <w:color w:val="000000"/>
              </w:rPr>
            </w:pPr>
            <w:r>
              <w:rPr>
                <w:b/>
                <w:color w:val="000000"/>
              </w:rPr>
              <w:t>Dados do Proc</w:t>
            </w:r>
            <w:r>
              <w:rPr>
                <w:b/>
                <w:color w:val="000000"/>
              </w:rPr>
              <w:t>esso</w:t>
            </w:r>
          </w:p>
        </w:tc>
      </w:tr>
      <w:tr w:rsidR="002A7A1C">
        <w:tc>
          <w:tcPr>
            <w:tcW w:w="4818" w:type="dxa"/>
            <w:tcBorders>
              <w:left w:val="single" w:sz="4" w:space="0" w:color="000000"/>
              <w:bottom w:val="single" w:sz="4" w:space="0" w:color="000000"/>
            </w:tcBorders>
            <w:shd w:val="clear" w:color="auto" w:fill="auto"/>
          </w:tcPr>
          <w:p w:rsidR="002A7A1C" w:rsidRDefault="006C5B7B">
            <w:pPr>
              <w:rPr>
                <w:color w:val="000000"/>
              </w:rPr>
            </w:pPr>
            <w:r>
              <w:rPr>
                <w:color w:val="000000"/>
              </w:rPr>
              <w:t>Órgão Responsável pela Contratação:</w:t>
            </w:r>
          </w:p>
        </w:tc>
        <w:tc>
          <w:tcPr>
            <w:tcW w:w="4822" w:type="dxa"/>
            <w:tcBorders>
              <w:left w:val="single" w:sz="4" w:space="0" w:color="000000"/>
              <w:bottom w:val="single" w:sz="4" w:space="0" w:color="000000"/>
              <w:right w:val="single" w:sz="4" w:space="0" w:color="000000"/>
            </w:tcBorders>
            <w:shd w:val="clear" w:color="auto" w:fill="auto"/>
          </w:tcPr>
          <w:p w:rsidR="002A7A1C" w:rsidRDefault="002A7A1C">
            <w:pPr>
              <w:ind w:left="3960"/>
              <w:jc w:val="both"/>
              <w:rPr>
                <w:color w:val="000000"/>
              </w:rPr>
            </w:pPr>
          </w:p>
        </w:tc>
      </w:tr>
      <w:tr w:rsidR="002A7A1C">
        <w:tc>
          <w:tcPr>
            <w:tcW w:w="4818" w:type="dxa"/>
            <w:tcBorders>
              <w:left w:val="single" w:sz="4" w:space="0" w:color="000000"/>
              <w:bottom w:val="single" w:sz="4" w:space="0" w:color="000000"/>
            </w:tcBorders>
            <w:shd w:val="clear" w:color="auto" w:fill="auto"/>
          </w:tcPr>
          <w:p w:rsidR="002A7A1C" w:rsidRDefault="006C5B7B">
            <w:pPr>
              <w:rPr>
                <w:color w:val="000000"/>
              </w:rPr>
            </w:pPr>
            <w:r>
              <w:rPr>
                <w:color w:val="000000"/>
              </w:rPr>
              <w:t>Objeto:</w:t>
            </w:r>
          </w:p>
        </w:tc>
        <w:tc>
          <w:tcPr>
            <w:tcW w:w="4822" w:type="dxa"/>
            <w:tcBorders>
              <w:left w:val="single" w:sz="4" w:space="0" w:color="000000"/>
              <w:bottom w:val="single" w:sz="4" w:space="0" w:color="000000"/>
              <w:right w:val="single" w:sz="4" w:space="0" w:color="000000"/>
            </w:tcBorders>
            <w:shd w:val="clear" w:color="auto" w:fill="auto"/>
          </w:tcPr>
          <w:p w:rsidR="002A7A1C" w:rsidRDefault="002A7A1C">
            <w:pPr>
              <w:ind w:left="3960"/>
              <w:jc w:val="both"/>
              <w:rPr>
                <w:color w:val="000000"/>
              </w:rPr>
            </w:pPr>
          </w:p>
        </w:tc>
      </w:tr>
      <w:tr w:rsidR="002A7A1C">
        <w:tc>
          <w:tcPr>
            <w:tcW w:w="4818" w:type="dxa"/>
            <w:tcBorders>
              <w:left w:val="single" w:sz="4" w:space="0" w:color="000000"/>
              <w:bottom w:val="single" w:sz="4" w:space="0" w:color="000000"/>
            </w:tcBorders>
            <w:shd w:val="clear" w:color="auto" w:fill="auto"/>
          </w:tcPr>
          <w:p w:rsidR="002A7A1C" w:rsidRDefault="006C5B7B">
            <w:pPr>
              <w:rPr>
                <w:color w:val="000000"/>
              </w:rPr>
            </w:pPr>
            <w:r>
              <w:rPr>
                <w:color w:val="000000"/>
              </w:rPr>
              <w:t>N°do Processo:</w:t>
            </w:r>
          </w:p>
        </w:tc>
        <w:tc>
          <w:tcPr>
            <w:tcW w:w="4822" w:type="dxa"/>
            <w:tcBorders>
              <w:left w:val="single" w:sz="4" w:space="0" w:color="000000"/>
              <w:bottom w:val="single" w:sz="4" w:space="0" w:color="000000"/>
              <w:right w:val="single" w:sz="4" w:space="0" w:color="000000"/>
            </w:tcBorders>
            <w:shd w:val="clear" w:color="auto" w:fill="auto"/>
          </w:tcPr>
          <w:p w:rsidR="002A7A1C" w:rsidRDefault="002A7A1C">
            <w:pPr>
              <w:ind w:left="3960"/>
              <w:jc w:val="both"/>
              <w:rPr>
                <w:color w:val="000000"/>
              </w:rPr>
            </w:pPr>
          </w:p>
        </w:tc>
      </w:tr>
    </w:tbl>
    <w:p w:rsidR="002A7A1C" w:rsidRDefault="002A7A1C">
      <w:pPr>
        <w:jc w:val="center"/>
        <w:rPr>
          <w:rFonts w:ascii="Arial" w:eastAsia="Arial" w:hAnsi="Arial" w:cs="Arial"/>
          <w:b/>
          <w:sz w:val="16"/>
          <w:szCs w:val="16"/>
        </w:rPr>
      </w:pPr>
    </w:p>
    <w:p w:rsidR="002A7A1C" w:rsidRDefault="002A7A1C">
      <w:pPr>
        <w:jc w:val="center"/>
        <w:rPr>
          <w:rFonts w:ascii="Arial" w:eastAsia="Arial" w:hAnsi="Arial" w:cs="Arial"/>
          <w:b/>
          <w:sz w:val="16"/>
          <w:szCs w:val="16"/>
        </w:rPr>
      </w:pPr>
    </w:p>
    <w:tbl>
      <w:tblPr>
        <w:tblStyle w:val="a0"/>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40"/>
      </w:tblGrid>
      <w:tr w:rsidR="002A7A1C">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2A7A1C" w:rsidRDefault="006C5B7B">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DESCRIÇÃO DA NECESSIDADE</w:t>
            </w: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1.1 Seguindo o previsto no inciso I, art. 5° da IN 73/2020, este órgão tem tentado utilizar a </w:t>
            </w:r>
            <w:r>
              <w:rPr>
                <w:rFonts w:ascii="Times New Roman" w:eastAsia="Times New Roman" w:hAnsi="Times New Roman" w:cs="Times New Roman"/>
              </w:rPr>
              <w:t>f</w:t>
            </w:r>
            <w:r>
              <w:rPr>
                <w:rFonts w:ascii="Times New Roman" w:eastAsia="Times New Roman" w:hAnsi="Times New Roman" w:cs="Times New Roman"/>
              </w:rPr>
              <w:t>erramenta do Painel de Preços, mas se depara com as seguintes dificuldades na utilização do sistema:</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 Sistema Lento: Ao acessar o sistema, por várias vezes, a </w:t>
            </w:r>
            <w:r>
              <w:rPr>
                <w:rFonts w:ascii="Times New Roman" w:eastAsia="Times New Roman" w:hAnsi="Times New Roman" w:cs="Times New Roman"/>
              </w:rPr>
              <w:t xml:space="preserve">página do painel de preços demora a carregar, apresentando em seguida uma mensagem de “Erro” ou, quando abre, não aparece todos os filtros a serem utilizados na pesquisa; </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 Travando sem nenhum motivo: No momento da pesquisa ou durante sua finalização, o sistema trava, forçando a reinicialização de toda a pesquisa; </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c) Erro ao recalcular a Média, mediana e Menor preço: ao selecionar alguns preços durante a pesquisa, o softw</w:t>
            </w:r>
            <w:r>
              <w:rPr>
                <w:rFonts w:ascii="Times New Roman" w:eastAsia="Times New Roman" w:hAnsi="Times New Roman" w:cs="Times New Roman"/>
              </w:rPr>
              <w:t>are automaticamente recalcula a Média, mediana e Menor preço. No entanto, dependendo da velocidade que o usuário exclui alguns itens, o sistema não consegue recalcular os valores de forma eficiente, o que faz com que ele apresente erro ou valores inexisten</w:t>
            </w:r>
            <w:r>
              <w:rPr>
                <w:rFonts w:ascii="Times New Roman" w:eastAsia="Times New Roman" w:hAnsi="Times New Roman" w:cs="Times New Roman"/>
              </w:rPr>
              <w:t xml:space="preserve">tes; </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d) Erro ao Gerar Relatório: Ao final de cada pesquisa é gerado um relatório que pode ser detalhado ou resumido. Esse relatório nem sempre condiz com a pesquisa, sendo relatado por muitos usuários que o sistema gera itens diferentes do que foi selecio</w:t>
            </w:r>
            <w:r>
              <w:rPr>
                <w:rFonts w:ascii="Times New Roman" w:eastAsia="Times New Roman" w:hAnsi="Times New Roman" w:cs="Times New Roman"/>
              </w:rPr>
              <w:t>nado inicialmente. Como exemplo, se pesquisarmos pelo objeto “medicamentos”, o relatório inclui como resultados os objetos, por exemplo, “caneta”, “papel”, “mesa”, entre outros produtos;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e) Ausência de histórico de itens pesquisados: O painel de preços nã</w:t>
            </w:r>
            <w:r>
              <w:rPr>
                <w:rFonts w:ascii="Times New Roman" w:eastAsia="Times New Roman" w:hAnsi="Times New Roman" w:cs="Times New Roman"/>
              </w:rPr>
              <w:t>o salva em seu banco de dados o histórico de itens pesquisados, assim toda pesquisa deve ser salva no computador (em formato de link) ou impressa logo após ser gerado o relatório.</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1.2 De acordo com o § 1° do art. 5° da IN 73/2020, os parâmetros poderão ser</w:t>
            </w:r>
            <w:r>
              <w:rPr>
                <w:rFonts w:ascii="Times New Roman" w:eastAsia="Times New Roman" w:hAnsi="Times New Roman" w:cs="Times New Roman"/>
              </w:rPr>
              <w:t xml:space="preserve"> utilizados de forma combinada ou não, devendo ser priorizados os previstos nos incisos I e II. Ou seja, não se restringe a utilização do Painel de Preços na realização das pesquisas, mas é uma ferramenta que deve ser priorizada.</w:t>
            </w:r>
          </w:p>
          <w:p w:rsidR="002A7A1C" w:rsidRDefault="006C5B7B">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1.3. É provável que, com um lapso temporal de aproximadamente seis meses entre a data de pesquisa da maioria dos preços e a realização do Pregão, muitos valores estejam abaixo do </w:t>
            </w:r>
            <w:r>
              <w:rPr>
                <w:rFonts w:ascii="Times New Roman" w:eastAsia="Times New Roman" w:hAnsi="Times New Roman" w:cs="Times New Roman"/>
              </w:rPr>
              <w:lastRenderedPageBreak/>
              <w:t>mercado em virtude da rápida variação de preços de gêneros alimentícios, mate</w:t>
            </w:r>
            <w:r>
              <w:rPr>
                <w:rFonts w:ascii="Times New Roman" w:eastAsia="Times New Roman" w:hAnsi="Times New Roman" w:cs="Times New Roman"/>
              </w:rPr>
              <w:t>riais e equipamentos de informática. Consequentemente, esses itens serão fracassados e inevitavelmente terão de ser relançados.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1.4. Essa demora pode acarretar na descontinuidade da aquisição de materiais essenciais para o funcionamento do IF Sertão-PE, co</w:t>
            </w:r>
            <w:r>
              <w:rPr>
                <w:rFonts w:ascii="Times New Roman" w:eastAsia="Times New Roman" w:hAnsi="Times New Roman" w:cs="Times New Roman"/>
              </w:rPr>
              <w:t xml:space="preserve">mo gêneros alimentícios, por exemplo, afetando diretamente a prestação de serviços de alimentação escolar para os alunos. Ademais, há de se considerar a desvantajosidade para a Administração com os custos de relançamento dos itens fracassados, e quando na </w:t>
            </w:r>
            <w:r>
              <w:rPr>
                <w:rFonts w:ascii="Times New Roman" w:eastAsia="Times New Roman" w:hAnsi="Times New Roman" w:cs="Times New Roman"/>
              </w:rPr>
              <w:t xml:space="preserve">busca de outras formas de aquisição, como adesão ou dispensa de licitação. Esses meios de compra podem sair mais caros que os preços homologados nos pregões do IF Sertão-PE. </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1.5 A utilização da ferramenta Banco de Preços, que também possui em sua base de </w:t>
            </w:r>
            <w:r>
              <w:rPr>
                <w:rFonts w:ascii="Times New Roman" w:eastAsia="Times New Roman" w:hAnsi="Times New Roman" w:cs="Times New Roman"/>
              </w:rPr>
              <w:t xml:space="preserve">dados o portal Comprasnet, tem se mostrado mais eficaz e eficiente que o Painel de Preços, principalmente para os processos de aquisições mais importantes deste Instituto, quais sejam gêneros alimentícios, que geralmente são pregões com mais de 200 itens. </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1.6. Isso porque o Banco de Preços, diferentemente do Painel, não apresenta os óbices supramencionados no item 2.1, uma vez que permite a pesquisa conjunta dos itens do processo, gerando um único relatório; permite rápida identificação da descrição comple</w:t>
            </w:r>
            <w:r>
              <w:rPr>
                <w:rFonts w:ascii="Times New Roman" w:eastAsia="Times New Roman" w:hAnsi="Times New Roman" w:cs="Times New Roman"/>
              </w:rPr>
              <w:t xml:space="preserve">ta do item pesquisado; todas as pesquisas ficam salvas para eventuais consultas, caso o usuário não consiga concluir toda a pesquisa no dia; dentre outras vantagens. </w:t>
            </w:r>
          </w:p>
          <w:p w:rsidR="002A7A1C" w:rsidRDefault="006C5B7B">
            <w:pPr>
              <w:widowControl w:val="0"/>
              <w:pBdr>
                <w:top w:val="nil"/>
                <w:left w:val="nil"/>
                <w:bottom w:val="nil"/>
                <w:right w:val="nil"/>
                <w:between w:val="nil"/>
              </w:pBdr>
              <w:spacing w:line="276"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1.6.1 O Banco de Preços é um avançado banco de dados desenvolvido para auxiliar em todas </w:t>
            </w:r>
            <w:r>
              <w:rPr>
                <w:rFonts w:ascii="Times New Roman" w:eastAsia="Times New Roman" w:hAnsi="Times New Roman" w:cs="Times New Roman"/>
              </w:rPr>
              <w:t>as fases da contratação pública: preparação, licitação e execução do contrato. Possui a maior base de consulta disponível no mercado, com mais de 12 milhões de preços, o que amplia o resultado da pesquisa, afere a realidade dos preços e atende aos princípi</w:t>
            </w:r>
            <w:r>
              <w:rPr>
                <w:rFonts w:ascii="Times New Roman" w:eastAsia="Times New Roman" w:hAnsi="Times New Roman" w:cs="Times New Roman"/>
              </w:rPr>
              <w:t xml:space="preserve">os constitucionais da economicidade e da moralidade. Possui funcionalidades exclusivas que o caracterizam como uma solução integrada e completa. Além da pesquisa global, sem distinção de fonte, o recurso possibilita a realização de pesquisas específicas e </w:t>
            </w:r>
            <w:r>
              <w:rPr>
                <w:rFonts w:ascii="Times New Roman" w:eastAsia="Times New Roman" w:hAnsi="Times New Roman" w:cs="Times New Roman"/>
              </w:rPr>
              <w:t>individualizadas nos Portais Compras Governamentais, Licitações-e e Bolsa Eletrônica de Compras – BEC, nos sítios eletrônicos especializados e de domínio amplo e, ainda, junto aos fornecedores, possibilitando maior transparência quanto aos parâmetros utili</w:t>
            </w:r>
            <w:r>
              <w:rPr>
                <w:rFonts w:ascii="Times New Roman" w:eastAsia="Times New Roman" w:hAnsi="Times New Roman" w:cs="Times New Roman"/>
              </w:rPr>
              <w:t>zados e garantindo a amplitude da pesquisa (art. 37, caput da CF/88 e Acórdão n. 1445/2015-TCU/Plenário).</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1.7 A contratação supracitada denominada “Ferramenta Banco de Preços” tem por escopo atender a necessidade da adequada instrução dos processos adminis</w:t>
            </w:r>
            <w:r>
              <w:rPr>
                <w:rFonts w:ascii="Times New Roman" w:eastAsia="Times New Roman" w:hAnsi="Times New Roman" w:cs="Times New Roman"/>
              </w:rPr>
              <w:t>trativos, no que tange, a formalização dos processos licitatórios: pregão, dispensa e inexigibilidade de licitação. É um serviço de suma importância, haja vista a necessidade da correta formalização e adequação de acordo com legislação vigente, classifican</w:t>
            </w:r>
            <w:r>
              <w:rPr>
                <w:rFonts w:ascii="Times New Roman" w:eastAsia="Times New Roman" w:hAnsi="Times New Roman" w:cs="Times New Roman"/>
              </w:rPr>
              <w:t>do-o como indispensável aos serviços desta autarquia federal, sendo sua eficiência, eficácia e facilidade de uso comprovada na prática em processo de contratação anterior;</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1.8 A pesquisa de preços torna-se necessária para que a Administração possa avaliar </w:t>
            </w:r>
            <w:r>
              <w:rPr>
                <w:rFonts w:ascii="Times New Roman" w:eastAsia="Times New Roman" w:hAnsi="Times New Roman" w:cs="Times New Roman"/>
              </w:rPr>
              <w:t xml:space="preserve">o custo da contratação e constitui elemento fundamental para a instrução dos procedimentos de contratação, estando prevista em várias disposições legais, de sorte que sua obrigatoriedade é reconhecida pela </w:t>
            </w:r>
            <w:r>
              <w:rPr>
                <w:rFonts w:ascii="Times New Roman" w:eastAsia="Times New Roman" w:hAnsi="Times New Roman" w:cs="Times New Roman"/>
              </w:rPr>
              <w:lastRenderedPageBreak/>
              <w:t>jurisprudência do Tribunal de Contas da União - TC</w:t>
            </w:r>
            <w:r>
              <w:rPr>
                <w:rFonts w:ascii="Times New Roman" w:eastAsia="Times New Roman" w:hAnsi="Times New Roman" w:cs="Times New Roman"/>
              </w:rPr>
              <w:t>U.</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1.9 Essa fase da pesquisa de mercado quase sempre é demorada, pois implica numa criteriosa busca de preços perante as empresas do ramo do objeto pretendido. Estas, na maioria das vezes, não possuem interesse e boa vontade em atender às solicitações do Ó</w:t>
            </w:r>
            <w:r>
              <w:rPr>
                <w:rFonts w:ascii="Times New Roman" w:eastAsia="Times New Roman" w:hAnsi="Times New Roman" w:cs="Times New Roman"/>
              </w:rPr>
              <w:t>rgão.</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1.10. Por experiência deste setor na realização de cotações, enquanto que se leva quase dois meses para pesquisa de preços relativo ao processo de aquisição de gêneros alimentícios, através do Painel de Preços, com o Banco de Preços a mesma pesquisa é real</w:t>
            </w:r>
            <w:r>
              <w:rPr>
                <w:rFonts w:ascii="Times New Roman" w:eastAsia="Times New Roman" w:hAnsi="Times New Roman" w:cs="Times New Roman"/>
              </w:rPr>
              <w:t>izada em até duas semanas.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1.11 Assim, vários contatos precisam ser mantidos para que se consiga finalizar a pesquisa, especialmente no que diz respeito à contratação de serviços ou de objeto com poucos fornecedores no mercado.</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1.12 Tal dificuldade faz com</w:t>
            </w:r>
            <w:r>
              <w:rPr>
                <w:rFonts w:ascii="Times New Roman" w:eastAsia="Times New Roman" w:hAnsi="Times New Roman" w:cs="Times New Roman"/>
              </w:rPr>
              <w:t xml:space="preserve"> que a pesquisa de preços se apresente como um entrave para a celeridade na tramitação dos procedimentos de contratação e, por conseguinte, para o cumprimento dos prazos estabelecidos.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1.13 Ademais, a realização de pesquisas de preços visando ao estabeleci</w:t>
            </w:r>
            <w:r>
              <w:rPr>
                <w:rFonts w:ascii="Times New Roman" w:eastAsia="Times New Roman" w:hAnsi="Times New Roman" w:cs="Times New Roman"/>
              </w:rPr>
              <w:t>mento do valor estimado ou máximo da contratação atende ao princípio da economicidade e decorre de obrigação legal: Tanto a Lei n° 8.666/93 (art. 7°, § 2°, inc. II e 40, § 2°, inc. II) quanto a Lei n° 10.520/02 (art. 3°, inc. III) exigem a elaboração do or</w:t>
            </w:r>
            <w:r>
              <w:rPr>
                <w:rFonts w:ascii="Times New Roman" w:eastAsia="Times New Roman" w:hAnsi="Times New Roman" w:cs="Times New Roman"/>
              </w:rPr>
              <w:t xml:space="preserve">çamento estimado para a identificação precisa dos valores praticados no mercado para objeto similar ao pretendido pela Administração. Deve haver fidedignidade, ou seja, o valor estabelecido necessita estar de acordo com a realidade de mercado, sob pena de </w:t>
            </w:r>
            <w:r>
              <w:rPr>
                <w:rFonts w:ascii="Times New Roman" w:eastAsia="Times New Roman" w:hAnsi="Times New Roman" w:cs="Times New Roman"/>
              </w:rPr>
              <w:t>ineficiência no certame licitatório. Sendo superestimado, acarretará valores desvantajosos para a Administração; estando aquém dos preços praticados, restringirá a competição e poderá culminar no fracasso da licitação ou tornar o faturo contrato inexequíve</w:t>
            </w:r>
            <w:r>
              <w:rPr>
                <w:rFonts w:ascii="Times New Roman" w:eastAsia="Times New Roman" w:hAnsi="Times New Roman" w:cs="Times New Roman"/>
              </w:rPr>
              <w:t>l. Nesse rumo, é oportuno trazer á colação o art. 12 do ADG n° 9/2015, que assim dispõe:</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 Art. 12. As contratações de bens e serviços deverão ser precedidas de pesquisa de preços, que reflita os valores de mercado, para estimativa do preço ou valor de refe</w:t>
            </w:r>
            <w:r>
              <w:rPr>
                <w:rFonts w:ascii="Times New Roman" w:eastAsia="Times New Roman" w:hAnsi="Times New Roman" w:cs="Times New Roman"/>
              </w:rPr>
              <w:t>rência, a qual deverá basear-se em cesta aceitável de preços e conter, no mínimo, 3 (três) amostras de preços por item, provenientes de no mínimo 2 (duas) diferentes fontes de consulta. (Redação dada pelo Ato da Diretoria-Geral n° 19/2016).</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1º Sem prejuí</w:t>
            </w:r>
            <w:r>
              <w:rPr>
                <w:rFonts w:ascii="Times New Roman" w:eastAsia="Times New Roman" w:hAnsi="Times New Roman" w:cs="Times New Roman"/>
              </w:rPr>
              <w:t xml:space="preserve">zo da utilização de outros sistemas de auxílio á pesquisa de preços ou de catalogação de bases de dados, constituem fontes de consulta para formação de cesta aceitável de preços: (Redação dada pelo Ato da Diretoria-Geral n° 19/2016) </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I - Portal de Compras </w:t>
            </w:r>
            <w:r>
              <w:rPr>
                <w:rFonts w:ascii="Times New Roman" w:eastAsia="Times New Roman" w:hAnsi="Times New Roman" w:cs="Times New Roman"/>
              </w:rPr>
              <w:t xml:space="preserve">do Governo Federal (www.comprasgovemamentais.gov.br) para contratações concluídas nos 180 (cento e oitenta) dias anteriores á data da pesquisa de preços; (Redação dada pelo Ato da Diretoria-Geral n° 19/2016) </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II - mídia especializada, sítios eletrônicos es</w:t>
            </w:r>
            <w:r>
              <w:rPr>
                <w:rFonts w:ascii="Times New Roman" w:eastAsia="Times New Roman" w:hAnsi="Times New Roman" w:cs="Times New Roman"/>
              </w:rPr>
              <w:t>pecializados ou de domínio amplo, desde que o documento contenha o endereço eletrônico e a data de acesso; (Redação dada pelo Ato da Diretoria-Geral n° 19/2016) III - contratações similares de outros entes públicos, em execução ou concluídas nos 180 (cento</w:t>
            </w:r>
            <w:r>
              <w:rPr>
                <w:rFonts w:ascii="Times New Roman" w:eastAsia="Times New Roman" w:hAnsi="Times New Roman" w:cs="Times New Roman"/>
              </w:rPr>
              <w:t xml:space="preserve"> e oitenta) dias anteriores á data da pesquisa de preços; (Redação dada pelo Ato da Diretoria-Geral n° 19/2016)</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 IV - fornecedores de produtos ou serviços, inclusive mediante orçamentos diretamente coletados por servidores do Senado Federal nos estabelecim</w:t>
            </w:r>
            <w:r>
              <w:rPr>
                <w:rFonts w:ascii="Times New Roman" w:eastAsia="Times New Roman" w:hAnsi="Times New Roman" w:cs="Times New Roman"/>
              </w:rPr>
              <w:t xml:space="preserve">entos; (Redação dada pelo Ato da Diretoria-Geral n° 19/2016). </w:t>
            </w:r>
          </w:p>
          <w:p w:rsidR="002A7A1C" w:rsidRDefault="006C5B7B">
            <w:pPr>
              <w:widowControl w:val="0"/>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2° Para fins de cumprimento do previsto no caput, deverá constar na pesquisa, no mínimo, uma fonte pública, nos casos dos incisos I ou III do §1° deste artigo. (Redação dada pelo Ato da Diret</w:t>
            </w:r>
            <w:r>
              <w:rPr>
                <w:rFonts w:ascii="Times New Roman" w:eastAsia="Times New Roman" w:hAnsi="Times New Roman" w:cs="Times New Roman"/>
              </w:rPr>
              <w:t>oria-Geral n° 21/2016).</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1.14 O objetivo do Banco de Preços é possibilitar a melhor utilização das fontes de pesquisa indicadas nos incisos I e III, cuja relevância pode ser sintetizada nos seguintes termos:</w:t>
            </w:r>
          </w:p>
          <w:p w:rsidR="002A7A1C" w:rsidRDefault="006C5B7B">
            <w:pPr>
              <w:widowControl w:val="0"/>
              <w:pBdr>
                <w:top w:val="nil"/>
                <w:left w:val="nil"/>
                <w:bottom w:val="nil"/>
                <w:right w:val="nil"/>
                <w:between w:val="nil"/>
              </w:pBdr>
              <w:spacing w:line="276" w:lineRule="auto"/>
              <w:ind w:left="709"/>
              <w:jc w:val="both"/>
              <w:rPr>
                <w:rFonts w:ascii="Times New Roman" w:eastAsia="Times New Roman" w:hAnsi="Times New Roman" w:cs="Times New Roman"/>
              </w:rPr>
            </w:pPr>
            <w:r>
              <w:rPr>
                <w:rFonts w:ascii="Times New Roman" w:eastAsia="Times New Roman" w:hAnsi="Times New Roman" w:cs="Times New Roman"/>
              </w:rPr>
              <w:t>1.14.1 Os preços praticados em outros contratos públicos representam um importante parâmetro, já que, ressalvadas peculiaridades concretas, não se justificam grandes distorções;</w:t>
            </w:r>
          </w:p>
          <w:p w:rsidR="002A7A1C" w:rsidRDefault="006C5B7B">
            <w:pPr>
              <w:widowControl w:val="0"/>
              <w:pBdr>
                <w:top w:val="nil"/>
                <w:left w:val="nil"/>
                <w:bottom w:val="nil"/>
                <w:right w:val="nil"/>
                <w:between w:val="nil"/>
              </w:pBdr>
              <w:spacing w:line="276" w:lineRule="auto"/>
              <w:ind w:left="709"/>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1.14.2 Tais dados funcionam como ferramenta para negociação de preços, procedi</w:t>
            </w:r>
            <w:r>
              <w:rPr>
                <w:rFonts w:ascii="Times New Roman" w:eastAsia="Times New Roman" w:hAnsi="Times New Roman" w:cs="Times New Roman"/>
              </w:rPr>
              <w:t xml:space="preserve">mento que apresenta melhores resultados quando embasado em preços já praticados em contratos públicos; </w:t>
            </w:r>
          </w:p>
          <w:p w:rsidR="002A7A1C" w:rsidRDefault="006C5B7B">
            <w:pPr>
              <w:widowControl w:val="0"/>
              <w:pBdr>
                <w:top w:val="nil"/>
                <w:left w:val="nil"/>
                <w:bottom w:val="nil"/>
                <w:right w:val="nil"/>
                <w:between w:val="nil"/>
              </w:pBdr>
              <w:spacing w:line="276" w:lineRule="auto"/>
              <w:ind w:left="709"/>
              <w:jc w:val="both"/>
              <w:rPr>
                <w:rFonts w:ascii="Times New Roman" w:eastAsia="Times New Roman" w:hAnsi="Times New Roman" w:cs="Times New Roman"/>
              </w:rPr>
            </w:pPr>
            <w:r>
              <w:rPr>
                <w:rFonts w:ascii="Times New Roman" w:eastAsia="Times New Roman" w:hAnsi="Times New Roman" w:cs="Times New Roman"/>
              </w:rPr>
              <w:t>1.14.3 A dificuldade de obtenção de orçamentos diretamente com os particulares toma indispensável á utilização cumulativa de outras fontes legítimas, af</w:t>
            </w:r>
            <w:r>
              <w:rPr>
                <w:rFonts w:ascii="Times New Roman" w:eastAsia="Times New Roman" w:hAnsi="Times New Roman" w:cs="Times New Roman"/>
              </w:rPr>
              <w:t>astando a eventualidade de questionamentos futuros.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1.15. Isto posto, fica evidente a economia de tempo e recursos aplicados quando da realização de cotações através da ferramenta do Banco de Preços. Outrossim, a pesquisa realizada estaria dentro dos parâm</w:t>
            </w:r>
            <w:r>
              <w:rPr>
                <w:rFonts w:ascii="Times New Roman" w:eastAsia="Times New Roman" w:hAnsi="Times New Roman" w:cs="Times New Roman"/>
              </w:rPr>
              <w:t>etros normativos previstos no inciso I do art. 5° da IN 73/2020, vez que o resultado contido no relatório de pesquisa desta ferramenta exibe contratações similares realizadas por outros entes públicos.</w:t>
            </w:r>
          </w:p>
          <w:p w:rsidR="002A7A1C" w:rsidRDefault="006C5B7B">
            <w:pPr>
              <w:widowControl w:val="0"/>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1.16. Diante do acima exposto, faz-se necessária a con</w:t>
            </w:r>
            <w:r>
              <w:rPr>
                <w:rFonts w:ascii="Times New Roman" w:eastAsia="Times New Roman" w:hAnsi="Times New Roman" w:cs="Times New Roman"/>
              </w:rPr>
              <w:t>tratação com assinatura anual de acessos/senhas de ferramenta para pesquisa de preços (Banco de Preços), para atender às demandas dos diversos processos de aquisição, principalmente os com grande quantidade de itens, como também para ser utilizadas nas pes</w:t>
            </w:r>
            <w:r>
              <w:rPr>
                <w:rFonts w:ascii="Times New Roman" w:eastAsia="Times New Roman" w:hAnsi="Times New Roman" w:cs="Times New Roman"/>
              </w:rPr>
              <w:t>quisas de prorrogação dos contratos e dispensas de licitação de todas as Unidades do IF Sertão - PE visando a celeridade, eficiência e a não descontinuidade dos processos, ainda que seja dada prioridade ao inciso I do art. 5° da IN 73/2020 (Painel de Preço</w:t>
            </w:r>
            <w:r>
              <w:rPr>
                <w:rFonts w:ascii="Times New Roman" w:eastAsia="Times New Roman" w:hAnsi="Times New Roman" w:cs="Times New Roman"/>
              </w:rPr>
              <w:t>s).</w:t>
            </w:r>
          </w:p>
          <w:p w:rsidR="002A7A1C" w:rsidRDefault="002A7A1C">
            <w:pPr>
              <w:pBdr>
                <w:top w:val="nil"/>
                <w:left w:val="nil"/>
                <w:bottom w:val="nil"/>
                <w:right w:val="nil"/>
                <w:between w:val="nil"/>
              </w:pBdr>
              <w:spacing w:line="276" w:lineRule="auto"/>
              <w:jc w:val="both"/>
              <w:rPr>
                <w:rFonts w:ascii="Times New Roman" w:eastAsia="Times New Roman" w:hAnsi="Times New Roman" w:cs="Times New Roman"/>
                <w:i/>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jc w:val="both"/>
            </w:pPr>
            <w:r>
              <w:lastRenderedPageBreak/>
              <w:t xml:space="preserve">2. </w:t>
            </w:r>
            <w:r>
              <w:rPr>
                <w:b/>
              </w:rPr>
              <w:t>ÁREA REQUISITANTE:</w:t>
            </w:r>
            <w:r>
              <w:t xml:space="preserve"> </w:t>
            </w:r>
          </w:p>
          <w:p w:rsidR="002A7A1C" w:rsidRDefault="002A7A1C">
            <w:pPr>
              <w:pBdr>
                <w:top w:val="nil"/>
                <w:left w:val="nil"/>
                <w:bottom w:val="nil"/>
                <w:right w:val="nil"/>
                <w:between w:val="nil"/>
              </w:pBdr>
              <w:jc w:val="both"/>
              <w:rPr>
                <w:rFonts w:ascii="Rawline" w:eastAsia="Rawline" w:hAnsi="Rawline" w:cs="Rawline"/>
                <w:i/>
                <w:sz w:val="18"/>
                <w:szCs w:val="18"/>
              </w:rPr>
            </w:pPr>
          </w:p>
          <w:p w:rsidR="002A7A1C" w:rsidRDefault="002A7A1C">
            <w:pPr>
              <w:pBdr>
                <w:top w:val="nil"/>
                <w:left w:val="nil"/>
                <w:bottom w:val="nil"/>
                <w:right w:val="nil"/>
                <w:between w:val="nil"/>
              </w:pBdr>
              <w:jc w:val="both"/>
              <w:rPr>
                <w:rFonts w:ascii="Rawline" w:eastAsia="Rawline" w:hAnsi="Rawline" w:cs="Rawline"/>
                <w:i/>
                <w:sz w:val="18"/>
                <w:szCs w:val="18"/>
              </w:rPr>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Diretoria de Licitações (DLIC): Gerson de Alencar Lima</w:t>
            </w:r>
          </w:p>
          <w:p w:rsidR="002A7A1C" w:rsidRDefault="002A7A1C">
            <w:pPr>
              <w:pBdr>
                <w:top w:val="nil"/>
                <w:left w:val="nil"/>
                <w:bottom w:val="nil"/>
                <w:right w:val="nil"/>
                <w:between w:val="nil"/>
              </w:pBdr>
              <w:jc w:val="both"/>
              <w:rPr>
                <w:rFonts w:ascii="Rawline" w:eastAsia="Rawline" w:hAnsi="Rawline" w:cs="Rawline"/>
                <w:i/>
                <w:sz w:val="18"/>
                <w:szCs w:val="18"/>
              </w:rPr>
            </w:pPr>
          </w:p>
          <w:p w:rsidR="002A7A1C" w:rsidRDefault="002A7A1C">
            <w:pPr>
              <w:pBdr>
                <w:top w:val="nil"/>
                <w:left w:val="nil"/>
                <w:bottom w:val="nil"/>
                <w:right w:val="nil"/>
                <w:between w:val="nil"/>
              </w:pBdr>
              <w:jc w:val="both"/>
              <w:rPr>
                <w:rFonts w:ascii="Rawline" w:eastAsia="Rawline" w:hAnsi="Rawline" w:cs="Rawline"/>
                <w:i/>
                <w:sz w:val="18"/>
                <w:szCs w:val="18"/>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jc w:val="both"/>
              <w:rPr>
                <w:rFonts w:ascii="Times New Roman" w:eastAsia="Times New Roman" w:hAnsi="Times New Roman" w:cs="Times New Roman"/>
                <w:b/>
                <w:i/>
              </w:rPr>
            </w:pPr>
            <w:r>
              <w:rPr>
                <w:rFonts w:ascii="Times New Roman" w:eastAsia="Times New Roman" w:hAnsi="Times New Roman" w:cs="Times New Roman"/>
                <w:b/>
              </w:rPr>
              <w:t xml:space="preserve">3. DESCRIÇÃO DOS REQUISITOS DA CONTRATAÇÃO: </w:t>
            </w:r>
          </w:p>
          <w:p w:rsidR="002A7A1C" w:rsidRDefault="002A7A1C">
            <w:pPr>
              <w:pBdr>
                <w:top w:val="nil"/>
                <w:left w:val="nil"/>
                <w:bottom w:val="nil"/>
                <w:right w:val="nil"/>
                <w:between w:val="nil"/>
              </w:pBdr>
              <w:jc w:val="both"/>
              <w:rPr>
                <w:rFonts w:ascii="Times New Roman" w:eastAsia="Times New Roman" w:hAnsi="Times New Roman" w:cs="Times New Roman"/>
                <w:i/>
              </w:rPr>
            </w:pPr>
          </w:p>
          <w:p w:rsidR="002A7A1C" w:rsidRDefault="006C5B7B">
            <w:pPr>
              <w:numPr>
                <w:ilvl w:val="1"/>
                <w:numId w:val="2"/>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A Ferramenta a qual pretende se contratar deverá atender aos princípios da Eficiência, Legalidade, Transparência e Objetividade e possibilitando a melhora no processo de contratação pública ao otimizar a atuação dos agentes, atribuindo confiabilidade às i</w:t>
            </w:r>
            <w:r>
              <w:rPr>
                <w:rFonts w:ascii="Times New Roman" w:eastAsia="Times New Roman" w:hAnsi="Times New Roman" w:cs="Times New Roman"/>
              </w:rPr>
              <w:t>nformações e padronização dos procedimentos.</w:t>
            </w:r>
          </w:p>
          <w:p w:rsidR="002A7A1C" w:rsidRDefault="006C5B7B">
            <w:pPr>
              <w:numPr>
                <w:ilvl w:val="1"/>
                <w:numId w:val="2"/>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Deverá atender a todas as orientações da IN 73/2020, Lei 8.666/93 art.15 Inciso V, Acordão 1445/15-TCU/Plenário, e ainda o seguinte:</w:t>
            </w:r>
          </w:p>
          <w:p w:rsidR="002A7A1C" w:rsidRDefault="006C5B7B">
            <w:pPr>
              <w:numPr>
                <w:ilvl w:val="2"/>
                <w:numId w:val="2"/>
              </w:numPr>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Conteúdo: Resultados de licitações adjudicadas e homologadas que é apurado dia</w:t>
            </w:r>
            <w:r>
              <w:rPr>
                <w:rFonts w:ascii="Times New Roman" w:eastAsia="Times New Roman" w:hAnsi="Times New Roman" w:cs="Times New Roman"/>
              </w:rPr>
              <w:t>riamente por profissionais especializados, viabilizando a tomada de decisões de maior complexidade.</w:t>
            </w:r>
          </w:p>
          <w:p w:rsidR="002A7A1C" w:rsidRDefault="002A7A1C">
            <w:pPr>
              <w:pBdr>
                <w:top w:val="nil"/>
                <w:left w:val="nil"/>
                <w:bottom w:val="nil"/>
                <w:right w:val="nil"/>
                <w:between w:val="nil"/>
              </w:pBdr>
              <w:spacing w:line="276" w:lineRule="auto"/>
              <w:ind w:left="1440"/>
              <w:jc w:val="both"/>
              <w:rPr>
                <w:rFonts w:ascii="Times New Roman" w:eastAsia="Times New Roman" w:hAnsi="Times New Roman" w:cs="Times New Roman"/>
              </w:rPr>
            </w:pPr>
          </w:p>
          <w:p w:rsidR="002A7A1C" w:rsidRDefault="006C5B7B">
            <w:pPr>
              <w:numPr>
                <w:ilvl w:val="2"/>
                <w:numId w:val="2"/>
              </w:numPr>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Pesquisa: Realizada por palavra-chave ora publicada na descrição do objeto/licitação. </w:t>
            </w:r>
            <w:r>
              <w:rPr>
                <w:rFonts w:ascii="Times New Roman" w:eastAsia="Times New Roman" w:hAnsi="Times New Roman" w:cs="Times New Roman"/>
                <w:b/>
              </w:rPr>
              <w:t>Preços com atualização diária.</w:t>
            </w:r>
          </w:p>
          <w:p w:rsidR="002A7A1C" w:rsidRDefault="002A7A1C">
            <w:pPr>
              <w:pBdr>
                <w:top w:val="nil"/>
                <w:left w:val="nil"/>
                <w:bottom w:val="nil"/>
                <w:right w:val="nil"/>
                <w:between w:val="nil"/>
              </w:pBdr>
              <w:spacing w:line="276" w:lineRule="auto"/>
              <w:ind w:left="1440"/>
              <w:jc w:val="both"/>
              <w:rPr>
                <w:rFonts w:ascii="Times New Roman" w:eastAsia="Times New Roman" w:hAnsi="Times New Roman" w:cs="Times New Roman"/>
              </w:rPr>
            </w:pPr>
          </w:p>
          <w:p w:rsidR="002A7A1C" w:rsidRDefault="006C5B7B">
            <w:pPr>
              <w:numPr>
                <w:ilvl w:val="2"/>
                <w:numId w:val="2"/>
              </w:numPr>
              <w:pBdr>
                <w:top w:val="nil"/>
                <w:left w:val="nil"/>
                <w:bottom w:val="nil"/>
                <w:right w:val="nil"/>
                <w:between w:val="nil"/>
              </w:pBdr>
              <w:spacing w:line="276" w:lineRule="auto"/>
              <w:ind w:left="1440"/>
              <w:jc w:val="both"/>
              <w:rPr>
                <w:rFonts w:ascii="Times New Roman" w:eastAsia="Times New Roman" w:hAnsi="Times New Roman" w:cs="Times New Roman"/>
              </w:rPr>
            </w:pPr>
            <w:r>
              <w:rPr>
                <w:rFonts w:ascii="Times New Roman" w:eastAsia="Times New Roman" w:hAnsi="Times New Roman" w:cs="Times New Roman"/>
              </w:rPr>
              <w:t>Fonte de pesquisa: Compras Governamentais, Licitações-E, Bolsa Eletrônica de Compras de São Paulo-BEC, Sites de Domínio Amplo, BPS, Sinapi e cotação direta com o fornecedor</w:t>
            </w:r>
            <w:r>
              <w:rPr>
                <w:rFonts w:ascii="Times New Roman" w:eastAsia="Times New Roman" w:hAnsi="Times New Roman" w:cs="Times New Roman"/>
              </w:rPr>
              <w:t>.</w:t>
            </w:r>
          </w:p>
          <w:p w:rsidR="002A7A1C" w:rsidRDefault="002A7A1C">
            <w:pPr>
              <w:pBdr>
                <w:top w:val="nil"/>
                <w:left w:val="nil"/>
                <w:bottom w:val="nil"/>
                <w:right w:val="nil"/>
                <w:between w:val="nil"/>
              </w:pBdr>
              <w:spacing w:line="276" w:lineRule="auto"/>
              <w:ind w:left="1440"/>
              <w:jc w:val="both"/>
              <w:rPr>
                <w:rFonts w:ascii="Times New Roman" w:eastAsia="Times New Roman" w:hAnsi="Times New Roman" w:cs="Times New Roman"/>
              </w:rPr>
            </w:pPr>
          </w:p>
          <w:p w:rsidR="002A7A1C" w:rsidRDefault="006C5B7B">
            <w:pPr>
              <w:numPr>
                <w:ilvl w:val="2"/>
                <w:numId w:val="2"/>
              </w:numPr>
              <w:pBdr>
                <w:top w:val="nil"/>
                <w:left w:val="nil"/>
                <w:bottom w:val="nil"/>
                <w:right w:val="nil"/>
                <w:between w:val="nil"/>
              </w:pBdr>
              <w:spacing w:after="120" w:line="276" w:lineRule="auto"/>
              <w:ind w:left="1440"/>
              <w:jc w:val="both"/>
              <w:rPr>
                <w:rFonts w:ascii="Times New Roman" w:eastAsia="Times New Roman" w:hAnsi="Times New Roman" w:cs="Times New Roman"/>
              </w:rPr>
            </w:pPr>
            <w:r>
              <w:rPr>
                <w:rFonts w:ascii="Times New Roman" w:eastAsia="Times New Roman" w:hAnsi="Times New Roman" w:cs="Times New Roman"/>
              </w:rPr>
              <w:t>Pesquisa por filtros, tais como código de CATMAT/CATSER, período, UF, Região, Cid</w:t>
            </w:r>
            <w:r>
              <w:rPr>
                <w:rFonts w:ascii="Times New Roman" w:eastAsia="Times New Roman" w:hAnsi="Times New Roman" w:cs="Times New Roman"/>
              </w:rPr>
              <w:t xml:space="preserve">ade, código de UASG, Nº do pregão, CNPJ do fornecedor, quantidade de itens, SRP, itens sustentáveis, matérias, serviços e participação exclusiva de ME/EPP. </w:t>
            </w:r>
          </w:p>
          <w:p w:rsidR="002A7A1C" w:rsidRDefault="006C5B7B">
            <w:pPr>
              <w:numPr>
                <w:ilvl w:val="1"/>
                <w:numId w:val="2"/>
              </w:numPr>
              <w:spacing w:after="12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Cada preço deverá ter sua referência original com link para redirecionamento para a publicação oficial ou cópia da publicação em PDF. </w:t>
            </w:r>
          </w:p>
          <w:p w:rsidR="002A7A1C" w:rsidRDefault="006C5B7B">
            <w:pPr>
              <w:spacing w:after="120" w:line="276" w:lineRule="auto"/>
              <w:ind w:left="360"/>
              <w:jc w:val="both"/>
              <w:rPr>
                <w:rFonts w:ascii="Times New Roman" w:eastAsia="Times New Roman" w:hAnsi="Times New Roman" w:cs="Times New Roman"/>
              </w:rPr>
            </w:pPr>
            <w:r>
              <w:rPr>
                <w:rFonts w:ascii="Times New Roman" w:eastAsia="Times New Roman" w:hAnsi="Times New Roman" w:cs="Times New Roman"/>
              </w:rPr>
              <w:t>3.4 A contratada deverá ainda ofertar curso/treinamento para os usuários da ferramenta, sem nenhum ônus para a Administra</w:t>
            </w:r>
            <w:r>
              <w:rPr>
                <w:rFonts w:ascii="Times New Roman" w:eastAsia="Times New Roman" w:hAnsi="Times New Roman" w:cs="Times New Roman"/>
              </w:rPr>
              <w:t>ção.</w:t>
            </w:r>
          </w:p>
          <w:p w:rsidR="002A7A1C" w:rsidRDefault="006C5B7B">
            <w:pPr>
              <w:spacing w:after="120" w:line="276" w:lineRule="auto"/>
              <w:ind w:left="360"/>
              <w:jc w:val="both"/>
              <w:rPr>
                <w:rFonts w:ascii="Times New Roman" w:eastAsia="Times New Roman" w:hAnsi="Times New Roman" w:cs="Times New Roman"/>
              </w:rPr>
            </w:pPr>
            <w:r>
              <w:rPr>
                <w:rFonts w:ascii="Times New Roman" w:eastAsia="Times New Roman" w:hAnsi="Times New Roman" w:cs="Times New Roman"/>
              </w:rPr>
              <w:t>3.5. A partir da seleção de preço na tela de pesquisa, deverá ser emitido um extrato de preços comparativos, com dados de origem de cada preço, fórmula utilizada, bem como detalhamento dos preços com gráficos, e ainda:</w:t>
            </w:r>
          </w:p>
          <w:p w:rsidR="002A7A1C" w:rsidRDefault="006C5B7B">
            <w:pPr>
              <w:spacing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        3.5.1 Sistema</w:t>
            </w:r>
            <w:r>
              <w:rPr>
                <w:rFonts w:ascii="Times New Roman" w:eastAsia="Times New Roman" w:hAnsi="Times New Roman" w:cs="Times New Roman"/>
              </w:rPr>
              <w:t xml:space="preserve"> de elabora</w:t>
            </w:r>
            <w:r>
              <w:rPr>
                <w:rFonts w:ascii="Times New Roman" w:eastAsia="Times New Roman" w:hAnsi="Times New Roman" w:cs="Times New Roman"/>
              </w:rPr>
              <w:t>ção da especificação do objeto – Interativo;</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3.5.1 </w:t>
            </w:r>
            <w:r>
              <w:rPr>
                <w:rFonts w:ascii="Times New Roman" w:eastAsia="Times New Roman" w:hAnsi="Times New Roman" w:cs="Times New Roman"/>
              </w:rPr>
              <w:t>Mapa de fornecedores – Com filtros regionais;</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5.2 elaboração do termo de referência - (Modelo AGU);</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3.5.3 </w:t>
            </w:r>
            <w:r>
              <w:rPr>
                <w:rFonts w:ascii="Times New Roman" w:eastAsia="Times New Roman" w:hAnsi="Times New Roman" w:cs="Times New Roman"/>
              </w:rPr>
              <w:t xml:space="preserve">Declaração de competitividade da LC 123 – ME/EPP; </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3.5.4 </w:t>
            </w:r>
            <w:r>
              <w:rPr>
                <w:rFonts w:ascii="Times New Roman" w:eastAsia="Times New Roman" w:hAnsi="Times New Roman" w:cs="Times New Roman"/>
              </w:rPr>
              <w:t>Levantamento indicativo de inexigibilida</w:t>
            </w:r>
            <w:r>
              <w:rPr>
                <w:rFonts w:ascii="Times New Roman" w:eastAsia="Times New Roman" w:hAnsi="Times New Roman" w:cs="Times New Roman"/>
              </w:rPr>
              <w:t>de;</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3.5.5 </w:t>
            </w:r>
            <w:r>
              <w:rPr>
                <w:rFonts w:ascii="Times New Roman" w:eastAsia="Times New Roman" w:hAnsi="Times New Roman" w:cs="Times New Roman"/>
              </w:rPr>
              <w:t xml:space="preserve">Cotação Segura – Verificação automática de irregularidades dos preços selecionados; </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3.5.6 </w:t>
            </w:r>
            <w:r>
              <w:rPr>
                <w:rFonts w:ascii="Times New Roman" w:eastAsia="Times New Roman" w:hAnsi="Times New Roman" w:cs="Times New Roman"/>
              </w:rPr>
              <w:t>Módulo de terceirização – Modelos de planilhas de custo de serviços terceirizados</w:t>
            </w:r>
            <w:r>
              <w:rPr>
                <w:rFonts w:ascii="Times New Roman" w:eastAsia="Times New Roman" w:hAnsi="Times New Roman" w:cs="Times New Roman"/>
              </w:rPr>
              <w:t>;</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3.5.7 Acesso via Internet, por site específico;</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3.5.8  Acesso somente autenticado login/senha;</w:t>
            </w:r>
          </w:p>
          <w:p w:rsidR="002A7A1C" w:rsidRDefault="006C5B7B">
            <w:pPr>
              <w:pBdr>
                <w:top w:val="nil"/>
                <w:left w:val="nil"/>
                <w:bottom w:val="nil"/>
                <w:right w:val="nil"/>
                <w:between w:val="nil"/>
              </w:pBdr>
              <w:spacing w:line="276" w:lineRule="auto"/>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3.5.9 Senha de uso exclusivo não podendo ser compartilhado com outras entidade</w:t>
            </w:r>
            <w:r>
              <w:rPr>
                <w:rFonts w:ascii="Times New Roman" w:eastAsia="Times New Roman" w:hAnsi="Times New Roman" w:cs="Times New Roman"/>
                <w:highlight w:val="white"/>
              </w:rPr>
              <w:t>s públicas/ privadas ou diferentes IPs.</w:t>
            </w:r>
          </w:p>
          <w:p w:rsidR="002A7A1C" w:rsidRDefault="002A7A1C">
            <w:pPr>
              <w:pBdr>
                <w:top w:val="nil"/>
                <w:left w:val="nil"/>
                <w:bottom w:val="nil"/>
                <w:right w:val="nil"/>
                <w:between w:val="nil"/>
              </w:pBdr>
              <w:spacing w:line="276" w:lineRule="auto"/>
              <w:ind w:left="720"/>
              <w:rPr>
                <w:rFonts w:ascii="Times New Roman" w:eastAsia="Times New Roman" w:hAnsi="Times New Roman" w:cs="Times New Roman"/>
              </w:rPr>
            </w:pPr>
          </w:p>
          <w:p w:rsidR="002A7A1C" w:rsidRDefault="006C5B7B">
            <w:pPr>
              <w:spacing w:line="276" w:lineRule="auto"/>
              <w:rPr>
                <w:rFonts w:ascii="Times New Roman" w:eastAsia="Times New Roman" w:hAnsi="Times New Roman" w:cs="Times New Roman"/>
              </w:rPr>
            </w:pPr>
            <w:r>
              <w:rPr>
                <w:rFonts w:ascii="Times New Roman" w:eastAsia="Times New Roman" w:hAnsi="Times New Roman" w:cs="Times New Roman"/>
              </w:rPr>
              <w:t xml:space="preserve">3.5 A Ferramenta deverá ter abrangência federal, estadual e municipal com </w:t>
            </w:r>
            <w:r>
              <w:rPr>
                <w:rFonts w:ascii="Times New Roman" w:eastAsia="Times New Roman" w:hAnsi="Times New Roman" w:cs="Times New Roman"/>
                <w:b/>
              </w:rPr>
              <w:t>atualização diária do banco de dados</w:t>
            </w:r>
            <w:r>
              <w:rPr>
                <w:rFonts w:ascii="Times New Roman" w:eastAsia="Times New Roman" w:hAnsi="Times New Roman" w:cs="Times New Roman"/>
              </w:rPr>
              <w:t xml:space="preserve">.  </w:t>
            </w:r>
          </w:p>
          <w:p w:rsidR="002A7A1C" w:rsidRDefault="002A7A1C">
            <w:pPr>
              <w:pBdr>
                <w:top w:val="nil"/>
                <w:left w:val="nil"/>
                <w:bottom w:val="nil"/>
                <w:right w:val="nil"/>
                <w:between w:val="nil"/>
              </w:pBdr>
              <w:jc w:val="both"/>
              <w:rPr>
                <w:rFonts w:ascii="Times New Roman" w:eastAsia="Times New Roman" w:hAnsi="Times New Roman" w:cs="Times New Roman"/>
                <w:i/>
              </w:rPr>
            </w:pPr>
          </w:p>
        </w:tc>
      </w:tr>
    </w:tbl>
    <w:p w:rsidR="002A7A1C" w:rsidRDefault="002A7A1C">
      <w:pPr>
        <w:rPr>
          <w:rFonts w:ascii="Arial" w:eastAsia="Arial" w:hAnsi="Arial" w:cs="Arial"/>
          <w:b/>
          <w:sz w:val="16"/>
          <w:szCs w:val="16"/>
        </w:rPr>
      </w:pPr>
    </w:p>
    <w:p w:rsidR="002A7A1C" w:rsidRDefault="002A7A1C">
      <w:pPr>
        <w:rPr>
          <w:rFonts w:ascii="Arial" w:eastAsia="Arial" w:hAnsi="Arial" w:cs="Arial"/>
          <w:b/>
          <w:sz w:val="26"/>
          <w:szCs w:val="26"/>
        </w:rPr>
      </w:pPr>
    </w:p>
    <w:tbl>
      <w:tblPr>
        <w:tblStyle w:val="a1"/>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40"/>
      </w:tblGrid>
      <w:tr w:rsidR="002A7A1C">
        <w:trPr>
          <w:trHeight w:val="400"/>
        </w:trPr>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2A7A1C" w:rsidRDefault="006C5B7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SOLUÇÃO</w:t>
            </w: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4. LEVANTAMENTO DE MERCADO:</w:t>
            </w:r>
          </w:p>
          <w:p w:rsidR="002A7A1C" w:rsidRDefault="002A7A1C">
            <w:pPr>
              <w:pBdr>
                <w:top w:val="nil"/>
                <w:left w:val="nil"/>
                <w:bottom w:val="nil"/>
                <w:right w:val="nil"/>
                <w:between w:val="nil"/>
              </w:pBdr>
              <w:spacing w:line="276" w:lineRule="auto"/>
              <w:jc w:val="both"/>
              <w:rPr>
                <w:rFonts w:ascii="Times New Roman" w:eastAsia="Times New Roman" w:hAnsi="Times New Roman" w:cs="Times New Roman"/>
              </w:rPr>
            </w:pPr>
          </w:p>
          <w:p w:rsidR="002A7A1C" w:rsidRDefault="006C5B7B">
            <w:pPr>
              <w:pBdr>
                <w:top w:val="nil"/>
                <w:left w:val="nil"/>
                <w:bottom w:val="nil"/>
                <w:right w:val="nil"/>
                <w:between w:val="nil"/>
              </w:pBd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4.1 A eventual contratação do objeto do presente Estudo Técnico Preliminar se constitui, no atual cenário, em objeto de frequente aquisição por vários órgãos públicos, inclusive Institutos Federais de Educação, Ciência e Tecnologia e Universidades Federais</w:t>
            </w:r>
            <w:r>
              <w:rPr>
                <w:rFonts w:ascii="Times New Roman" w:eastAsia="Times New Roman" w:hAnsi="Times New Roman" w:cs="Times New Roman"/>
                <w:highlight w:val="white"/>
              </w:rPr>
              <w:t>. A exemplo disso podemos citar as seguintes contratações feitas por meio de consultas:</w:t>
            </w:r>
          </w:p>
          <w:p w:rsidR="002A7A1C" w:rsidRDefault="002A7A1C">
            <w:pPr>
              <w:pBdr>
                <w:top w:val="nil"/>
                <w:left w:val="nil"/>
                <w:bottom w:val="nil"/>
                <w:right w:val="nil"/>
                <w:between w:val="nil"/>
              </w:pBdr>
              <w:spacing w:line="276" w:lineRule="auto"/>
              <w:rPr>
                <w:rFonts w:ascii="Times New Roman" w:eastAsia="Times New Roman" w:hAnsi="Times New Roman" w:cs="Times New Roman"/>
                <w:highlight w:val="white"/>
              </w:rPr>
            </w:pPr>
          </w:p>
          <w:p w:rsidR="002A7A1C" w:rsidRDefault="006C5B7B">
            <w:pPr>
              <w:pStyle w:val="Ttulo2"/>
              <w:numPr>
                <w:ilvl w:val="0"/>
                <w:numId w:val="3"/>
              </w:numPr>
              <w:shd w:val="clear" w:color="auto" w:fill="FFFFFF"/>
              <w:spacing w:before="0" w:after="0" w:line="276" w:lineRule="auto"/>
              <w:rPr>
                <w:rFonts w:ascii="Times New Roman" w:eastAsia="Times New Roman" w:hAnsi="Times New Roman" w:cs="Times New Roman"/>
                <w:b w:val="0"/>
                <w:sz w:val="24"/>
                <w:szCs w:val="24"/>
                <w:highlight w:val="white"/>
              </w:rPr>
            </w:pPr>
            <w:r>
              <w:rPr>
                <w:rFonts w:ascii="Times New Roman" w:eastAsia="Times New Roman" w:hAnsi="Times New Roman" w:cs="Times New Roman"/>
                <w:b w:val="0"/>
                <w:sz w:val="24"/>
                <w:szCs w:val="24"/>
                <w:highlight w:val="white"/>
              </w:rPr>
              <w:t>Instituto Federal da Paraíba/Campus Monteiro - PB | UASG 158472;</w:t>
            </w:r>
          </w:p>
          <w:p w:rsidR="002A7A1C" w:rsidRDefault="006C5B7B">
            <w:pPr>
              <w:numPr>
                <w:ilvl w:val="0"/>
                <w:numId w:val="3"/>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Tribunal de Contas da União – TCU/UASG: 30001;</w:t>
            </w:r>
          </w:p>
          <w:p w:rsidR="002A7A1C" w:rsidRDefault="006C5B7B">
            <w:pPr>
              <w:numPr>
                <w:ilvl w:val="0"/>
                <w:numId w:val="3"/>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Senado Federal/ UASG: 20001;</w:t>
            </w:r>
          </w:p>
          <w:p w:rsidR="002A7A1C" w:rsidRDefault="006C5B7B">
            <w:pPr>
              <w:numPr>
                <w:ilvl w:val="0"/>
                <w:numId w:val="3"/>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Controladoria-Geral da União/ UASG: 370003;</w:t>
            </w:r>
          </w:p>
          <w:p w:rsidR="002A7A1C" w:rsidRDefault="006C5B7B">
            <w:pPr>
              <w:numPr>
                <w:ilvl w:val="0"/>
                <w:numId w:val="3"/>
              </w:numPr>
              <w:pBdr>
                <w:top w:val="nil"/>
                <w:left w:val="nil"/>
                <w:bottom w:val="nil"/>
                <w:right w:val="nil"/>
                <w:between w:val="nil"/>
              </w:pBdr>
              <w:spacing w:line="276" w:lineRule="auto"/>
              <w:rPr>
                <w:rFonts w:ascii="Times New Roman" w:eastAsia="Times New Roman" w:hAnsi="Times New Roman" w:cs="Times New Roman"/>
                <w:highlight w:val="white"/>
              </w:rPr>
            </w:pPr>
            <w:r>
              <w:rPr>
                <w:rFonts w:ascii="Times New Roman" w:eastAsia="Times New Roman" w:hAnsi="Times New Roman" w:cs="Times New Roman"/>
              </w:rPr>
              <w:t>Universidade Federal do Sul e Sudeste do Pará — UNIFESSPA/</w:t>
            </w:r>
            <w:r>
              <w:rPr>
                <w:rFonts w:ascii="Times New Roman" w:eastAsia="Times New Roman" w:hAnsi="Times New Roman" w:cs="Times New Roman"/>
                <w:highlight w:val="white"/>
              </w:rPr>
              <w:t>UASG: 158718</w:t>
            </w:r>
          </w:p>
          <w:p w:rsidR="002A7A1C" w:rsidRDefault="002A7A1C">
            <w:pPr>
              <w:pBdr>
                <w:top w:val="nil"/>
                <w:left w:val="nil"/>
                <w:bottom w:val="nil"/>
                <w:right w:val="nil"/>
                <w:between w:val="nil"/>
              </w:pBdr>
              <w:spacing w:line="276" w:lineRule="auto"/>
              <w:ind w:left="720"/>
              <w:rPr>
                <w:rFonts w:ascii="Times New Roman" w:eastAsia="Times New Roman" w:hAnsi="Times New Roman" w:cs="Times New Roman"/>
                <w:highlight w:val="white"/>
              </w:rPr>
            </w:pPr>
          </w:p>
          <w:p w:rsidR="002A7A1C" w:rsidRDefault="006C5B7B">
            <w:pPr>
              <w:spacing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4.2 Estes e vários outros órgãos Federais, Estaduais e Municipais fizeram a adesão a ferramenta a través de INEXIGIBILIDADE DE LICITAÇÃO, </w:t>
            </w:r>
            <w:r>
              <w:rPr>
                <w:rFonts w:ascii="Times New Roman" w:eastAsia="Times New Roman" w:hAnsi="Times New Roman" w:cs="Times New Roman"/>
              </w:rPr>
              <w:t xml:space="preserve">artigo 25, </w:t>
            </w:r>
            <w:r>
              <w:rPr>
                <w:rFonts w:ascii="Times New Roman" w:eastAsia="Times New Roman" w:hAnsi="Times New Roman" w:cs="Times New Roman"/>
                <w:i/>
              </w:rPr>
              <w:t>caput</w:t>
            </w:r>
            <w:r>
              <w:rPr>
                <w:rFonts w:ascii="Times New Roman" w:eastAsia="Times New Roman" w:hAnsi="Times New Roman" w:cs="Times New Roman"/>
              </w:rPr>
              <w:t>, da lei 8.666/1993, por ficar demonstrado a exclusividade dos serviços, portanto caracterizando a inv</w:t>
            </w:r>
            <w:r>
              <w:rPr>
                <w:rFonts w:ascii="Times New Roman" w:eastAsia="Times New Roman" w:hAnsi="Times New Roman" w:cs="Times New Roman"/>
              </w:rPr>
              <w:t>iabilidade de competição.</w:t>
            </w:r>
          </w:p>
          <w:p w:rsidR="002A7A1C" w:rsidRDefault="002A7A1C">
            <w:pPr>
              <w:spacing w:line="276" w:lineRule="auto"/>
              <w:jc w:val="both"/>
              <w:rPr>
                <w:rFonts w:ascii="Times New Roman" w:eastAsia="Times New Roman" w:hAnsi="Times New Roman" w:cs="Times New Roman"/>
              </w:rPr>
            </w:pPr>
          </w:p>
          <w:p w:rsidR="002A7A1C" w:rsidRDefault="006C5B7B">
            <w:pPr>
              <w:spacing w:line="276" w:lineRule="auto"/>
              <w:jc w:val="both"/>
              <w:rPr>
                <w:rFonts w:ascii="Times New Roman" w:eastAsia="Times New Roman" w:hAnsi="Times New Roman" w:cs="Times New Roman"/>
              </w:rPr>
            </w:pPr>
            <w:r>
              <w:rPr>
                <w:rFonts w:ascii="Times New Roman" w:eastAsia="Times New Roman" w:hAnsi="Times New Roman" w:cs="Times New Roman"/>
              </w:rPr>
              <w:t>4.3 Corroboram no sentido da exclusividade da ferramenta “Banco de Preços” as seguintes funcionalidades, todas elas exclusivas:</w:t>
            </w:r>
          </w:p>
          <w:p w:rsidR="002A7A1C" w:rsidRDefault="002A7A1C">
            <w:pPr>
              <w:spacing w:line="276" w:lineRule="auto"/>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a) Cotação de preços, Funcionalidade para gestão de cotações, possibilitando: Criação, Edição, Exclu</w:t>
            </w:r>
            <w:r>
              <w:rPr>
                <w:rFonts w:ascii="Times New Roman" w:eastAsia="Times New Roman" w:hAnsi="Times New Roman" w:cs="Times New Roman"/>
              </w:rPr>
              <w:t>são, Restauração, Duplicação, Compartilhamento, Análise Automatizada, Geração de Relatório, Importação de Itens, Inclusão de Itens, Edição de Itens, Exclusão de Itens, Inclusão de Preços em Itens, Remoção de preços em Itens, Envio de Convite a Fornecedores</w:t>
            </w:r>
            <w:r>
              <w:rPr>
                <w:rFonts w:ascii="Times New Roman" w:eastAsia="Times New Roman" w:hAnsi="Times New Roman" w:cs="Times New Roman"/>
              </w:rPr>
              <w:t>.</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b) Pesquisa de Preços de Produtos e Serviços baseado nos filtros: Objeto, Catmat/Catser, Data, Região, Estado, Cidade, Marca, CNPJ do Fornecedor, Pregão, Òrgão, Modalidade, Quantidade, Materiais ou Serviços, Participação Exclusiva, Itens Sustentáveis, S</w:t>
            </w:r>
            <w:r>
              <w:rPr>
                <w:rFonts w:ascii="Times New Roman" w:eastAsia="Times New Roman" w:hAnsi="Times New Roman" w:cs="Times New Roman"/>
              </w:rPr>
              <w:t>RP, Efetuando busca nas fontes de pesquisa: Portal ComprasNet, BEC/SP, Licitações-E, ComprasMG, ComprasES, ComprasDF, BPS,Tabela CMED, Tabela Sina pi, Tabela CEASA, Tabela CONAB, Site Americanas, Site Submarino, Site Jocar Auto Peças, Possibilitando a visu</w:t>
            </w:r>
            <w:r>
              <w:rPr>
                <w:rFonts w:ascii="Times New Roman" w:eastAsia="Times New Roman" w:hAnsi="Times New Roman" w:cs="Times New Roman"/>
              </w:rPr>
              <w:t>alização dos detalhes dos preços e a inclusão destes em cotações.</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c) Mapa de Fornecedores, Relatório demonstrando os fornecedores de determinado produto, baseado nos registros de licitações do sistema, possibilitando a criação informando o catmat e região</w:t>
            </w:r>
            <w:r>
              <w:rPr>
                <w:rFonts w:ascii="Times New Roman" w:eastAsia="Times New Roman" w:hAnsi="Times New Roman" w:cs="Times New Roman"/>
              </w:rPr>
              <w:t xml:space="preserve"> desejada, impressão de relatório e Exclusão de Mapa.</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d)Decreto de competitividade, Relatório demonstrando a existência ou não de competitividade para determinado produto, baseado nos registros de licitações do sistema, possibilitando a criação informando</w:t>
            </w:r>
            <w:r>
              <w:rPr>
                <w:rFonts w:ascii="Times New Roman" w:eastAsia="Times New Roman" w:hAnsi="Times New Roman" w:cs="Times New Roman"/>
              </w:rPr>
              <w:t xml:space="preserve"> o catmat , região, marca, período e quantidades desejadas.</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 Terceirização, Funcionalidade que possibilita a busca de serviços de terceirização baseado no tipo de serviço, Estado, Período e, possibilitando a criação e exclusão de cotação e a geração de </w:t>
            </w:r>
            <w:r>
              <w:rPr>
                <w:rFonts w:ascii="Times New Roman" w:eastAsia="Times New Roman" w:hAnsi="Times New Roman" w:cs="Times New Roman"/>
              </w:rPr>
              <w:t>relatório.</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f) Termo de Referência, Funcionalidade</w:t>
            </w:r>
            <w:r>
              <w:rPr>
                <w:rFonts w:ascii="Times New Roman" w:eastAsia="Times New Roman" w:hAnsi="Times New Roman" w:cs="Times New Roman"/>
                <w:b/>
              </w:rPr>
              <w:t xml:space="preserve"> </w:t>
            </w:r>
            <w:r>
              <w:rPr>
                <w:rFonts w:ascii="Times New Roman" w:eastAsia="Times New Roman" w:hAnsi="Times New Roman" w:cs="Times New Roman"/>
              </w:rPr>
              <w:t>que possibilita a criação, edição e exclusão de termos de referência, permitindo também a inclusão, importação, edição e exclusão de especificações técnicas além da edição e geração do modelo de documento.</w:t>
            </w:r>
          </w:p>
          <w:p w:rsidR="002A7A1C" w:rsidRDefault="002A7A1C">
            <w:pPr>
              <w:spacing w:line="276" w:lineRule="auto"/>
              <w:ind w:left="720"/>
              <w:jc w:val="both"/>
              <w:rPr>
                <w:rFonts w:ascii="Times New Roman" w:eastAsia="Times New Roman" w:hAnsi="Times New Roman" w:cs="Times New Roman"/>
              </w:rPr>
            </w:pPr>
          </w:p>
          <w:p w:rsidR="002A7A1C" w:rsidRDefault="006C5B7B">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g) Especificação Técnica, Funcionalidade que permite a inclusão, exclusão, envio e                        geração de relatórios de especificação técnica para compras de produtos/serviços, para inclusão sistema disponibiliza assistente com intuito de guia</w:t>
            </w:r>
            <w:r>
              <w:rPr>
                <w:rFonts w:ascii="Times New Roman" w:eastAsia="Times New Roman" w:hAnsi="Times New Roman" w:cs="Times New Roman"/>
              </w:rPr>
              <w:t>r a criação de especificação de acordo com os itens já existentes no banco de dados do sistema.</w:t>
            </w:r>
          </w:p>
          <w:p w:rsidR="002A7A1C" w:rsidRDefault="002A7A1C">
            <w:pPr>
              <w:pBdr>
                <w:top w:val="nil"/>
                <w:left w:val="nil"/>
                <w:bottom w:val="nil"/>
                <w:right w:val="nil"/>
                <w:between w:val="nil"/>
              </w:pBdr>
              <w:spacing w:line="276" w:lineRule="auto"/>
              <w:jc w:val="both"/>
              <w:rPr>
                <w:rFonts w:ascii="Times New Roman" w:eastAsia="Times New Roman" w:hAnsi="Times New Roman" w:cs="Times New Roman"/>
                <w:i/>
                <w:color w:val="0070C0"/>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rFonts w:ascii="Rawline" w:eastAsia="Rawline" w:hAnsi="Rawline" w:cs="Rawline"/>
                <w:i/>
                <w:color w:val="333333"/>
                <w:sz w:val="18"/>
                <w:szCs w:val="18"/>
              </w:rPr>
            </w:pPr>
            <w:r>
              <w:rPr>
                <w:color w:val="000000"/>
              </w:rPr>
              <w:t xml:space="preserve">5. </w:t>
            </w:r>
            <w:r>
              <w:rPr>
                <w:b/>
                <w:color w:val="000000"/>
              </w:rPr>
              <w:t>DESCRIÇÃO DA SOLUÇÃO COMO UM TODO:</w:t>
            </w:r>
            <w:r>
              <w:rPr>
                <w:color w:val="000000"/>
              </w:rPr>
              <w:t xml:space="preserve"> </w:t>
            </w:r>
          </w:p>
          <w:p w:rsidR="002A7A1C" w:rsidRDefault="002A7A1C">
            <w:pPr>
              <w:pBdr>
                <w:top w:val="nil"/>
                <w:left w:val="nil"/>
                <w:bottom w:val="nil"/>
                <w:right w:val="nil"/>
                <w:between w:val="nil"/>
              </w:pBdr>
              <w:rPr>
                <w:rFonts w:ascii="Rawline" w:eastAsia="Rawline" w:hAnsi="Rawline" w:cs="Rawline"/>
                <w:i/>
                <w:color w:val="333333"/>
                <w:sz w:val="18"/>
                <w:szCs w:val="18"/>
              </w:rPr>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5.1 A ferramenta de pesquisas e comparação de preços praticados pela administração pública terá seu uso através do acesso via internet, com login e senha de uso exclusivo e não simultâneo, através da qual o usuário obterá, através de pesquisa no banco de d</w:t>
            </w:r>
            <w:r>
              <w:rPr>
                <w:rFonts w:ascii="Times New Roman" w:eastAsia="Times New Roman" w:hAnsi="Times New Roman" w:cs="Times New Roman"/>
              </w:rPr>
              <w:t>ados, o valor estimado ou máximo de uma futura contratação e/ou sua prorrogação.</w:t>
            </w:r>
          </w:p>
          <w:p w:rsidR="002A7A1C" w:rsidRDefault="002A7A1C">
            <w:pPr>
              <w:pBdr>
                <w:top w:val="nil"/>
                <w:left w:val="nil"/>
                <w:bottom w:val="nil"/>
                <w:right w:val="nil"/>
                <w:between w:val="nil"/>
              </w:pBdr>
              <w:jc w:val="both"/>
              <w:rPr>
                <w:rFonts w:ascii="Times New Roman" w:eastAsia="Times New Roman" w:hAnsi="Times New Roman" w:cs="Times New Roman"/>
              </w:rPr>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5.2 Tal ferramenta consistirá num banco de dados diariamente atualizado, sistematizado por regiões, Estados e Municípios, sendo alimentado     com preços obtidos em licitaçõe</w:t>
            </w:r>
            <w:r>
              <w:rPr>
                <w:rFonts w:ascii="Times New Roman" w:eastAsia="Times New Roman" w:hAnsi="Times New Roman" w:cs="Times New Roman"/>
              </w:rPr>
              <w:t>s efetivamente contratadas pela Administração Pública.</w:t>
            </w:r>
          </w:p>
          <w:p w:rsidR="002A7A1C" w:rsidRDefault="002A7A1C">
            <w:pPr>
              <w:pBdr>
                <w:top w:val="nil"/>
                <w:left w:val="nil"/>
                <w:bottom w:val="nil"/>
                <w:right w:val="nil"/>
                <w:between w:val="nil"/>
              </w:pBdr>
              <w:rPr>
                <w:rFonts w:ascii="Rawline" w:eastAsia="Rawline" w:hAnsi="Rawline" w:cs="Rawline"/>
                <w:i/>
                <w:color w:val="333333"/>
                <w:sz w:val="18"/>
                <w:szCs w:val="18"/>
              </w:rPr>
            </w:pPr>
          </w:p>
          <w:p w:rsidR="002A7A1C" w:rsidRDefault="002A7A1C">
            <w:pPr>
              <w:pBdr>
                <w:top w:val="nil"/>
                <w:left w:val="nil"/>
                <w:bottom w:val="nil"/>
                <w:right w:val="nil"/>
                <w:between w:val="nil"/>
              </w:pBdr>
              <w:rPr>
                <w:rFonts w:ascii="Rawline" w:eastAsia="Rawline" w:hAnsi="Rawline" w:cs="Rawline"/>
                <w:i/>
                <w:color w:val="333333"/>
                <w:sz w:val="18"/>
                <w:szCs w:val="18"/>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jc w:val="both"/>
              <w:rPr>
                <w:rFonts w:ascii="Times New Roman" w:eastAsia="Times New Roman" w:hAnsi="Times New Roman" w:cs="Times New Roman"/>
                <w:i/>
                <w:color w:val="333333"/>
              </w:rPr>
            </w:pP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ESTIMATIVA DE QUANTIDADES A SEREM CONTRATADAS</w:t>
            </w:r>
            <w:r>
              <w:rPr>
                <w:rFonts w:ascii="Times New Roman" w:eastAsia="Times New Roman" w:hAnsi="Times New Roman" w:cs="Times New Roman"/>
                <w:color w:val="000000"/>
              </w:rPr>
              <w:t xml:space="preserve">: </w:t>
            </w:r>
          </w:p>
          <w:p w:rsidR="002A7A1C" w:rsidRDefault="002A7A1C">
            <w:pPr>
              <w:pBdr>
                <w:top w:val="nil"/>
                <w:left w:val="nil"/>
                <w:bottom w:val="nil"/>
                <w:right w:val="nil"/>
                <w:between w:val="nil"/>
              </w:pBdr>
              <w:jc w:val="both"/>
              <w:rPr>
                <w:rFonts w:ascii="Times New Roman" w:eastAsia="Times New Roman" w:hAnsi="Times New Roman" w:cs="Times New Roman"/>
                <w:i/>
                <w:color w:val="333333"/>
              </w:rPr>
            </w:pPr>
          </w:p>
          <w:p w:rsidR="002A7A1C" w:rsidRDefault="006C5B7B">
            <w:pPr>
              <w:pBdr>
                <w:top w:val="nil"/>
                <w:left w:val="nil"/>
                <w:bottom w:val="nil"/>
                <w:right w:val="nil"/>
                <w:between w:val="nil"/>
              </w:pBdr>
              <w:spacing w:line="276" w:lineRule="auto"/>
              <w:jc w:val="both"/>
              <w:rPr>
                <w:rFonts w:ascii="Times New Roman" w:eastAsia="Times New Roman" w:hAnsi="Times New Roman" w:cs="Times New Roman"/>
                <w:i/>
              </w:rPr>
            </w:pPr>
            <w:r>
              <w:rPr>
                <w:rFonts w:ascii="Times New Roman" w:eastAsia="Times New Roman" w:hAnsi="Times New Roman" w:cs="Times New Roman"/>
              </w:rPr>
              <w:t xml:space="preserve">6.1 A quantidade a ser contratada é de </w:t>
            </w:r>
            <w:r>
              <w:rPr>
                <w:rFonts w:ascii="Times New Roman" w:eastAsia="Times New Roman" w:hAnsi="Times New Roman" w:cs="Times New Roman"/>
                <w:b/>
              </w:rPr>
              <w:t>03(três) licenças</w:t>
            </w:r>
            <w:r>
              <w:rPr>
                <w:rFonts w:ascii="Times New Roman" w:eastAsia="Times New Roman" w:hAnsi="Times New Roman" w:cs="Times New Roman"/>
              </w:rPr>
              <w:t>, o que significa 01 licença a menos que a contratação do exercício anterior que eram de 04 licenças para todas as Unidades do IF Sertão-PE. A quantidade total será distribuída da seguinte maneira: 03 licenças para uso da Reitoria que terá em torno de 35 p</w:t>
            </w:r>
            <w:r>
              <w:rPr>
                <w:rFonts w:ascii="Times New Roman" w:eastAsia="Times New Roman" w:hAnsi="Times New Roman" w:cs="Times New Roman"/>
              </w:rPr>
              <w:t>rocessos licitatórios/ano + prorrogação de contratos, cerca de 05 dispensas de licitação/ano para realizar cotação. Sendo que esses 03(três) acessos serão utilizados por 03 servidores responsáveis por pesquisa de preços. A ferramenta poderá ser utilizada p</w:t>
            </w:r>
            <w:r>
              <w:rPr>
                <w:rFonts w:ascii="Times New Roman" w:eastAsia="Times New Roman" w:hAnsi="Times New Roman" w:cs="Times New Roman"/>
              </w:rPr>
              <w:t>elas demais Unidades do IF Sertão -PE em suas atividades de pesquisa de preços quando no momento de prorrogação de contratos, realização de dispensas de licitação, processo de compra e serviços através de adesão a ata de registro de preços. Os campi e Reit</w:t>
            </w:r>
            <w:r>
              <w:rPr>
                <w:rFonts w:ascii="Times New Roman" w:eastAsia="Times New Roman" w:hAnsi="Times New Roman" w:cs="Times New Roman"/>
              </w:rPr>
              <w:t xml:space="preserve">oria terão durante 12 meses em torno de 100 contratos para prorrogar + a estimativa de 20 contratações por dispensa de licitações em razão de valor ou outra situação enquadrada nas hipóteses previstas no art. 24 da Lei 8.666/93 e ainda outras contratações </w:t>
            </w:r>
            <w:r>
              <w:rPr>
                <w:rFonts w:ascii="Times New Roman" w:eastAsia="Times New Roman" w:hAnsi="Times New Roman" w:cs="Times New Roman"/>
              </w:rPr>
              <w:t>que poderão ser realizadas através de adesão a ata de registro de preços de outros órgãos o que implica na obrigatoriedade de pesquisa de no mínimo de preços para cada item a ser contratado.</w:t>
            </w:r>
          </w:p>
          <w:p w:rsidR="002A7A1C" w:rsidRDefault="002A7A1C">
            <w:pPr>
              <w:pBdr>
                <w:top w:val="nil"/>
                <w:left w:val="nil"/>
                <w:bottom w:val="nil"/>
                <w:right w:val="nil"/>
                <w:between w:val="nil"/>
              </w:pBdr>
              <w:rPr>
                <w:rFonts w:ascii="Times New Roman" w:eastAsia="Times New Roman" w:hAnsi="Times New Roman" w:cs="Times New Roman"/>
                <w:i/>
                <w:color w:val="333333"/>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rFonts w:ascii="Rawline" w:eastAsia="Rawline" w:hAnsi="Rawline" w:cs="Rawline"/>
                <w:i/>
                <w:color w:val="333333"/>
                <w:sz w:val="18"/>
                <w:szCs w:val="18"/>
              </w:rPr>
            </w:pPr>
            <w:r>
              <w:rPr>
                <w:color w:val="000000"/>
              </w:rPr>
              <w:t xml:space="preserve">7. </w:t>
            </w:r>
            <w:r>
              <w:rPr>
                <w:b/>
                <w:color w:val="000000"/>
              </w:rPr>
              <w:t>ESTIMATIVA DO VALOR DA CONTRATAÇÃO:</w:t>
            </w:r>
            <w:r>
              <w:rPr>
                <w:color w:val="000000"/>
              </w:rPr>
              <w:t xml:space="preserve"> </w:t>
            </w:r>
          </w:p>
          <w:p w:rsidR="002A7A1C" w:rsidRDefault="002A7A1C">
            <w:pPr>
              <w:pBdr>
                <w:top w:val="nil"/>
                <w:left w:val="nil"/>
                <w:bottom w:val="nil"/>
                <w:right w:val="nil"/>
                <w:between w:val="nil"/>
              </w:pBdr>
              <w:rPr>
                <w:rFonts w:ascii="Rawline" w:eastAsia="Rawline" w:hAnsi="Rawline" w:cs="Rawline"/>
                <w:i/>
                <w:color w:val="333333"/>
                <w:sz w:val="18"/>
                <w:szCs w:val="18"/>
              </w:rPr>
            </w:pPr>
          </w:p>
          <w:p w:rsidR="002A7A1C" w:rsidRDefault="006C5B7B">
            <w:pPr>
              <w:pBdr>
                <w:top w:val="nil"/>
                <w:left w:val="nil"/>
                <w:bottom w:val="nil"/>
                <w:right w:val="nil"/>
                <w:between w:val="nil"/>
              </w:pBdr>
              <w:jc w:val="both"/>
              <w:rPr>
                <w:rFonts w:ascii="Rawline" w:eastAsia="Rawline" w:hAnsi="Rawline" w:cs="Rawline"/>
                <w:i/>
                <w:sz w:val="18"/>
                <w:szCs w:val="18"/>
              </w:rPr>
            </w:pPr>
            <w:r>
              <w:rPr>
                <w:rFonts w:ascii="Times New Roman" w:eastAsia="Times New Roman" w:hAnsi="Times New Roman" w:cs="Times New Roman"/>
              </w:rPr>
              <w:t xml:space="preserve">7.1 O valor unitário da contratação é de R$ 8.700,00(oito mil e setecentos reais) totalizando  R$ 26.100,00(vinte e seis mil e cem reais) para a quantidade de 03 senhas de acesso, conforme proposta apresentada pela empresa NP, com a comprovação dos preços </w:t>
            </w:r>
            <w:r>
              <w:rPr>
                <w:rFonts w:ascii="Times New Roman" w:eastAsia="Times New Roman" w:hAnsi="Times New Roman" w:cs="Times New Roman"/>
              </w:rPr>
              <w:t>similares aos  praticados em outros órgão da administração pública.</w:t>
            </w:r>
          </w:p>
          <w:p w:rsidR="002A7A1C" w:rsidRDefault="002A7A1C">
            <w:pPr>
              <w:pBdr>
                <w:top w:val="nil"/>
                <w:left w:val="nil"/>
                <w:bottom w:val="nil"/>
                <w:right w:val="nil"/>
                <w:between w:val="nil"/>
              </w:pBdr>
              <w:rPr>
                <w:rFonts w:ascii="Rawline" w:eastAsia="Rawline" w:hAnsi="Rawline" w:cs="Rawline"/>
                <w:i/>
                <w:color w:val="333333"/>
                <w:sz w:val="18"/>
                <w:szCs w:val="18"/>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rFonts w:ascii="Times New Roman" w:eastAsia="Times New Roman" w:hAnsi="Times New Roman" w:cs="Times New Roman"/>
                <w:i/>
                <w:color w:val="333333"/>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 xml:space="preserve">JUSTIFICATIVA PARA O PARCELAMENTO OU NÃO DA SOLUÇÃO: </w:t>
            </w:r>
          </w:p>
          <w:p w:rsidR="002A7A1C" w:rsidRDefault="002A7A1C">
            <w:pPr>
              <w:pBdr>
                <w:top w:val="nil"/>
                <w:left w:val="nil"/>
                <w:bottom w:val="nil"/>
                <w:right w:val="nil"/>
                <w:between w:val="nil"/>
              </w:pBdr>
              <w:rPr>
                <w:rFonts w:ascii="Times New Roman" w:eastAsia="Times New Roman" w:hAnsi="Times New Roman" w:cs="Times New Roman"/>
                <w:i/>
                <w:color w:val="333333"/>
              </w:rPr>
            </w:pPr>
          </w:p>
          <w:p w:rsidR="002A7A1C" w:rsidRDefault="006C5B7B">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rPr>
              <w:t>8.1 O objeto da contratação é considerado de natureza única, não se aplicando o parcelamento no presente caso.</w:t>
            </w:r>
          </w:p>
          <w:p w:rsidR="002A7A1C" w:rsidRDefault="002A7A1C">
            <w:pPr>
              <w:pBdr>
                <w:top w:val="nil"/>
                <w:left w:val="nil"/>
                <w:bottom w:val="nil"/>
                <w:right w:val="nil"/>
                <w:between w:val="nil"/>
              </w:pBdr>
              <w:rPr>
                <w:rFonts w:ascii="Times New Roman" w:eastAsia="Times New Roman" w:hAnsi="Times New Roman" w:cs="Times New Roman"/>
                <w:i/>
                <w:color w:val="333333"/>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rFonts w:ascii="Times New Roman" w:eastAsia="Times New Roman" w:hAnsi="Times New Roman" w:cs="Times New Roman"/>
                <w:b/>
                <w:i/>
                <w:color w:val="333333"/>
              </w:rPr>
            </w:pPr>
            <w:r>
              <w:rPr>
                <w:rFonts w:ascii="Times New Roman" w:eastAsia="Times New Roman" w:hAnsi="Times New Roman" w:cs="Times New Roman"/>
                <w:b/>
                <w:color w:val="000000"/>
              </w:rPr>
              <w:t xml:space="preserve">9. CONTRATAÇÕES CORRELATAS E/OU INTERDEPENDENTES: </w:t>
            </w:r>
          </w:p>
          <w:p w:rsidR="002A7A1C" w:rsidRDefault="002A7A1C">
            <w:pPr>
              <w:pBdr>
                <w:top w:val="nil"/>
                <w:left w:val="nil"/>
                <w:bottom w:val="nil"/>
                <w:right w:val="nil"/>
                <w:between w:val="nil"/>
              </w:pBdr>
              <w:rPr>
                <w:rFonts w:ascii="Times New Roman" w:eastAsia="Times New Roman" w:hAnsi="Times New Roman" w:cs="Times New Roman"/>
                <w:i/>
                <w:color w:val="333333"/>
              </w:rPr>
            </w:pPr>
          </w:p>
          <w:p w:rsidR="002A7A1C" w:rsidRDefault="006C5B7B">
            <w:pPr>
              <w:pBdr>
                <w:top w:val="nil"/>
                <w:left w:val="nil"/>
                <w:bottom w:val="nil"/>
                <w:right w:val="nil"/>
                <w:between w:val="nil"/>
              </w:pBdr>
              <w:spacing w:line="288" w:lineRule="auto"/>
              <w:jc w:val="both"/>
              <w:rPr>
                <w:rFonts w:ascii="Times New Roman" w:eastAsia="Times New Roman" w:hAnsi="Times New Roman" w:cs="Times New Roman"/>
              </w:rPr>
            </w:pPr>
            <w:r>
              <w:rPr>
                <w:rFonts w:ascii="Times New Roman" w:eastAsia="Times New Roman" w:hAnsi="Times New Roman" w:cs="Times New Roman"/>
              </w:rPr>
              <w:t>9.1 Inicialmente não se vislumbra a necessidade de uma outra contratação que guarde dependência para a execução dos serviços pretendidos. No entanto, vale destacar que pela natureza da contratação  faz se necessário o acesso à internet.</w:t>
            </w:r>
          </w:p>
          <w:p w:rsidR="002A7A1C" w:rsidRDefault="002A7A1C">
            <w:pPr>
              <w:pBdr>
                <w:top w:val="nil"/>
                <w:left w:val="nil"/>
                <w:bottom w:val="nil"/>
                <w:right w:val="nil"/>
                <w:between w:val="nil"/>
              </w:pBdr>
              <w:spacing w:line="288" w:lineRule="auto"/>
              <w:ind w:left="720"/>
              <w:rPr>
                <w:rFonts w:ascii="Times New Roman" w:eastAsia="Times New Roman" w:hAnsi="Times New Roman" w:cs="Times New Roman"/>
                <w:color w:val="000000"/>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b/>
                <w:color w:val="000000"/>
              </w:rPr>
            </w:pPr>
            <w:r>
              <w:rPr>
                <w:color w:val="000000"/>
              </w:rPr>
              <w:t xml:space="preserve">10. </w:t>
            </w:r>
            <w:r>
              <w:rPr>
                <w:b/>
                <w:color w:val="000000"/>
              </w:rPr>
              <w:t xml:space="preserve">ALINHAMENTO ENTRE A CONTRATAÇÃO E O PLANEJAMENTO: </w:t>
            </w:r>
          </w:p>
          <w:p w:rsidR="002A7A1C" w:rsidRDefault="002A7A1C">
            <w:pPr>
              <w:pBdr>
                <w:top w:val="nil"/>
                <w:left w:val="nil"/>
                <w:bottom w:val="nil"/>
                <w:right w:val="nil"/>
                <w:between w:val="nil"/>
              </w:pBdr>
              <w:rPr>
                <w:b/>
              </w:rPr>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10.1 Considerando o Plano de Desenvolvimento Institucional (PDI 2019-2023) do IF Sertão-PE, verifica-se que essa contratação guarda relação com vários objetivos estratégicos, pois servirá de base para o a</w:t>
            </w:r>
            <w:r>
              <w:rPr>
                <w:rFonts w:ascii="Times New Roman" w:eastAsia="Times New Roman" w:hAnsi="Times New Roman" w:cs="Times New Roman"/>
              </w:rPr>
              <w:t>ndamento dos processos de aquisição, na definição do preço de referência a ser contratado.</w:t>
            </w:r>
          </w:p>
          <w:p w:rsidR="002A7A1C" w:rsidRDefault="006C5B7B">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rPr>
              <w:t xml:space="preserve">10.2 Podemos citar a relação desta contratação com a Perspectiva </w:t>
            </w:r>
            <w:r>
              <w:rPr>
                <w:rFonts w:ascii="Times New Roman" w:eastAsia="Times New Roman" w:hAnsi="Times New Roman" w:cs="Times New Roman"/>
                <w:i/>
              </w:rPr>
              <w:t>P1 “ORÇAMENTO”, conforme abaixo, onde o índice de economicidade se dará a partir da comparação da pr</w:t>
            </w:r>
            <w:r>
              <w:rPr>
                <w:rFonts w:ascii="Times New Roman" w:eastAsia="Times New Roman" w:hAnsi="Times New Roman" w:cs="Times New Roman"/>
                <w:i/>
              </w:rPr>
              <w:t>evisão de gastos, com o preço de referência, com o resultado da licitação.</w:t>
            </w:r>
          </w:p>
          <w:p w:rsidR="002A7A1C" w:rsidRDefault="002A7A1C">
            <w:pPr>
              <w:pBdr>
                <w:top w:val="nil"/>
                <w:left w:val="nil"/>
                <w:bottom w:val="nil"/>
                <w:right w:val="nil"/>
                <w:between w:val="nil"/>
              </w:pBdr>
              <w:rPr>
                <w:rFonts w:ascii="Rawline" w:eastAsia="Rawline" w:hAnsi="Rawline" w:cs="Rawline"/>
                <w:i/>
                <w:color w:val="0000FF"/>
                <w:sz w:val="18"/>
                <w:szCs w:val="18"/>
              </w:rPr>
            </w:pPr>
          </w:p>
          <w:p w:rsidR="002A7A1C" w:rsidRDefault="006C5B7B">
            <w:pPr>
              <w:pBdr>
                <w:top w:val="nil"/>
                <w:left w:val="nil"/>
                <w:bottom w:val="nil"/>
                <w:right w:val="nil"/>
                <w:between w:val="nil"/>
              </w:pBdr>
              <w:rPr>
                <w:rFonts w:ascii="Rawline" w:eastAsia="Rawline" w:hAnsi="Rawline" w:cs="Rawline"/>
                <w:i/>
                <w:color w:val="0000FF"/>
                <w:sz w:val="18"/>
                <w:szCs w:val="18"/>
              </w:rPr>
            </w:pPr>
            <w:r>
              <w:rPr>
                <w:rFonts w:ascii="Rawline" w:eastAsia="Rawline" w:hAnsi="Rawline" w:cs="Rawline"/>
                <w:i/>
                <w:noProof/>
                <w:color w:val="0000FF"/>
                <w:sz w:val="18"/>
                <w:szCs w:val="18"/>
              </w:rPr>
              <w:drawing>
                <wp:inline distT="114300" distB="114300" distL="114300" distR="114300">
                  <wp:extent cx="6048375" cy="14351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048375" cy="1435100"/>
                          </a:xfrm>
                          <a:prstGeom prst="rect">
                            <a:avLst/>
                          </a:prstGeom>
                          <a:ln/>
                        </pic:spPr>
                      </pic:pic>
                    </a:graphicData>
                  </a:graphic>
                </wp:inline>
              </w:drawing>
            </w:r>
          </w:p>
          <w:p w:rsidR="002A7A1C" w:rsidRDefault="006C5B7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10.3 Ratifica-se tal afirmação ao verificar o quadro de indicadores e a companhamento de metas, também disponível no citado PDI:</w:t>
            </w:r>
          </w:p>
          <w:p w:rsidR="002A7A1C" w:rsidRDefault="002A7A1C">
            <w:pPr>
              <w:pBdr>
                <w:top w:val="nil"/>
                <w:left w:val="nil"/>
                <w:bottom w:val="nil"/>
                <w:right w:val="nil"/>
                <w:between w:val="nil"/>
              </w:pBdr>
              <w:rPr>
                <w:rFonts w:ascii="Rawline" w:eastAsia="Rawline" w:hAnsi="Rawline" w:cs="Rawline"/>
                <w:color w:val="0000FF"/>
                <w:sz w:val="18"/>
                <w:szCs w:val="18"/>
              </w:rPr>
            </w:pPr>
          </w:p>
          <w:p w:rsidR="002A7A1C" w:rsidRDefault="006C5B7B">
            <w:pPr>
              <w:pBdr>
                <w:top w:val="nil"/>
                <w:left w:val="nil"/>
                <w:bottom w:val="nil"/>
                <w:right w:val="nil"/>
                <w:between w:val="nil"/>
              </w:pBdr>
              <w:rPr>
                <w:rFonts w:ascii="Rawline" w:eastAsia="Rawline" w:hAnsi="Rawline" w:cs="Rawline"/>
                <w:sz w:val="18"/>
                <w:szCs w:val="18"/>
              </w:rPr>
            </w:pPr>
            <w:r>
              <w:rPr>
                <w:rFonts w:ascii="Rawline" w:eastAsia="Rawline" w:hAnsi="Rawline" w:cs="Rawline"/>
                <w:noProof/>
                <w:sz w:val="18"/>
                <w:szCs w:val="18"/>
              </w:rPr>
              <w:drawing>
                <wp:inline distT="114300" distB="114300" distL="114300" distR="114300">
                  <wp:extent cx="6048375" cy="3213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48375" cy="3213100"/>
                          </a:xfrm>
                          <a:prstGeom prst="rect">
                            <a:avLst/>
                          </a:prstGeom>
                          <a:ln/>
                        </pic:spPr>
                      </pic:pic>
                    </a:graphicData>
                  </a:graphic>
                </wp:inline>
              </w:drawing>
            </w:r>
          </w:p>
          <w:p w:rsidR="002A7A1C" w:rsidRDefault="006C5B7B">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rPr>
              <w:t>10.4 Consequentemente, essa contratação está relacionada ao Objetivo Estratégico O01 – Otimizar a utilização dos recursos orçamentários - guardando relação com as suas respectivas iniciativas.</w:t>
            </w:r>
          </w:p>
        </w:tc>
      </w:tr>
    </w:tbl>
    <w:p w:rsidR="002A7A1C" w:rsidRDefault="002A7A1C">
      <w:pPr>
        <w:jc w:val="center"/>
        <w:rPr>
          <w:rFonts w:ascii="Arial" w:eastAsia="Arial" w:hAnsi="Arial" w:cs="Arial"/>
          <w:b/>
          <w:sz w:val="26"/>
          <w:szCs w:val="26"/>
        </w:rPr>
      </w:pPr>
    </w:p>
    <w:p w:rsidR="002A7A1C" w:rsidRDefault="002A7A1C">
      <w:pPr>
        <w:jc w:val="center"/>
        <w:rPr>
          <w:rFonts w:ascii="Arial" w:eastAsia="Arial" w:hAnsi="Arial" w:cs="Arial"/>
          <w:b/>
          <w:sz w:val="26"/>
          <w:szCs w:val="26"/>
        </w:rPr>
      </w:pPr>
    </w:p>
    <w:p w:rsidR="002A7A1C" w:rsidRDefault="002A7A1C">
      <w:pPr>
        <w:jc w:val="center"/>
        <w:rPr>
          <w:rFonts w:ascii="Arial" w:eastAsia="Arial" w:hAnsi="Arial" w:cs="Arial"/>
          <w:b/>
          <w:sz w:val="26"/>
          <w:szCs w:val="26"/>
        </w:rPr>
      </w:pPr>
    </w:p>
    <w:tbl>
      <w:tblPr>
        <w:tblStyle w:val="a2"/>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40"/>
      </w:tblGrid>
      <w:tr w:rsidR="002A7A1C">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2A7A1C" w:rsidRDefault="006C5B7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PLANEJAMENTO</w:t>
            </w: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color w:val="000000"/>
              </w:rPr>
            </w:pPr>
            <w:r>
              <w:rPr>
                <w:color w:val="000000"/>
              </w:rPr>
              <w:t>11. RESULTADOS PRETENDIDOS:</w:t>
            </w:r>
          </w:p>
          <w:p w:rsidR="002A7A1C" w:rsidRDefault="002A7A1C">
            <w:pPr>
              <w:pBdr>
                <w:top w:val="nil"/>
                <w:left w:val="nil"/>
                <w:bottom w:val="nil"/>
                <w:right w:val="nil"/>
                <w:between w:val="nil"/>
              </w:pBdr>
            </w:pPr>
          </w:p>
          <w:p w:rsidR="002A7A1C" w:rsidRDefault="006C5B7B">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11.1 Além de atender os objetivos estratégicos da instituição a presente contratação visa ainda atender a necessidade da adequada instrução dos processos administrativos, no que tange, a formalização dos processos licitatórios:</w:t>
            </w:r>
            <w:r>
              <w:rPr>
                <w:rFonts w:ascii="Times New Roman" w:eastAsia="Times New Roman" w:hAnsi="Times New Roman" w:cs="Times New Roman"/>
              </w:rPr>
              <w:t xml:space="preserve"> pregão, dispensa e inexigibilidade de licitação. É um serviço de suma importância, haja vista a necessidade da correta formalização e adequação de acordo com legislação vigente, classificando-o como indispensável aos serviços desta autarquia federal, send</w:t>
            </w:r>
            <w:r>
              <w:rPr>
                <w:rFonts w:ascii="Times New Roman" w:eastAsia="Times New Roman" w:hAnsi="Times New Roman" w:cs="Times New Roman"/>
              </w:rPr>
              <w:t>o sua eficiência, eficácia e facilidade de uso comprovada na prática em processo de contratação anterior.</w:t>
            </w:r>
          </w:p>
          <w:p w:rsidR="002A7A1C" w:rsidRDefault="002A7A1C">
            <w:pPr>
              <w:pBdr>
                <w:top w:val="nil"/>
                <w:left w:val="nil"/>
                <w:bottom w:val="nil"/>
                <w:right w:val="nil"/>
                <w:between w:val="nil"/>
              </w:pBdr>
              <w:jc w:val="both"/>
              <w:rPr>
                <w:rFonts w:ascii="Times New Roman" w:eastAsia="Times New Roman" w:hAnsi="Times New Roman" w:cs="Times New Roman"/>
              </w:rPr>
            </w:pPr>
          </w:p>
          <w:p w:rsidR="002A7A1C" w:rsidRDefault="006C5B7B">
            <w:pPr>
              <w:widowControl w:val="0"/>
              <w:spacing w:line="276" w:lineRule="auto"/>
              <w:jc w:val="both"/>
              <w:rPr>
                <w:rFonts w:ascii="Rawline" w:eastAsia="Rawline" w:hAnsi="Rawline" w:cs="Rawline"/>
                <w:i/>
                <w:sz w:val="18"/>
                <w:szCs w:val="18"/>
              </w:rPr>
            </w:pPr>
            <w:r>
              <w:rPr>
                <w:rFonts w:ascii="Times New Roman" w:eastAsia="Times New Roman" w:hAnsi="Times New Roman" w:cs="Times New Roman"/>
              </w:rPr>
              <w:t xml:space="preserve">11.2 A pesquisa de preços torna-se necessária para que a Administração possa avaliar o custo da contratação e constitui elemento fundamental para a instrução dos procedimentos de contratação, estando prevista em várias disposições legais, de sorte que sua </w:t>
            </w:r>
            <w:r>
              <w:rPr>
                <w:rFonts w:ascii="Times New Roman" w:eastAsia="Times New Roman" w:hAnsi="Times New Roman" w:cs="Times New Roman"/>
              </w:rPr>
              <w:t>obrigatoriedade é reconhecida pela</w:t>
            </w:r>
            <w:r>
              <w:rPr>
                <w:rFonts w:ascii="Times New Roman" w:eastAsia="Times New Roman" w:hAnsi="Times New Roman" w:cs="Times New Roman"/>
                <w:color w:val="0000FF"/>
              </w:rPr>
              <w:t xml:space="preserve"> </w:t>
            </w:r>
            <w:r>
              <w:rPr>
                <w:rFonts w:ascii="Times New Roman" w:eastAsia="Times New Roman" w:hAnsi="Times New Roman" w:cs="Times New Roman"/>
              </w:rPr>
              <w:t>jurisprudência do Tribunal de Contas da União - TCU.</w:t>
            </w:r>
          </w:p>
          <w:p w:rsidR="002A7A1C" w:rsidRDefault="002A7A1C">
            <w:pPr>
              <w:pBdr>
                <w:top w:val="nil"/>
                <w:left w:val="nil"/>
                <w:bottom w:val="nil"/>
                <w:right w:val="nil"/>
                <w:between w:val="nil"/>
              </w:pBdr>
              <w:rPr>
                <w:rFonts w:ascii="Rawline" w:eastAsia="Rawline" w:hAnsi="Rawline" w:cs="Rawline"/>
                <w:i/>
                <w:color w:val="333333"/>
                <w:sz w:val="18"/>
                <w:szCs w:val="18"/>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jc w:val="both"/>
            </w:pPr>
            <w:r>
              <w:rPr>
                <w:color w:val="000000"/>
              </w:rPr>
              <w:t>12. PROVIDÊNCIAS A SEREM ADOTADAS:</w:t>
            </w:r>
          </w:p>
          <w:p w:rsidR="002A7A1C" w:rsidRDefault="002A7A1C">
            <w:pPr>
              <w:pBdr>
                <w:top w:val="nil"/>
                <w:left w:val="nil"/>
                <w:bottom w:val="nil"/>
                <w:right w:val="nil"/>
                <w:between w:val="nil"/>
              </w:pBdr>
              <w:jc w:val="both"/>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12.1 Acompanhamento e a fiscalização da execução do contrato que consistem na verificação da conformidade da prestação dos serviços e da alocação dos recursos necessários, de forma a assegurar o perfeito cumprimento do ajuste, devendo ser exercidos por um </w:t>
            </w:r>
            <w:r>
              <w:rPr>
                <w:rFonts w:ascii="Times New Roman" w:eastAsia="Times New Roman" w:hAnsi="Times New Roman" w:cs="Times New Roman"/>
              </w:rPr>
              <w:t>ou mais representantes da Contratante, especialmente designados, na forma dos arts. 67 e 73 da Lei nº 8.666, de 1993.</w:t>
            </w:r>
          </w:p>
          <w:p w:rsidR="002A7A1C" w:rsidRDefault="002A7A1C">
            <w:pPr>
              <w:pBdr>
                <w:top w:val="nil"/>
                <w:left w:val="nil"/>
                <w:bottom w:val="nil"/>
                <w:right w:val="nil"/>
                <w:between w:val="nil"/>
              </w:pBdr>
              <w:jc w:val="both"/>
              <w:rPr>
                <w:rFonts w:ascii="Times New Roman" w:eastAsia="Times New Roman" w:hAnsi="Times New Roman" w:cs="Times New Roman"/>
              </w:rPr>
            </w:pPr>
          </w:p>
          <w:p w:rsidR="002A7A1C" w:rsidRDefault="006C5B7B">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12.1.1 Exigir que a empresa contratada realize treinamento e forneça suporte aos usuários da ferramenta, sempre que solicitado, em cumpri</w:t>
            </w:r>
            <w:r>
              <w:rPr>
                <w:rFonts w:ascii="Times New Roman" w:eastAsia="Times New Roman" w:hAnsi="Times New Roman" w:cs="Times New Roman"/>
              </w:rPr>
              <w:t xml:space="preserve">mento às cláusulas contratuais. </w:t>
            </w:r>
          </w:p>
          <w:p w:rsidR="002A7A1C" w:rsidRDefault="002A7A1C">
            <w:pPr>
              <w:pBdr>
                <w:top w:val="nil"/>
                <w:left w:val="nil"/>
                <w:bottom w:val="nil"/>
                <w:right w:val="nil"/>
                <w:between w:val="nil"/>
              </w:pBdr>
              <w:rPr>
                <w:rFonts w:ascii="Rawline" w:eastAsia="Rawline" w:hAnsi="Rawline" w:cs="Rawline"/>
                <w:i/>
                <w:color w:val="333333"/>
                <w:sz w:val="18"/>
                <w:szCs w:val="18"/>
              </w:rPr>
            </w:pP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pBdr>
                <w:top w:val="nil"/>
                <w:left w:val="nil"/>
                <w:bottom w:val="nil"/>
                <w:right w:val="nil"/>
                <w:between w:val="nil"/>
              </w:pBdr>
              <w:rPr>
                <w:rFonts w:ascii="Rawline" w:eastAsia="Rawline" w:hAnsi="Rawline" w:cs="Rawline"/>
                <w:i/>
                <w:color w:val="333333"/>
                <w:sz w:val="18"/>
                <w:szCs w:val="18"/>
              </w:rPr>
            </w:pPr>
            <w:r>
              <w:rPr>
                <w:color w:val="000000"/>
              </w:rPr>
              <w:t xml:space="preserve">13. POSSÍVEIS IMPACTOS AMBIENTAIS: </w:t>
            </w:r>
          </w:p>
          <w:p w:rsidR="002A7A1C" w:rsidRDefault="002A7A1C">
            <w:pPr>
              <w:pBdr>
                <w:top w:val="nil"/>
                <w:left w:val="nil"/>
                <w:bottom w:val="nil"/>
                <w:right w:val="nil"/>
                <w:between w:val="nil"/>
              </w:pBdr>
              <w:rPr>
                <w:rFonts w:ascii="Rawline" w:eastAsia="Rawline" w:hAnsi="Rawline" w:cs="Rawline"/>
                <w:i/>
                <w:color w:val="333333"/>
                <w:sz w:val="18"/>
                <w:szCs w:val="18"/>
              </w:rPr>
            </w:pPr>
          </w:p>
          <w:p w:rsidR="002A7A1C" w:rsidRDefault="006C5B7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13.1 Não há expectativa de impactos ambientais, causados por esta prestação de serviços.</w:t>
            </w:r>
          </w:p>
        </w:tc>
      </w:tr>
    </w:tbl>
    <w:p w:rsidR="002A7A1C" w:rsidRDefault="002A7A1C">
      <w:pPr>
        <w:rPr>
          <w:rFonts w:ascii="Arial" w:eastAsia="Arial" w:hAnsi="Arial" w:cs="Arial"/>
          <w:b/>
          <w:sz w:val="26"/>
          <w:szCs w:val="26"/>
        </w:rPr>
      </w:pPr>
    </w:p>
    <w:p w:rsidR="002A7A1C" w:rsidRDefault="002A7A1C">
      <w:pPr>
        <w:jc w:val="center"/>
        <w:rPr>
          <w:rFonts w:ascii="Arial" w:eastAsia="Arial" w:hAnsi="Arial" w:cs="Arial"/>
          <w:b/>
          <w:sz w:val="26"/>
          <w:szCs w:val="26"/>
        </w:rPr>
      </w:pPr>
    </w:p>
    <w:tbl>
      <w:tblPr>
        <w:tblStyle w:val="a3"/>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40"/>
      </w:tblGrid>
      <w:tr w:rsidR="002A7A1C">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2A7A1C" w:rsidRDefault="006C5B7B">
            <w:p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 xml:space="preserve">14. </w:t>
            </w:r>
            <w:r>
              <w:rPr>
                <w:rFonts w:ascii="Arial" w:eastAsia="Arial" w:hAnsi="Arial" w:cs="Arial"/>
                <w:b/>
                <w:color w:val="000000"/>
                <w:sz w:val="20"/>
                <w:szCs w:val="20"/>
              </w:rPr>
              <w:t>DECLARAÇÃO DE VIABILIDADE</w:t>
            </w:r>
          </w:p>
        </w:tc>
      </w:tr>
      <w:tr w:rsidR="002A7A1C">
        <w:tc>
          <w:tcPr>
            <w:tcW w:w="9640" w:type="dxa"/>
            <w:tcBorders>
              <w:left w:val="single" w:sz="4" w:space="0" w:color="000000"/>
              <w:bottom w:val="single" w:sz="4" w:space="0" w:color="000000"/>
              <w:right w:val="single" w:sz="4" w:space="0" w:color="000000"/>
            </w:tcBorders>
            <w:shd w:val="clear" w:color="auto" w:fill="auto"/>
          </w:tcPr>
          <w:p w:rsidR="002A7A1C" w:rsidRDefault="006C5B7B">
            <w:pPr>
              <w:jc w:val="both"/>
            </w:pPr>
            <w:r>
              <w:t>14.1 Os estudos preliminares evidenciaram que os serviços prestados através da Ferramenta Banco de Preços ofertada pela empresa NP CAPACITAÇÃO E SOLUÇÕES LTDA  é compatível com o objeto e reúne os recursos necessários e legais para a realização das pesquis</w:t>
            </w:r>
            <w:r>
              <w:t xml:space="preserve">as de preços. Também foi comprovado, através de carta de exclusividade, que os serviços prestados são exclusivos,  configurando, assim, a inviabilidade fática e jurídica absoluta de competição, ensejando o enquadramento no </w:t>
            </w:r>
            <w:r>
              <w:rPr>
                <w:i/>
              </w:rPr>
              <w:t>caput</w:t>
            </w:r>
            <w:r>
              <w:t>, do art. 25, da Lei nº 8.66</w:t>
            </w:r>
            <w:r>
              <w:t>6/93. Além disso, foi comprovado, através de consultas realizadas, que a proposta de preço da Ferramenta está num valor vantajoso, em comparação aos preços praticados em outros órgãos da administração e compatível com o mercado. Assim sendo, esta equipe de</w:t>
            </w:r>
            <w:r>
              <w:t xml:space="preserve"> planejamento declara </w:t>
            </w:r>
            <w:r>
              <w:rPr>
                <w:b/>
              </w:rPr>
              <w:t>viável</w:t>
            </w:r>
            <w:r>
              <w:t xml:space="preserve"> esta contratação com base neste Estudo Técnico Preliminar, consoante o inciso XIII, art 7º da IN 40 de 22 de maio de 2020, da SEGES/ME. </w:t>
            </w:r>
          </w:p>
          <w:p w:rsidR="002A7A1C" w:rsidRDefault="002A7A1C">
            <w:pPr>
              <w:pBdr>
                <w:top w:val="nil"/>
                <w:left w:val="nil"/>
                <w:bottom w:val="nil"/>
                <w:right w:val="nil"/>
                <w:between w:val="nil"/>
              </w:pBdr>
              <w:jc w:val="both"/>
              <w:rPr>
                <w:color w:val="000000"/>
              </w:rPr>
            </w:pPr>
          </w:p>
          <w:p w:rsidR="002A7A1C" w:rsidRDefault="002A7A1C">
            <w:pPr>
              <w:pBdr>
                <w:top w:val="nil"/>
                <w:left w:val="nil"/>
                <w:bottom w:val="nil"/>
                <w:right w:val="nil"/>
                <w:between w:val="nil"/>
              </w:pBdr>
              <w:jc w:val="both"/>
              <w:rPr>
                <w:rFonts w:ascii="Ecofont_Spranq_eco_Sans" w:eastAsia="Ecofont_Spranq_eco_Sans" w:hAnsi="Ecofont_Spranq_eco_Sans" w:cs="Ecofont_Spranq_eco_Sans"/>
                <w:color w:val="000000"/>
                <w:sz w:val="26"/>
                <w:szCs w:val="26"/>
              </w:rPr>
            </w:pPr>
          </w:p>
          <w:p w:rsidR="002A7A1C" w:rsidRDefault="002A7A1C">
            <w:pPr>
              <w:pBdr>
                <w:top w:val="nil"/>
                <w:left w:val="nil"/>
                <w:bottom w:val="nil"/>
                <w:right w:val="nil"/>
                <w:between w:val="nil"/>
              </w:pBdr>
              <w:jc w:val="both"/>
              <w:rPr>
                <w:rFonts w:ascii="Ecofont_Spranq_eco_Sans" w:eastAsia="Ecofont_Spranq_eco_Sans" w:hAnsi="Ecofont_Spranq_eco_Sans" w:cs="Ecofont_Spranq_eco_Sans"/>
                <w:color w:val="000000"/>
                <w:sz w:val="26"/>
                <w:szCs w:val="26"/>
              </w:rPr>
            </w:pPr>
          </w:p>
          <w:p w:rsidR="002A7A1C" w:rsidRDefault="006C5B7B">
            <w:pPr>
              <w:pBdr>
                <w:top w:val="nil"/>
                <w:left w:val="nil"/>
                <w:bottom w:val="nil"/>
                <w:right w:val="nil"/>
                <w:between w:val="nil"/>
              </w:pBdr>
              <w:jc w:val="center"/>
              <w:rPr>
                <w:i/>
                <w:color w:val="158466"/>
                <w:sz w:val="18"/>
                <w:szCs w:val="18"/>
              </w:rPr>
            </w:pPr>
            <w:r>
              <w:rPr>
                <w:rFonts w:ascii="Ecofont_Spranq_eco_Sans" w:eastAsia="Ecofont_Spranq_eco_Sans" w:hAnsi="Ecofont_Spranq_eco_Sans" w:cs="Ecofont_Spranq_eco_Sans"/>
                <w:color w:val="C9211E"/>
                <w:sz w:val="26"/>
                <w:szCs w:val="26"/>
              </w:rPr>
              <w:t>Responsável(is)</w:t>
            </w:r>
          </w:p>
          <w:p w:rsidR="002A7A1C" w:rsidRDefault="002A7A1C">
            <w:pPr>
              <w:pBdr>
                <w:top w:val="nil"/>
                <w:left w:val="nil"/>
                <w:bottom w:val="nil"/>
                <w:right w:val="nil"/>
                <w:between w:val="nil"/>
              </w:pBdr>
              <w:rPr>
                <w:rFonts w:ascii="Ecofont_Spranq_eco_Sans" w:eastAsia="Ecofont_Spranq_eco_Sans" w:hAnsi="Ecofont_Spranq_eco_Sans" w:cs="Ecofont_Spranq_eco_Sans"/>
                <w:color w:val="C9211E"/>
                <w:sz w:val="26"/>
                <w:szCs w:val="26"/>
              </w:rPr>
            </w:pPr>
          </w:p>
          <w:p w:rsidR="002A7A1C" w:rsidRDefault="002A7A1C">
            <w:pPr>
              <w:pBdr>
                <w:top w:val="nil"/>
                <w:left w:val="nil"/>
                <w:bottom w:val="nil"/>
                <w:right w:val="nil"/>
                <w:between w:val="nil"/>
              </w:pBdr>
              <w:rPr>
                <w:rFonts w:ascii="Ecofont_Spranq_eco_Sans" w:eastAsia="Ecofont_Spranq_eco_Sans" w:hAnsi="Ecofont_Spranq_eco_Sans" w:cs="Ecofont_Spranq_eco_Sans"/>
                <w:color w:val="C9211E"/>
                <w:sz w:val="26"/>
                <w:szCs w:val="26"/>
              </w:rPr>
            </w:pPr>
          </w:p>
          <w:p w:rsidR="002A7A1C" w:rsidRDefault="002A7A1C">
            <w:pPr>
              <w:pBdr>
                <w:top w:val="nil"/>
                <w:left w:val="nil"/>
                <w:bottom w:val="nil"/>
                <w:right w:val="nil"/>
                <w:between w:val="nil"/>
              </w:pBdr>
              <w:jc w:val="both"/>
              <w:rPr>
                <w:rFonts w:ascii="Ecofont_Spranq_eco_Sans" w:eastAsia="Ecofont_Spranq_eco_Sans" w:hAnsi="Ecofont_Spranq_eco_Sans" w:cs="Ecofont_Spranq_eco_Sans"/>
                <w:color w:val="000000"/>
                <w:sz w:val="26"/>
                <w:szCs w:val="26"/>
              </w:rPr>
            </w:pPr>
          </w:p>
        </w:tc>
      </w:tr>
    </w:tbl>
    <w:p w:rsidR="002A7A1C" w:rsidRDefault="002A7A1C">
      <w:pPr>
        <w:jc w:val="center"/>
        <w:rPr>
          <w:rFonts w:ascii="Arial" w:eastAsia="Arial" w:hAnsi="Arial" w:cs="Arial"/>
          <w:b/>
          <w:sz w:val="26"/>
          <w:szCs w:val="26"/>
        </w:rPr>
      </w:pPr>
    </w:p>
    <w:sectPr w:rsidR="002A7A1C">
      <w:headerReference w:type="default" r:id="rId9"/>
      <w:pgSz w:w="11906" w:h="16838"/>
      <w:pgMar w:top="3045" w:right="1134" w:bottom="1134" w:left="1134"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5B7B">
      <w:r>
        <w:separator/>
      </w:r>
    </w:p>
  </w:endnote>
  <w:endnote w:type="continuationSeparator" w:id="0">
    <w:p w:rsidR="00000000" w:rsidRDefault="006C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wline">
    <w:altName w:val="Calibri"/>
    <w:charset w:val="00"/>
    <w:family w:val="auto"/>
    <w:pitch w:val="default"/>
  </w:font>
  <w:font w:name="Ecofont_Spranq_eco_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5B7B">
      <w:r>
        <w:separator/>
      </w:r>
    </w:p>
  </w:footnote>
  <w:footnote w:type="continuationSeparator" w:id="0">
    <w:p w:rsidR="00000000" w:rsidRDefault="006C5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1C" w:rsidRDefault="006C5B7B">
    <w:pPr>
      <w:jc w:val="center"/>
      <w:rPr>
        <w:rFonts w:ascii="Arial" w:eastAsia="Arial" w:hAnsi="Arial" w:cs="Arial"/>
        <w:b/>
      </w:rPr>
    </w:pPr>
    <w:r>
      <w:rPr>
        <w:noProof/>
      </w:rPr>
      <w:drawing>
        <wp:anchor distT="0" distB="0" distL="0" distR="0" simplePos="0" relativeHeight="251658240" behindDoc="0" locked="0" layoutInCell="1" hidden="0" allowOverlap="1">
          <wp:simplePos x="0" y="0"/>
          <wp:positionH relativeFrom="column">
            <wp:posOffset>2842260</wp:posOffset>
          </wp:positionH>
          <wp:positionV relativeFrom="paragraph">
            <wp:posOffset>-367028</wp:posOffset>
          </wp:positionV>
          <wp:extent cx="668020" cy="65532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79" t="-181" r="-179" b="-179"/>
                  <a:stretch>
                    <a:fillRect/>
                  </a:stretch>
                </pic:blipFill>
                <pic:spPr>
                  <a:xfrm>
                    <a:off x="0" y="0"/>
                    <a:ext cx="668020" cy="65532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-6983</wp:posOffset>
          </wp:positionH>
          <wp:positionV relativeFrom="paragraph">
            <wp:posOffset>-2538</wp:posOffset>
          </wp:positionV>
          <wp:extent cx="1381125" cy="360680"/>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52" t="-202" r="-51" b="-201"/>
                  <a:stretch>
                    <a:fillRect/>
                  </a:stretch>
                </pic:blipFill>
                <pic:spPr>
                  <a:xfrm>
                    <a:off x="0" y="0"/>
                    <a:ext cx="1381125" cy="360680"/>
                  </a:xfrm>
                  <a:prstGeom prst="rect">
                    <a:avLst/>
                  </a:prstGeom>
                  <a:ln/>
                </pic:spPr>
              </pic:pic>
            </a:graphicData>
          </a:graphic>
        </wp:anchor>
      </w:drawing>
    </w:r>
  </w:p>
  <w:p w:rsidR="002A7A1C" w:rsidRDefault="002A7A1C">
    <w:pPr>
      <w:jc w:val="center"/>
      <w:rPr>
        <w:rFonts w:ascii="Arial" w:eastAsia="Arial" w:hAnsi="Arial" w:cs="Arial"/>
        <w:b/>
      </w:rPr>
    </w:pPr>
  </w:p>
  <w:p w:rsidR="002A7A1C" w:rsidRDefault="006C5B7B">
    <w:pPr>
      <w:jc w:val="center"/>
      <w:rPr>
        <w:rFonts w:ascii="Arial" w:eastAsia="Arial" w:hAnsi="Arial" w:cs="Arial"/>
        <w:b/>
      </w:rPr>
    </w:pPr>
    <w:r>
      <w:rPr>
        <w:rFonts w:ascii="Arial" w:eastAsia="Arial" w:hAnsi="Arial" w:cs="Arial"/>
        <w:b/>
      </w:rPr>
      <w:t>MINISTÉRIO DA EDUCAÇÃO</w:t>
    </w:r>
  </w:p>
  <w:p w:rsidR="002A7A1C" w:rsidRDefault="006C5B7B">
    <w:pPr>
      <w:jc w:val="center"/>
      <w:rPr>
        <w:rFonts w:ascii="Arial" w:eastAsia="Arial" w:hAnsi="Arial" w:cs="Arial"/>
        <w:b/>
        <w:sz w:val="16"/>
        <w:szCs w:val="16"/>
      </w:rPr>
    </w:pPr>
    <w:r>
      <w:rPr>
        <w:rFonts w:ascii="Arial" w:eastAsia="Arial" w:hAnsi="Arial" w:cs="Arial"/>
        <w:b/>
        <w:sz w:val="16"/>
        <w:szCs w:val="16"/>
      </w:rPr>
      <w:t>SECRETARIA DE EDUCAÇÃO PROFISSIONAL E TECNOLÓGICA</w:t>
    </w:r>
  </w:p>
  <w:p w:rsidR="002A7A1C" w:rsidRDefault="006C5B7B">
    <w:pPr>
      <w:jc w:val="center"/>
      <w:rPr>
        <w:rFonts w:ascii="Arial" w:eastAsia="Arial" w:hAnsi="Arial" w:cs="Arial"/>
        <w:b/>
        <w:sz w:val="16"/>
        <w:szCs w:val="16"/>
      </w:rPr>
    </w:pPr>
    <w:r>
      <w:rPr>
        <w:rFonts w:ascii="Arial" w:eastAsia="Arial" w:hAnsi="Arial" w:cs="Arial"/>
        <w:b/>
        <w:sz w:val="16"/>
        <w:szCs w:val="16"/>
      </w:rPr>
      <w:t>INSTITUTO FEDERAL DE EDUCAÇÃO, CIÊNCIA E TECNOLOGIA DO SERTÃO PERNAMBUCANO</w:t>
    </w:r>
  </w:p>
  <w:p w:rsidR="002A7A1C" w:rsidRDefault="006C5B7B">
    <w:pPr>
      <w:jc w:val="center"/>
      <w:rPr>
        <w:rFonts w:ascii="Arial" w:eastAsia="Arial" w:hAnsi="Arial" w:cs="Arial"/>
        <w:b/>
        <w:sz w:val="16"/>
        <w:szCs w:val="16"/>
      </w:rPr>
    </w:pPr>
    <w:r>
      <w:rPr>
        <w:rFonts w:ascii="Arial" w:eastAsia="Arial" w:hAnsi="Arial" w:cs="Arial"/>
        <w:b/>
        <w:sz w:val="16"/>
        <w:szCs w:val="16"/>
      </w:rPr>
      <w:t>DEPARTAMENTO E GESTÃO DE RISCOS DE AQUISIÇÕES – DPGRA</w:t>
    </w:r>
  </w:p>
  <w:p w:rsidR="002A7A1C" w:rsidRDefault="006C5B7B">
    <w:pPr>
      <w:jc w:val="center"/>
      <w:rPr>
        <w:rFonts w:ascii="Arial" w:eastAsia="Arial" w:hAnsi="Arial" w:cs="Arial"/>
        <w:b/>
        <w:sz w:val="16"/>
        <w:szCs w:val="16"/>
      </w:rPr>
    </w:pPr>
    <w:r>
      <w:rPr>
        <w:rFonts w:ascii="Arial" w:eastAsia="Arial" w:hAnsi="Arial" w:cs="Arial"/>
        <w:b/>
        <w:sz w:val="16"/>
        <w:szCs w:val="16"/>
      </w:rPr>
      <w:t>REITORIA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0AF3"/>
    <w:multiLevelType w:val="multilevel"/>
    <w:tmpl w:val="916C73C6"/>
    <w:lvl w:ilvl="0">
      <w:start w:val="3"/>
      <w:numFmt w:val="decimal"/>
      <w:lvlText w:val="%1"/>
      <w:lvlJc w:val="left"/>
      <w:pPr>
        <w:ind w:left="360" w:hanging="360"/>
      </w:pPr>
      <w:rPr>
        <w:rFonts w:ascii="Times New Roman" w:eastAsia="Times New Roman" w:hAnsi="Times New Roman" w:cs="Times New Roman"/>
        <w:sz w:val="22"/>
        <w:szCs w:val="22"/>
      </w:rPr>
    </w:lvl>
    <w:lvl w:ilvl="1">
      <w:start w:val="1"/>
      <w:numFmt w:val="decimal"/>
      <w:lvlText w:val="%1.%2"/>
      <w:lvlJc w:val="left"/>
      <w:pPr>
        <w:ind w:left="360" w:hanging="360"/>
      </w:pPr>
      <w:rPr>
        <w:rFonts w:ascii="Times New Roman" w:eastAsia="Times New Roman" w:hAnsi="Times New Roman" w:cs="Times New Roman"/>
        <w:sz w:val="22"/>
        <w:szCs w:val="22"/>
      </w:rPr>
    </w:lvl>
    <w:lvl w:ilvl="2">
      <w:start w:val="1"/>
      <w:numFmt w:val="decimal"/>
      <w:lvlText w:val="%1.%2.%3"/>
      <w:lvlJc w:val="left"/>
      <w:pPr>
        <w:ind w:left="720" w:hanging="720"/>
      </w:pPr>
      <w:rPr>
        <w:rFonts w:ascii="Times New Roman" w:eastAsia="Times New Roman" w:hAnsi="Times New Roman" w:cs="Times New Roman"/>
        <w:sz w:val="22"/>
        <w:szCs w:val="22"/>
        <w:shd w:val="clear" w:color="auto" w:fill="auto"/>
      </w:rPr>
    </w:lvl>
    <w:lvl w:ilvl="3">
      <w:start w:val="1"/>
      <w:numFmt w:val="decimal"/>
      <w:lvlText w:val="%1.%2.%3.%4"/>
      <w:lvlJc w:val="left"/>
      <w:pPr>
        <w:ind w:left="720" w:hanging="720"/>
      </w:pPr>
      <w:rPr>
        <w:rFonts w:ascii="Times New Roman" w:eastAsia="Times New Roman" w:hAnsi="Times New Roman" w:cs="Times New Roman"/>
        <w:sz w:val="22"/>
        <w:szCs w:val="22"/>
      </w:rPr>
    </w:lvl>
    <w:lvl w:ilvl="4">
      <w:start w:val="1"/>
      <w:numFmt w:val="decimal"/>
      <w:lvlText w:val="%1.%2.%3.%4.%5"/>
      <w:lvlJc w:val="left"/>
      <w:pPr>
        <w:ind w:left="1080" w:hanging="1080"/>
      </w:pPr>
      <w:rPr>
        <w:rFonts w:ascii="Times New Roman" w:eastAsia="Times New Roman" w:hAnsi="Times New Roman" w:cs="Times New Roman"/>
        <w:sz w:val="22"/>
        <w:szCs w:val="22"/>
      </w:rPr>
    </w:lvl>
    <w:lvl w:ilvl="5">
      <w:start w:val="1"/>
      <w:numFmt w:val="decimal"/>
      <w:lvlText w:val="%1.%2.%3.%4.%5.%6"/>
      <w:lvlJc w:val="left"/>
      <w:pPr>
        <w:ind w:left="1080" w:hanging="1080"/>
      </w:pPr>
      <w:rPr>
        <w:rFonts w:ascii="Times New Roman" w:eastAsia="Times New Roman" w:hAnsi="Times New Roman" w:cs="Times New Roman"/>
        <w:sz w:val="22"/>
        <w:szCs w:val="22"/>
      </w:rPr>
    </w:lvl>
    <w:lvl w:ilvl="6">
      <w:start w:val="1"/>
      <w:numFmt w:val="decimal"/>
      <w:lvlText w:val="%1.%2.%3.%4.%5.%6.%7"/>
      <w:lvlJc w:val="left"/>
      <w:pPr>
        <w:ind w:left="1440" w:hanging="1440"/>
      </w:pPr>
      <w:rPr>
        <w:rFonts w:ascii="Times New Roman" w:eastAsia="Times New Roman" w:hAnsi="Times New Roman" w:cs="Times New Roman"/>
        <w:sz w:val="22"/>
        <w:szCs w:val="22"/>
      </w:rPr>
    </w:lvl>
    <w:lvl w:ilvl="7">
      <w:start w:val="1"/>
      <w:numFmt w:val="decimal"/>
      <w:lvlText w:val="%1.%2.%3.%4.%5.%6.%7.%8"/>
      <w:lvlJc w:val="left"/>
      <w:pPr>
        <w:ind w:left="1440" w:hanging="1440"/>
      </w:pPr>
      <w:rPr>
        <w:rFonts w:ascii="Times New Roman" w:eastAsia="Times New Roman" w:hAnsi="Times New Roman" w:cs="Times New Roman"/>
        <w:sz w:val="22"/>
        <w:szCs w:val="22"/>
      </w:rPr>
    </w:lvl>
    <w:lvl w:ilvl="8">
      <w:start w:val="1"/>
      <w:numFmt w:val="decimal"/>
      <w:lvlText w:val="%1.%2.%3.%4.%5.%6.%7.%8.%9"/>
      <w:lvlJc w:val="left"/>
      <w:pPr>
        <w:ind w:left="1800" w:hanging="1800"/>
      </w:pPr>
      <w:rPr>
        <w:rFonts w:ascii="Times New Roman" w:eastAsia="Times New Roman" w:hAnsi="Times New Roman" w:cs="Times New Roman"/>
        <w:sz w:val="22"/>
        <w:szCs w:val="22"/>
      </w:rPr>
    </w:lvl>
  </w:abstractNum>
  <w:abstractNum w:abstractNumId="1" w15:restartNumberingAfterBreak="0">
    <w:nsid w:val="22CB6EFA"/>
    <w:multiLevelType w:val="multilevel"/>
    <w:tmpl w:val="69CC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A43A8"/>
    <w:multiLevelType w:val="multilevel"/>
    <w:tmpl w:val="AA005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1C"/>
    <w:rsid w:val="002A7A1C"/>
    <w:rsid w:val="006C5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9107D-A535-47E8-9893-7FF424E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3667</Words>
  <Characters>19803</Characters>
  <Application>Microsoft Office Word</Application>
  <DocSecurity>0</DocSecurity>
  <Lines>165</Lines>
  <Paragraphs>46</Paragraphs>
  <ScaleCrop>false</ScaleCrop>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2021-03-23T18:48:00Z</dcterms:created>
  <dcterms:modified xsi:type="dcterms:W3CDTF">2021-03-23T18:48:00Z</dcterms:modified>
</cp:coreProperties>
</file>