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left="227" w:hanging="0"/>
        <w:rPr/>
      </w:pPr>
      <w:r>
        <w:rPr>
          <w:b/>
        </w:rPr>
        <w:t xml:space="preserve">Unidade Demandante: </w:t>
      </w:r>
      <w:r>
        <w:rPr>
          <w:color w:val="000000"/>
        </w:rPr>
        <w:t xml:space="preserve">Reitoria e </w:t>
      </w:r>
      <w:r>
        <w:rPr>
          <w:i/>
          <w:color w:val="000000"/>
        </w:rPr>
        <w:t>campis</w:t>
      </w:r>
      <w:r>
        <w:rPr>
          <w:color w:val="000000"/>
        </w:rPr>
        <w:t xml:space="preserve"> do IF Sertão PE</w:t>
      </w:r>
    </w:p>
    <w:p>
      <w:pPr>
        <w:pStyle w:val="Normal1"/>
        <w:ind w:left="227" w:hanging="0"/>
        <w:rPr/>
      </w:pPr>
      <w:r>
        <w:rPr>
          <w:b/>
        </w:rPr>
        <w:t>Objeto</w:t>
      </w:r>
      <w:r>
        <w:rPr>
          <w:color w:val="00000A"/>
          <w:highlight w:val="white"/>
        </w:rPr>
        <w:t>: Aquisição de ______________________ para atender as Unidades do Instituto Federal do Sertão Pernambucano – IF SERTÃO-PE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360"/>
        <w:jc w:val="center"/>
        <w:rPr/>
      </w:pPr>
      <w:r>
        <w:rPr>
          <w:b/>
        </w:rPr>
        <w:t>Análise Administrativa e Institucional</w:t>
      </w:r>
      <w:r>
        <w:rPr>
          <w:b/>
          <w:color w:val="000000"/>
        </w:rPr>
        <w:t xml:space="preserve"> nº </w:t>
      </w:r>
      <w:r>
        <w:rPr>
          <w:b/>
          <w:color w:val="000000"/>
          <w:highlight w:val="yellow"/>
        </w:rPr>
        <w:t>xx</w:t>
      </w:r>
      <w:r>
        <w:rPr>
          <w:b/>
          <w:color w:val="000000"/>
        </w:rPr>
        <w:t>/20xx/PROAD/Reitoria/IF Sertão-PE</w:t>
      </w:r>
    </w:p>
    <w:p>
      <w:pPr>
        <w:pStyle w:val="Normal1"/>
        <w:spacing w:lineRule="auto" w:line="36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1"/>
        <w:tblW w:w="95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66" w:val="clear"/>
          </w:tcPr>
          <w:p>
            <w:pPr>
              <w:pStyle w:val="Normal1"/>
              <w:spacing w:lineRule="auto" w:line="360" w:before="113" w:after="0"/>
              <w:rPr/>
            </w:pPr>
            <w:r>
              <w:rPr>
                <w:b/>
              </w:rPr>
              <w:t>I – RELATÓRIO</w:t>
            </w:r>
          </w:p>
        </w:tc>
      </w:tr>
    </w:tbl>
    <w:p>
      <w:pPr>
        <w:pStyle w:val="Normal1"/>
        <w:widowControl/>
        <w:spacing w:lineRule="auto" w:line="240" w:before="284" w:after="228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1. Trata-se da análise da viabilidade administrativa e institucional a ser realizada sob a perspectiva de probabilidade e impacto de ocorrência da aquisição pretendida, considerando os elementos essenciais que servirão para compor o termo de referência ou projeto básico com base na oficialização da demanda e estudo técnico preliminar.</w:t>
      </w:r>
    </w:p>
    <w:p>
      <w:pPr>
        <w:pStyle w:val="Normal1"/>
        <w:ind w:left="227" w:hanging="0"/>
        <w:jc w:val="both"/>
        <w:rPr/>
      </w:pPr>
      <w:r>
        <w:rPr>
          <w:color w:val="000000"/>
        </w:rPr>
        <w:t xml:space="preserve">2. Para análise da viabilidade da aquisição serão considerados dentre outros elementos que compõem o planejamento inicial da aquisição a </w:t>
      </w:r>
      <w:r>
        <w:rPr>
          <w:b/>
          <w:color w:val="000000"/>
        </w:rPr>
        <w:t>justificativa da necessidade, estimativa da quantidade com a respectiva memória de cálculo e a estimativa de preços (preços referenciais).</w:t>
      </w:r>
    </w:p>
    <w:p>
      <w:pPr>
        <w:pStyle w:val="Normal1"/>
        <w:jc w:val="both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1"/>
        <w:ind w:left="720" w:hanging="0"/>
        <w:jc w:val="both"/>
        <w:rPr/>
      </w:pPr>
      <w:r>
        <w:rPr>
          <w:b/>
          <w:color w:val="3333FF"/>
        </w:rPr>
        <w:t xml:space="preserve">2.1 </w:t>
      </w:r>
      <w:r>
        <w:rPr>
          <w:color w:val="3333FF"/>
        </w:rPr>
        <w:t>A partir desses elementos e outros presentes</w:t>
      </w:r>
      <w:r>
        <w:rPr>
          <w:b/>
          <w:color w:val="3333FF"/>
        </w:rPr>
        <w:t xml:space="preserve"> </w:t>
      </w:r>
      <w:r>
        <w:rPr>
          <w:color w:val="3333FF"/>
        </w:rPr>
        <w:t xml:space="preserve">na </w:t>
      </w:r>
      <w:r>
        <w:rPr>
          <w:b/>
          <w:color w:val="3333FF"/>
        </w:rPr>
        <w:t>oficialização da demanda</w:t>
      </w:r>
      <w:r>
        <w:rPr>
          <w:color w:val="3333FF"/>
        </w:rPr>
        <w:t xml:space="preserve">, </w:t>
      </w:r>
      <w:r>
        <w:rPr>
          <w:b/>
          <w:color w:val="3333FF"/>
        </w:rPr>
        <w:t xml:space="preserve">estudo técnico preliminar e no termo de referência </w:t>
      </w:r>
      <w:r>
        <w:rPr>
          <w:color w:val="3333FF"/>
        </w:rPr>
        <w:t>será possível definir a</w:t>
      </w:r>
      <w:r>
        <w:rPr>
          <w:b/>
          <w:color w:val="3333FF"/>
        </w:rPr>
        <w:t xml:space="preserve"> modalidade da licitação, critério de julgamento, modo de disputa, valor estimado ou máximo aceitável, </w:t>
      </w:r>
      <w:r>
        <w:rPr>
          <w:color w:val="3333FF"/>
        </w:rPr>
        <w:t>com também se o</w:t>
      </w:r>
      <w:r>
        <w:rPr>
          <w:b/>
          <w:color w:val="3333FF"/>
        </w:rPr>
        <w:t xml:space="preserve"> valor referencial deve ou não constar expressamente do edital.</w:t>
      </w:r>
    </w:p>
    <w:p>
      <w:pPr>
        <w:pStyle w:val="Normal1"/>
        <w:jc w:val="both"/>
        <w:rPr/>
      </w:pPr>
      <w:r>
        <w:rPr>
          <w:b/>
          <w:color w:val="FF3333"/>
        </w:rPr>
        <w:t xml:space="preserve"> </w:t>
      </w:r>
    </w:p>
    <w:tbl>
      <w:tblPr>
        <w:tblStyle w:val="Table2"/>
        <w:tblW w:w="95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66" w:val="clear"/>
          </w:tcPr>
          <w:p>
            <w:pPr>
              <w:pStyle w:val="Normal1"/>
              <w:spacing w:lineRule="auto" w:line="360" w:before="57" w:after="57"/>
              <w:rPr/>
            </w:pPr>
            <w:r>
              <w:rPr>
                <w:b/>
                <w:color w:val="000000"/>
              </w:rPr>
              <w:t>II – DA ANÁLISE</w:t>
            </w:r>
          </w:p>
        </w:tc>
      </w:tr>
    </w:tbl>
    <w:p>
      <w:pPr>
        <w:pStyle w:val="Normal1"/>
        <w:spacing w:lineRule="auto" w:line="360" w:before="57" w:after="57"/>
        <w:ind w:left="227" w:hanging="0"/>
        <w:rPr/>
      </w:pPr>
      <w:r>
        <w:rPr>
          <w:b/>
        </w:rPr>
        <w:t>II.1 Justificativa da Necessidade</w:t>
      </w:r>
    </w:p>
    <w:p>
      <w:pPr>
        <w:pStyle w:val="Normal1"/>
        <w:widowControl/>
        <w:ind w:left="227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3. Especificamente no que toca ao procedimento licitatório na </w:t>
      </w:r>
      <w:r>
        <w:rPr>
          <w:rFonts w:eastAsia="Times New Roman" w:cs="Times New Roman" w:ascii="Times New Roman" w:hAnsi="Times New Roman"/>
          <w:b/>
          <w:color w:val="000000"/>
          <w:u w:val="single"/>
        </w:rPr>
        <w:t>modalidade de pregão</w:t>
      </w:r>
      <w:r>
        <w:rPr>
          <w:rFonts w:eastAsia="Times New Roman" w:cs="Times New Roman" w:ascii="Times New Roman" w:hAnsi="Times New Roman"/>
          <w:color w:val="000000"/>
        </w:rPr>
        <w:t>, o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</w:rPr>
        <w:t xml:space="preserve">art. 3º, inciso I, da Lei nº 10.520/02 </w:t>
      </w:r>
      <w:r>
        <w:rPr/>
        <w:t>impõe</w:t>
      </w:r>
      <w:r>
        <w:rPr>
          <w:rFonts w:eastAsia="Times New Roman" w:cs="Times New Roman" w:ascii="Times New Roman" w:hAnsi="Times New Roman"/>
          <w:color w:val="000000"/>
        </w:rPr>
        <w:t xml:space="preserve"> expressamente a obrigatoriedade de justificar a necessidade da contratação/aquisição, assim como a </w:t>
      </w:r>
      <w:r>
        <w:rPr>
          <w:rFonts w:eastAsia="Times New Roman" w:cs="Times New Roman" w:ascii="Times New Roman" w:hAnsi="Times New Roman"/>
          <w:b/>
          <w:color w:val="000000"/>
        </w:rPr>
        <w:t>IN nº 5, de 26 de maio de 2017 – SEGES/MPDG</w:t>
      </w:r>
      <w:r>
        <w:rPr>
          <w:rFonts w:eastAsia="Times New Roman" w:cs="Times New Roman" w:ascii="Times New Roman" w:hAnsi="Times New Roman"/>
          <w:color w:val="000000"/>
        </w:rPr>
        <w:t>, que dispõe sobre a contratação de serviços por órgãos ou entidades integrantes do Sistema de Serviços Gerais – SISG, estabelece diretrizes para a justificativa da necessidade da contratação de serviços.</w:t>
      </w:r>
    </w:p>
    <w:p>
      <w:pPr>
        <w:pStyle w:val="Normal1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4. Segundo Súmula 177 TCU  o objeto da contratação deve estar no instrumento convocatório com a descrição de forma precisa e suficiente, de modo a evitar o apontamento de elementos desnecessários ou irrelevantes ao uso que a Administração pretende dar a tal objeto. Vejamos:</w:t>
      </w:r>
    </w:p>
    <w:p>
      <w:pPr>
        <w:pStyle w:val="Normal1"/>
        <w:widowControl/>
        <w:ind w:left="227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/>
        <w:ind w:left="947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SÚMULA 177 - A definição precisa e suficiente do objeto licitado constitui regra indispensável da competição, até mesmo como pressuposto do postulado de igualdade entre os licitantes, do qual é subsidiário o princípio da publicidade, que envolve o conhecimento, pelos concorrentes potenciais das condições básicas da licitação, constituindo, na hipótese particular da licitação para compra, a quantidade demandada em uma das especificações mínimas e essenciais à definição do objeto do pregão.</w:t>
      </w:r>
    </w:p>
    <w:p>
      <w:pPr>
        <w:pStyle w:val="Normal1"/>
        <w:widowControl/>
        <w:ind w:left="947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5. Em razão de tal necessidade, para que seja possível averiguar se estão presentes tais requisitos imprescindíveis à descrição do objeto, é preciso que a Administração demonstre no procedimento as razões pelas quais precisa do objeto e o porquê das especificações técnicas apresentadas e da quantidade solicitada.</w:t>
      </w:r>
    </w:p>
    <w:p>
      <w:pPr>
        <w:pStyle w:val="Normal1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6. Não por outra razão, o caput do art. 2º da Lei nº 9.784/99, que regula o processo administrativo no âmbito federal, determina a observância do princípio da motivação, e o inciso II do p. único do mesmo dispositivo fixa a necessidade de indicação dos pressupostos de fato e de direito que determinarem a decisão da autoridade administrativa.</w:t>
      </w:r>
    </w:p>
    <w:p>
      <w:pPr>
        <w:pStyle w:val="Normal1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7. A justificativa deve demonstrar a necessidade da contratação, normalmente respondendo-se a razão pela qual o bem ou serviço é necessário para que o órgão possa desempenhar suas atividades.</w:t>
      </w:r>
    </w:p>
    <w:p>
      <w:pPr>
        <w:pStyle w:val="Normal1"/>
        <w:widowControl/>
        <w:ind w:left="227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widowControl/>
        <w:spacing w:lineRule="auto" w:line="240"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</w:rPr>
        <w:t>8.</w:t>
      </w:r>
      <w:r>
        <w:rPr>
          <w:rFonts w:eastAsia="Times New Roman" w:cs="Times New Roman" w:ascii="Times New Roman" w:hAnsi="Times New Roman"/>
          <w:color w:val="000000"/>
        </w:rPr>
        <w:t xml:space="preserve"> A justificativa, em regra, deve ser apresentada pelo setor demandante. Quando o objeto possuir características técnicas especializadas, deve o setor demandante solicitar a unidade técnica competente (Diretoria de Obras ou de TI, por exemplo) a definição das suas especificações, e, se for o caso, do quantitativo a ser adquirido.</w:t>
      </w:r>
    </w:p>
    <w:p>
      <w:pPr>
        <w:pStyle w:val="Normal1"/>
        <w:widowControl/>
        <w:spacing w:lineRule="auto" w:line="240" w:before="114" w:after="114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>9. No presente caso, os campi e Reitoria justificaram a necessidade da aquisição/serviços, conforme   constam em Tópico específico dos Estudos Técnicos Preliminares ou no Item _____ do Termo de Referência</w:t>
      </w:r>
    </w:p>
    <w:p>
      <w:pPr>
        <w:pStyle w:val="Normal1"/>
        <w:widowControl/>
        <w:spacing w:lineRule="auto" w:line="240" w:before="114" w:after="114"/>
        <w:ind w:left="720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>9.1 Na identificação da necessidade, a justificativa da contratação com exposição da sua motivação e dos benefícios dela resultantes, foi retratada especificamente por cada uma das Unidades do IF Sertão – PE de acordo com a obrigatoriedade imposta pela legislação em vigor.</w:t>
      </w:r>
    </w:p>
    <w:p>
      <w:pPr>
        <w:pStyle w:val="Normal1"/>
        <w:jc w:val="both"/>
        <w:rPr>
          <w:rFonts w:ascii="Times New Roman" w:hAnsi="Times New Roman" w:eastAsia="Times New Roman" w:cs="Times New Roman"/>
          <w:color w:val="FF3333"/>
        </w:rPr>
      </w:pPr>
      <w:r>
        <w:rPr>
          <w:rFonts w:eastAsia="Times New Roman" w:cs="Times New Roman" w:ascii="Times New Roman" w:hAnsi="Times New Roman"/>
          <w:color w:val="FF3333"/>
        </w:rPr>
      </w:r>
    </w:p>
    <w:p>
      <w:pPr>
        <w:pStyle w:val="Normal1"/>
        <w:spacing w:lineRule="auto" w:line="360"/>
        <w:ind w:left="283" w:hanging="0"/>
        <w:rPr/>
      </w:pPr>
      <w:r>
        <w:rPr>
          <w:b/>
        </w:rPr>
        <w:t>II.2.</w:t>
      </w:r>
      <w:r>
        <w:rPr/>
        <w:t xml:space="preserve"> </w:t>
      </w:r>
      <w:r>
        <w:rPr>
          <w:b/>
        </w:rPr>
        <w:t>Estimativa da Quantidade (Memória de Cálculo)</w:t>
      </w:r>
    </w:p>
    <w:p>
      <w:pPr>
        <w:pStyle w:val="Normal1"/>
        <w:ind w:left="283" w:hanging="0"/>
        <w:jc w:val="both"/>
        <w:rPr/>
      </w:pPr>
      <w:r>
        <w:rPr/>
        <w:t>10</w:t>
      </w:r>
      <w:r>
        <w:rPr>
          <w:color w:val="000000"/>
        </w:rPr>
        <w:t>. A Administração deverá observar o disposto no art. 15, §7º, II, da Lei nº 8.666/93, justificando as quantidades a serem adquiridas em função do consumo do órgão e provável utilização, devendo a estimativa ser obtida, a partir de fatos concretos (Ex: consumo do exercício anterior, necessidade de substituição dos bens atualmente disponíveis, implantação de setor, acréscimo de atividades, etc).</w:t>
      </w:r>
    </w:p>
    <w:p>
      <w:pPr>
        <w:pStyle w:val="Normal1"/>
        <w:spacing w:lineRule="auto" w:line="360"/>
        <w:ind w:left="283" w:hanging="0"/>
        <w:jc w:val="both"/>
        <w:rPr/>
      </w:pPr>
      <w:r>
        <w:rPr>
          <w:color w:val="000000"/>
        </w:rPr>
        <w:t xml:space="preserve"> </w:t>
      </w:r>
    </w:p>
    <w:p>
      <w:pPr>
        <w:pStyle w:val="Normal1"/>
        <w:spacing w:lineRule="auto" w:line="276"/>
        <w:ind w:left="283" w:hanging="0"/>
        <w:jc w:val="both"/>
        <w:rPr/>
      </w:pPr>
      <w:r>
        <w:rPr/>
        <w:t>11</w:t>
      </w:r>
      <w:r>
        <w:rPr>
          <w:color w:val="000000"/>
        </w:rPr>
        <w:t>. Para se justificar a quantidade que se pretende adquirir/contratar é necessário estabelecer parâmetros que vão demonstrar previamente, de maneira metódica e didática, através de memória de cálculo detalhada, a demanda que tendam o órgão.</w:t>
      </w:r>
    </w:p>
    <w:p>
      <w:pPr>
        <w:pStyle w:val="Normal1"/>
        <w:spacing w:lineRule="auto" w:line="276"/>
        <w:ind w:left="283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widowControl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FF3333"/>
        </w:rPr>
        <w:t xml:space="preserve">12. No presente caso, os quantitativos foram estabelecidos na Memória de Cálculo emitida por Setor das Unidades do IF Sertão-PE, fazendo constar no </w:t>
      </w:r>
      <w:r>
        <w:rPr>
          <w:rFonts w:eastAsia="Times New Roman" w:cs="Times New Roman" w:ascii="Times New Roman" w:hAnsi="Times New Roman"/>
          <w:color w:val="FF3333"/>
          <w:u w:val="single"/>
        </w:rPr>
        <w:t>Sistema de Controle de Aquisição de Bens e Serviços – SICABS</w:t>
      </w:r>
      <w:r>
        <w:rPr>
          <w:rFonts w:eastAsia="Times New Roman" w:cs="Times New Roman" w:ascii="Times New Roman" w:hAnsi="Times New Roman"/>
          <w:color w:val="FF3333"/>
        </w:rPr>
        <w:t xml:space="preserve"> ou no </w:t>
      </w:r>
      <w:r>
        <w:rPr>
          <w:rFonts w:eastAsia="Times New Roman" w:cs="Times New Roman" w:ascii="Times New Roman" w:hAnsi="Times New Roman"/>
          <w:color w:val="FF3333"/>
          <w:u w:val="single"/>
        </w:rPr>
        <w:t>Documento de Formalização da Demanda</w:t>
      </w:r>
      <w:r>
        <w:rPr>
          <w:rFonts w:eastAsia="Times New Roman" w:cs="Times New Roman" w:ascii="Times New Roman" w:hAnsi="Times New Roman"/>
          <w:color w:val="FF3333"/>
        </w:rPr>
        <w:t xml:space="preserve">. Os quantitativos estimados, segundo a memória de cálculo, foram baseados no _______( </w:t>
      </w:r>
      <w:r>
        <w:rPr>
          <w:rFonts w:eastAsia="Times New Roman" w:cs="Times New Roman" w:ascii="Times New Roman" w:hAnsi="Times New Roman"/>
          <w:color w:val="000000"/>
        </w:rPr>
        <w:t>Ex: consumo do exercício anterior, necessidade de substituição dos bens atualmente disponíveis, implantação de setor, acréscimo de atividades, etc),</w:t>
      </w:r>
      <w:r>
        <w:rPr>
          <w:rFonts w:eastAsia="Times New Roman" w:cs="Times New Roman" w:ascii="Times New Roman" w:hAnsi="Times New Roman"/>
          <w:color w:val="FF3333"/>
        </w:rPr>
        <w:t xml:space="preserve"> visando atender as demandas relacionadas aos eventos institucionais, tais como </w:t>
      </w:r>
      <w:r>
        <w:rPr>
          <w:rFonts w:eastAsia="Times New Roman" w:cs="Times New Roman" w:ascii="Times New Roman" w:hAnsi="Times New Roman"/>
          <w:color w:val="FF3333"/>
          <w:u w:val="single"/>
        </w:rPr>
        <w:t>ações de integração, palestras e seminário</w:t>
      </w:r>
      <w:r>
        <w:rPr>
          <w:rFonts w:eastAsia="Times New Roman" w:cs="Times New Roman" w:ascii="Times New Roman" w:hAnsi="Times New Roman"/>
          <w:color w:val="FF3333"/>
        </w:rPr>
        <w:t>, portanto, adequados à necessidade do demandante.</w:t>
      </w:r>
    </w:p>
    <w:p>
      <w:pPr>
        <w:pStyle w:val="Normal1"/>
        <w:widowControl/>
        <w:jc w:val="both"/>
        <w:rPr>
          <w:rFonts w:ascii="Times New Roman" w:hAnsi="Times New Roman" w:eastAsia="Times New Roman" w:cs="Times New Roman"/>
          <w:b/>
          <w:b/>
          <w:color w:val="000000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color w:val="000000"/>
          <w:highlight w:val="yellow"/>
          <w:u w:val="single"/>
        </w:rPr>
      </w:r>
    </w:p>
    <w:p>
      <w:pPr>
        <w:pStyle w:val="Normal1"/>
        <w:widowControl/>
        <w:spacing w:lineRule="auto" w:line="360"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II.3. Estimativa de Preços (Preços Referenciais/Pesquisa de Preço)</w:t>
      </w:r>
    </w:p>
    <w:p>
      <w:pPr>
        <w:pStyle w:val="Normal1"/>
        <w:widowControl/>
        <w:spacing w:lineRule="auto" w:line="240"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</w:rPr>
        <w:t>13</w:t>
      </w:r>
      <w:r>
        <w:rPr>
          <w:rFonts w:eastAsia="Times New Roman" w:cs="Times New Roman" w:ascii="Times New Roman" w:hAnsi="Times New Roman"/>
          <w:color w:val="000000"/>
        </w:rPr>
        <w:t>. A ampla e adequada pesquisa de preços permite a correta estimativa do custo do objeto a ser adquirido/contratado em planilhas de quantitativos e preços unitários, define os recursos orçamentários suficientes para a cobertura das despesas e serve de balizamento para a análise das propostas dos licitantes, conforme dispõem o art. 7º, §2º, inciso II, o art. 15, inciso V, § 1º, o art. 40, §2º, inciso II, e o art. 43, incisos IV e V, todos da Lei nº 8.666/93.</w:t>
      </w:r>
    </w:p>
    <w:p>
      <w:pPr>
        <w:pStyle w:val="Normal1"/>
        <w:widowControl/>
        <w:spacing w:lineRule="auto" w:line="240" w:before="57" w:after="57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</w:t>
      </w:r>
      <w:r>
        <w:rPr>
          <w:rFonts w:eastAsia="Times New Roman" w:cs="Times New Roman" w:ascii="Times New Roman" w:hAnsi="Times New Roman"/>
        </w:rPr>
        <w:t>4</w:t>
      </w:r>
      <w:r>
        <w:rPr>
          <w:rFonts w:eastAsia="Times New Roman" w:cs="Times New Roman" w:ascii="Times New Roman" w:hAnsi="Times New Roman"/>
          <w:color w:val="000000"/>
        </w:rPr>
        <w:t>. Nesse ponto, destaca-se a INSTRUÇÃO NORMATIVA Nº 73, DE 5 DE AGOSTO DE 2020, que dispõe sobre novos procedimentos administrativos para a realização de pesquisa de preços para a aquisição de bens e contratação de serviços em geral.</w:t>
      </w:r>
    </w:p>
    <w:p>
      <w:pPr>
        <w:pStyle w:val="Normal1"/>
        <w:widowControl/>
        <w:spacing w:lineRule="auto" w:line="240" w:before="114" w:after="114"/>
        <w:ind w:left="227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</w:t>
      </w:r>
      <w:r>
        <w:rPr>
          <w:rFonts w:eastAsia="Times New Roman" w:cs="Times New Roman" w:ascii="Times New Roman" w:hAnsi="Times New Roman"/>
        </w:rPr>
        <w:t>4</w:t>
      </w:r>
      <w:r>
        <w:rPr>
          <w:rFonts w:eastAsia="Times New Roman" w:cs="Times New Roman" w:ascii="Times New Roman" w:hAnsi="Times New Roman"/>
          <w:color w:val="000000"/>
        </w:rPr>
        <w:t>. O TCU também se manifesta em relação ao assunto orientando que a Administração obtenha, no mínimo, três cotações válidas. Se não for possível, deve consignar a justificativa nos autos.</w:t>
      </w:r>
    </w:p>
    <w:p>
      <w:pPr>
        <w:pStyle w:val="Normal1"/>
        <w:widowControl/>
        <w:spacing w:lineRule="auto" w:line="240" w:before="114" w:after="114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</w:t>
      </w:r>
      <w:r>
        <w:rPr>
          <w:rFonts w:eastAsia="Times New Roman" w:cs="Times New Roman" w:ascii="Times New Roman" w:hAnsi="Times New Roman"/>
        </w:rPr>
        <w:t>5</w:t>
      </w:r>
      <w:r>
        <w:rPr>
          <w:rFonts w:eastAsia="Times New Roman" w:cs="Times New Roman" w:ascii="Times New Roman" w:hAnsi="Times New Roman"/>
          <w:color w:val="000000"/>
        </w:rPr>
        <w:t>. Insta destacar que as diligências concernentes à pesquisa de preços não se resumem à simples anexação de orçamentos das empresas nos autos, cabendo ao responsável a análise detida de cada proposta, não apenas sob seu aspecto formal (identificação da empresa, idoneidade, compatibilidade da sua finalidade social com o objeto da licitação, etc.), como do seu teor. É de bom alvitre alertar ao órgão para a importância da congruência entre os preços das propostas, considerando que eventuais valores desarrazoados ou evidentemente inexequíveis podem distorcer os resultados das pesquisas efetuadas, de maneira que cumprirá ao órgão o discernimento sobre os orçamentos efetivamente aptos a comporem a planilha de preços, podendo até serem excluídos aqueles demasiadamente discrepantes dos demais.</w:t>
      </w:r>
    </w:p>
    <w:p>
      <w:pPr>
        <w:pStyle w:val="Normal1"/>
        <w:widowControl/>
        <w:spacing w:lineRule="auto" w:line="240" w:before="114" w:after="114"/>
        <w:ind w:left="283" w:hanging="0"/>
        <w:jc w:val="both"/>
        <w:rPr/>
      </w:pPr>
      <w:r>
        <w:rPr>
          <w:rFonts w:eastAsia="Times New Roman" w:cs="Times New Roman" w:ascii="Times New Roman" w:hAnsi="Times New Roman"/>
          <w:color w:val="000000"/>
        </w:rPr>
        <w:t>1</w:t>
      </w:r>
      <w:r>
        <w:rPr>
          <w:rFonts w:eastAsia="Times New Roman" w:cs="Times New Roman" w:ascii="Times New Roman" w:hAnsi="Times New Roman"/>
        </w:rPr>
        <w:t>6</w:t>
      </w:r>
      <w:r>
        <w:rPr>
          <w:rFonts w:eastAsia="Times New Roman" w:cs="Times New Roman" w:ascii="Times New Roman" w:hAnsi="Times New Roman"/>
          <w:color w:val="000000"/>
        </w:rPr>
        <w:t>. A Administração, quando da realização da pesquisa de preços deve considerar todas as variáveis correlacionadas, tais como as quantidades pretendidas, prazos e forma de entrega, propiciando que eventuais ganhos de escala advindos de grandes aquisições/contratações públicas, por exemplo, reflitam em</w:t>
      </w:r>
      <w:r>
        <w:rPr>
          <w:rFonts w:eastAsia="Times New Roman" w:cs="Times New Roman" w:ascii="Times New Roman" w:hAnsi="Times New Roman"/>
          <w:i/>
          <w:color w:val="000000"/>
        </w:rPr>
        <w:t xml:space="preserve"> </w:t>
      </w:r>
      <w:r>
        <w:rPr>
          <w:rFonts w:eastAsia="Times New Roman" w:cs="Times New Roman" w:ascii="Times New Roman" w:hAnsi="Times New Roman"/>
          <w:color w:val="000000"/>
        </w:rPr>
        <w:t>redução nos preços obtidos pelas cotações prévias ao certame.</w:t>
      </w:r>
    </w:p>
    <w:p>
      <w:pPr>
        <w:pStyle w:val="Normal1"/>
        <w:tabs>
          <w:tab w:val="clear" w:pos="720"/>
          <w:tab w:val="left" w:pos="0" w:leader="none"/>
        </w:tabs>
        <w:ind w:left="283" w:hanging="0"/>
        <w:jc w:val="both"/>
        <w:rPr/>
      </w:pPr>
      <w:r>
        <w:rPr>
          <w:color w:val="000000"/>
        </w:rPr>
        <w:t>1</w:t>
      </w:r>
      <w:r>
        <w:rPr/>
        <w:t>7</w:t>
      </w:r>
      <w:r>
        <w:rPr>
          <w:color w:val="000000"/>
        </w:rPr>
        <w:t xml:space="preserve">. No presente caso, ficou demonstrado nos autos que o Setor de Compras e Formação de Preços /DLIC/Reitoria concluiu na data de </w:t>
      </w:r>
      <w:r>
        <w:rPr>
          <w:b/>
          <w:color w:val="000000"/>
        </w:rPr>
        <w:t>xx/xx/20xx</w:t>
      </w:r>
      <w:r>
        <w:rPr>
          <w:color w:val="000000"/>
        </w:rPr>
        <w:t xml:space="preserve"> as pesquisas de preços, que foram a realizadas da seguinte forma:</w:t>
      </w:r>
    </w:p>
    <w:p>
      <w:pPr>
        <w:pStyle w:val="Normal1"/>
        <w:tabs>
          <w:tab w:val="clear" w:pos="720"/>
          <w:tab w:val="left" w:pos="0" w:leader="none"/>
        </w:tabs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numPr>
          <w:ilvl w:val="0"/>
          <w:numId w:val="1"/>
        </w:numPr>
        <w:spacing w:lineRule="auto" w:line="240" w:before="240" w:after="0"/>
        <w:ind w:left="720" w:hanging="360"/>
        <w:jc w:val="both"/>
        <w:rPr/>
      </w:pPr>
      <w:r>
        <w:rPr>
          <w:b/>
          <w:color w:val="000000"/>
        </w:rPr>
        <w:t>Preços de 1 a 5:</w:t>
      </w:r>
      <w:r>
        <w:rPr>
          <w:color w:val="000000"/>
        </w:rPr>
        <w:t>(</w:t>
      </w:r>
      <w:r>
        <w:rPr>
          <w:color w:val="FF3333"/>
        </w:rPr>
        <w:t>número e UASGs do Pregão</w:t>
      </w:r>
      <w:r>
        <w:rPr>
          <w:color w:val="000000"/>
        </w:rPr>
        <w:t>)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240" w:after="0"/>
        <w:ind w:left="720" w:hanging="360"/>
        <w:jc w:val="both"/>
        <w:rPr/>
      </w:pPr>
      <w:r>
        <w:rPr>
          <w:b/>
          <w:color w:val="000000"/>
        </w:rPr>
        <w:t>Preço 6: (</w:t>
      </w:r>
      <w:r>
        <w:rPr>
          <w:color w:val="FF3333"/>
        </w:rPr>
        <w:t>Nome e CNPJ  da(s) empresa(s)</w:t>
      </w:r>
      <w:r>
        <w:rPr>
          <w:color w:val="000000"/>
        </w:rPr>
        <w:t>).</w:t>
      </w:r>
    </w:p>
    <w:p>
      <w:pPr>
        <w:pStyle w:val="Normal1"/>
        <w:widowControl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widowControl/>
        <w:spacing w:lineRule="auto" w:line="276"/>
        <w:ind w:left="34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1</w:t>
      </w:r>
      <w:r>
        <w:rPr>
          <w:rFonts w:eastAsia="Times New Roman" w:cs="Times New Roman" w:ascii="Times New Roman" w:hAnsi="Times New Roman"/>
          <w:b/>
        </w:rPr>
        <w:t>8</w:t>
      </w:r>
      <w:r>
        <w:rPr>
          <w:rFonts w:eastAsia="Times New Roman" w:cs="Times New Roman" w:ascii="Times New Roman" w:hAnsi="Times New Roman"/>
          <w:b/>
          <w:color w:val="000000"/>
        </w:rPr>
        <w:t>.</w:t>
      </w:r>
      <w:r>
        <w:rPr>
          <w:rFonts w:eastAsia="Times New Roman" w:cs="Times New Roman" w:ascii="Times New Roman" w:hAnsi="Times New Roman"/>
          <w:color w:val="000000"/>
        </w:rPr>
        <w:t xml:space="preserve"> Foi verificado que para a formação de preços foram utilizados os incisos </w:t>
      </w:r>
      <w:r>
        <w:rPr>
          <w:rFonts w:eastAsia="Times New Roman" w:cs="Times New Roman" w:ascii="Times New Roman" w:hAnsi="Times New Roman"/>
          <w:color w:val="FF3333"/>
        </w:rPr>
        <w:t>I</w:t>
      </w:r>
      <w:r>
        <w:rPr>
          <w:rFonts w:eastAsia="Times New Roman" w:cs="Times New Roman" w:ascii="Times New Roman" w:hAnsi="Times New Roman"/>
          <w:color w:val="000000"/>
        </w:rPr>
        <w:t xml:space="preserve"> e </w:t>
      </w:r>
      <w:r>
        <w:rPr>
          <w:rFonts w:eastAsia="Times New Roman" w:cs="Times New Roman" w:ascii="Times New Roman" w:hAnsi="Times New Roman"/>
          <w:color w:val="FF3333"/>
        </w:rPr>
        <w:t xml:space="preserve">IV </w:t>
      </w:r>
      <w:r>
        <w:rPr>
          <w:rFonts w:eastAsia="Times New Roman" w:cs="Times New Roman" w:ascii="Times New Roman" w:hAnsi="Times New Roman"/>
          <w:color w:val="000000"/>
        </w:rPr>
        <w:t>do art 5º,  IN nº 073, de 05/08/2020. Para elaboração do Relatório de Cotação, utilizou-se a ferramenta “Banco de Preços” (https://www.bancodeprecos.com.br/Account/LogIn?ReturnUrl=%2f), adquirido pelo IF Sertão-PE como parâmetro inicial na fase de cotação(</w:t>
      </w:r>
      <w:r>
        <w:rPr>
          <w:rFonts w:eastAsia="Times New Roman" w:cs="Times New Roman" w:ascii="Times New Roman" w:hAnsi="Times New Roman"/>
          <w:color w:val="FF3333"/>
          <w:u w:val="single"/>
        </w:rPr>
        <w:t>Excluir texto grifado se não for utilizado esse parâmetro)</w:t>
      </w:r>
      <w:r>
        <w:rPr>
          <w:rFonts w:eastAsia="Times New Roman" w:cs="Times New Roman" w:ascii="Times New Roman" w:hAnsi="Times New Roman"/>
          <w:color w:val="000000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u w:val="single"/>
        </w:rPr>
        <w:t>A pesquisa foi  ampliada, para subsidiar e melhor atender a composição de preço médio com a obtenção de preços através de consulta em empresa especializada na linha de fornecimento para o objeto especificado, especialmente, localizada no mercado local/regional(</w:t>
      </w:r>
      <w:r>
        <w:rPr>
          <w:rFonts w:eastAsia="Times New Roman" w:cs="Times New Roman" w:ascii="Times New Roman" w:hAnsi="Times New Roman"/>
          <w:color w:val="FF3333"/>
          <w:u w:val="single"/>
        </w:rPr>
        <w:t>Excluir texto grifado se não for utilizado esse parâmetro</w:t>
      </w:r>
      <w:r>
        <w:rPr>
          <w:rFonts w:eastAsia="Times New Roman" w:cs="Times New Roman" w:ascii="Times New Roman" w:hAnsi="Times New Roman"/>
          <w:color w:val="000000"/>
          <w:u w:val="single"/>
        </w:rPr>
        <w:t>)</w:t>
      </w:r>
      <w:r>
        <w:rPr>
          <w:rFonts w:eastAsia="Times New Roman" w:cs="Times New Roman" w:ascii="Times New Roman" w:hAnsi="Times New Roman"/>
          <w:color w:val="000000"/>
        </w:rPr>
        <w:t>. Desta forma, buscou-se uma composição de cesta de preços mais próxima possível do valor estimado que melhor atendesse a disputa de lances e competitividade entre os licitantes durante o certame licitatório.</w:t>
      </w:r>
    </w:p>
    <w:p>
      <w:pPr>
        <w:pStyle w:val="Normal1"/>
        <w:widowControl/>
        <w:ind w:left="34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widowControl/>
        <w:ind w:left="340" w:hanging="0"/>
        <w:jc w:val="both"/>
        <w:rPr/>
      </w:pPr>
      <w:r>
        <w:rPr>
          <w:rFonts w:eastAsia="Times New Roman" w:cs="Times New Roman" w:ascii="Times New Roman" w:hAnsi="Times New Roman"/>
          <w:b/>
          <w:color w:val="000000"/>
        </w:rPr>
        <w:t>1</w:t>
      </w:r>
      <w:r>
        <w:rPr>
          <w:rFonts w:eastAsia="Times New Roman" w:cs="Times New Roman" w:ascii="Times New Roman" w:hAnsi="Times New Roman"/>
          <w:b/>
        </w:rPr>
        <w:t>9.</w:t>
      </w:r>
      <w:r>
        <w:rPr>
          <w:rFonts w:eastAsia="Times New Roman" w:cs="Times New Roman" w:ascii="Times New Roman" w:hAnsi="Times New Roman"/>
          <w:color w:val="000000"/>
        </w:rPr>
        <w:t xml:space="preserve"> Verificou-se também que foi adotada a </w:t>
      </w:r>
      <w:r>
        <w:rPr>
          <w:rFonts w:eastAsia="Times New Roman" w:cs="Times New Roman" w:ascii="Times New Roman" w:hAnsi="Times New Roman"/>
          <w:color w:val="C9211E"/>
        </w:rPr>
        <w:t>média/mediana/menor preço</w:t>
      </w:r>
      <w:r>
        <w:rPr>
          <w:rFonts w:eastAsia="Times New Roman" w:cs="Times New Roman" w:ascii="Times New Roman" w:hAnsi="Times New Roman"/>
          <w:color w:val="000000"/>
        </w:rPr>
        <w:t xml:space="preserve"> dos valores obtidos nas pesquisas de preços como metodologia para obtenção do preço de referência para a contratação, onde o cálculo incidiu sobre um conjunto de  _____ preços(</w:t>
      </w:r>
      <w:r>
        <w:rPr>
          <w:rFonts w:eastAsia="Times New Roman" w:cs="Times New Roman" w:ascii="Times New Roman" w:hAnsi="Times New Roman"/>
          <w:color w:val="C9211E"/>
        </w:rPr>
        <w:t>informar</w:t>
      </w:r>
      <w:r>
        <w:rPr>
          <w:rFonts w:eastAsia="Times New Roman" w:cs="Times New Roman" w:ascii="Times New Roman" w:hAnsi="Times New Roman"/>
          <w:color w:val="FF3333"/>
        </w:rPr>
        <w:t xml:space="preserve"> a quantidade de cotações)</w:t>
      </w:r>
      <w:r>
        <w:rPr>
          <w:rFonts w:eastAsia="Times New Roman" w:cs="Times New Roman" w:ascii="Times New Roman" w:hAnsi="Times New Roman"/>
          <w:color w:val="000000"/>
        </w:rPr>
        <w:t>, oriundos dos parâmetros adotados</w:t>
      </w:r>
      <w:r>
        <w:rPr>
          <w:rFonts w:eastAsia="Times New Roman" w:cs="Times New Roman" w:ascii="Times New Roman" w:hAnsi="Times New Roman"/>
          <w:b/>
          <w:color w:val="000000"/>
        </w:rPr>
        <w:t>.</w:t>
      </w:r>
    </w:p>
    <w:p>
      <w:pPr>
        <w:pStyle w:val="Normal1"/>
        <w:widowControl/>
        <w:ind w:left="340" w:hanging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widowControl/>
        <w:tabs>
          <w:tab w:val="clear" w:pos="720"/>
          <w:tab w:val="left" w:pos="1418" w:leader="none"/>
        </w:tabs>
        <w:ind w:left="340" w:hanging="0"/>
        <w:jc w:val="both"/>
        <w:rPr>
          <w:color w:val="000000"/>
        </w:rPr>
      </w:pPr>
      <w:r>
        <w:rPr>
          <w:b/>
        </w:rPr>
        <w:t>20</w:t>
      </w:r>
      <w:r>
        <w:rPr>
          <w:b/>
          <w:color w:val="000000"/>
        </w:rPr>
        <w:t xml:space="preserve">. </w:t>
      </w:r>
      <w:r>
        <w:rPr>
          <w:color w:val="000000"/>
        </w:rPr>
        <w:t>A pesquisa de preços e o orçamento estimado atende ainda aos critérios exigidos, quanto aos seus aspectos formais identificação da empresa, idoneidade, compatibilidade da sua finalidade social com o objeto da licitação, constatando ainda que as empresas pesquisadas são do ramo pertinente à contratação desejada e sem que haja vínculo societário entre as empresas pesquisadas, ou seja, de acordo com o imposto no Acórdão nº 4.561/2010-1ª Câmara – TCU.</w:t>
      </w:r>
    </w:p>
    <w:p>
      <w:pPr>
        <w:pStyle w:val="Normal1"/>
        <w:widowControl/>
        <w:tabs>
          <w:tab w:val="clear" w:pos="720"/>
          <w:tab w:val="left" w:pos="1418" w:leader="none"/>
        </w:tabs>
        <w:ind w:left="340" w:hanging="0"/>
        <w:jc w:val="both"/>
        <w:rPr/>
      </w:pPr>
      <w:r>
        <w:rPr/>
      </w:r>
    </w:p>
    <w:p>
      <w:pPr>
        <w:pStyle w:val="Normal1"/>
        <w:widowControl/>
        <w:tabs>
          <w:tab w:val="clear" w:pos="720"/>
          <w:tab w:val="left" w:pos="1418" w:leader="none"/>
        </w:tabs>
        <w:spacing w:lineRule="auto" w:line="240" w:before="0" w:after="120"/>
        <w:jc w:val="both"/>
        <w:rPr>
          <w:rFonts w:ascii="Times New Roman" w:hAnsi="Times New Roman" w:eastAsia="Times New Roman" w:cs="Times New Roman"/>
          <w:b/>
          <w:b/>
          <w:color w:val="0000FF"/>
        </w:rPr>
      </w:pPr>
      <w:r>
        <w:rPr>
          <w:rFonts w:eastAsia="Times New Roman" w:cs="Times New Roman" w:ascii="Times New Roman" w:hAnsi="Times New Roman"/>
          <w:b/>
          <w:i/>
          <w:color w:val="0000FF"/>
        </w:rPr>
        <w:t>OU</w:t>
        <w:tab/>
      </w:r>
    </w:p>
    <w:p>
      <w:pPr>
        <w:pStyle w:val="Normal1"/>
        <w:widowControl/>
        <w:tabs>
          <w:tab w:val="clear" w:pos="720"/>
          <w:tab w:val="left" w:pos="1418" w:leader="none"/>
        </w:tabs>
        <w:spacing w:lineRule="auto" w:line="240" w:before="0" w:after="120"/>
        <w:jc w:val="both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</w:rPr>
        <w:t xml:space="preserve">21. No caso vertente a cotação de preços praticados no varejo ficou </w:t>
      </w:r>
      <w:r>
        <w:rPr>
          <w:rFonts w:eastAsia="Times New Roman" w:cs="Times New Roman" w:ascii="Times New Roman" w:hAnsi="Times New Roman"/>
          <w:b/>
        </w:rPr>
        <w:t>limitado ao universo de empresas pesquisadas</w:t>
      </w:r>
      <w:r>
        <w:rPr>
          <w:rFonts w:eastAsia="Times New Roman" w:cs="Times New Roman" w:ascii="Times New Roman" w:hAnsi="Times New Roman"/>
        </w:rPr>
        <w:t xml:space="preserve">, quando o volume da </w:t>
      </w:r>
      <w:r>
        <w:rPr>
          <w:rFonts w:eastAsia="Times New Roman" w:cs="Times New Roman" w:ascii="Times New Roman" w:hAnsi="Times New Roman"/>
          <w:color w:val="FF3333"/>
        </w:rPr>
        <w:t>aquisição/contratação</w:t>
      </w:r>
      <w:r>
        <w:rPr>
          <w:rFonts w:eastAsia="Times New Roman" w:cs="Times New Roman" w:ascii="Times New Roman" w:hAnsi="Times New Roman"/>
        </w:rPr>
        <w:t xml:space="preserve"> permitiria eventual ganho de escala, com redução dos preços obtido</w:t>
      </w:r>
      <w:r>
        <w:rPr>
          <w:rFonts w:eastAsia="Times New Roman" w:cs="Times New Roman" w:ascii="Times New Roman" w:hAnsi="Times New Roman"/>
          <w:color w:val="FF0000"/>
        </w:rPr>
        <w:t>.</w:t>
      </w:r>
      <w:r>
        <w:rPr>
          <w:rFonts w:eastAsia="Times New Roman" w:cs="Times New Roman" w:ascii="Times New Roman" w:hAnsi="Times New Roman"/>
          <w:i/>
          <w:color w:val="FF0000"/>
        </w:rPr>
        <w:t xml:space="preserve">(ajustar a redação conforme o caso, registrando que para evitar distorções, “além de realizar pesquisa que seja adequada às características do objeto licitado e tão ampla quanto a característica do mercado recomende, é salutar que a Administração busque ampliar sua base de consulta através de outras fontes de pesquisa, tais como bases de sistemas de compras e avaliação de contratos recentes ou vigentes ou registrando, por exemplo, se a pesquisa de preços e a apresentação do orçamento parecem não atender os critérios de amplitude e atualidade). </w:t>
      </w:r>
    </w:p>
    <w:p>
      <w:pPr>
        <w:pStyle w:val="Normal1"/>
        <w:widowControl/>
        <w:tabs>
          <w:tab w:val="clear" w:pos="720"/>
          <w:tab w:val="left" w:pos="1418" w:leader="none"/>
        </w:tabs>
        <w:spacing w:lineRule="auto" w:line="360" w:before="0" w:after="120"/>
        <w:jc w:val="both"/>
        <w:rPr>
          <w:rFonts w:ascii="Times New Roman" w:hAnsi="Times New Roman" w:eastAsia="Times New Roman" w:cs="Times New Roman"/>
          <w:b/>
          <w:b/>
          <w:color w:val="0000FF"/>
          <w:highlight w:val="yellow"/>
          <w:u w:val="single"/>
        </w:rPr>
      </w:pPr>
      <w:r>
        <w:rPr>
          <w:rFonts w:eastAsia="Times New Roman" w:cs="Times New Roman" w:ascii="Times New Roman" w:hAnsi="Times New Roman"/>
          <w:b/>
          <w:i/>
          <w:color w:val="0000FF"/>
          <w:highlight w:val="white"/>
        </w:rPr>
        <w:t>OU</w:t>
      </w:r>
    </w:p>
    <w:p>
      <w:pPr>
        <w:pStyle w:val="Normal1"/>
        <w:widowControl/>
        <w:tabs>
          <w:tab w:val="clear" w:pos="720"/>
          <w:tab w:val="left" w:pos="1418" w:leader="none"/>
        </w:tabs>
        <w:spacing w:lineRule="auto" w:line="240" w:before="0" w:after="120"/>
        <w:jc w:val="both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</w:rPr>
        <w:t xml:space="preserve">21. No caso vertente, a pesquisa de preços e o orçamento estimado </w:t>
      </w:r>
      <w:r>
        <w:rPr>
          <w:rFonts w:eastAsia="Times New Roman" w:cs="Times New Roman" w:ascii="Times New Roman" w:hAnsi="Times New Roman"/>
          <w:b/>
        </w:rPr>
        <w:t>não atende aos critérios exigidos</w:t>
      </w:r>
      <w:r>
        <w:rPr>
          <w:rFonts w:eastAsia="Times New Roman" w:cs="Times New Roman" w:ascii="Times New Roman" w:hAnsi="Times New Roman"/>
        </w:rPr>
        <w:t xml:space="preserve">, quanto aos seus aspectos formais </w:t>
      </w:r>
      <w:r>
        <w:rPr>
          <w:rFonts w:eastAsia="Times New Roman" w:cs="Times New Roman" w:ascii="Times New Roman" w:hAnsi="Times New Roman"/>
          <w:color w:val="FF3333"/>
        </w:rPr>
        <w:t>(identificação da empresa, idoneidade, compatibilidade da sua finalidade social com o objeto da licitação, etc)</w:t>
      </w:r>
      <w:r>
        <w:rPr>
          <w:rFonts w:eastAsia="Times New Roman" w:cs="Times New Roman" w:ascii="Times New Roman" w:hAnsi="Times New Roman"/>
        </w:rPr>
        <w:t>.</w:t>
      </w:r>
      <w:r>
        <w:rPr>
          <w:rFonts w:eastAsia="Times New Roman" w:cs="Times New Roman" w:ascii="Times New Roman" w:hAnsi="Times New Roman"/>
          <w:color w:val="FF0000"/>
        </w:rPr>
        <w:t xml:space="preserve"> (</w:t>
      </w:r>
      <w:r>
        <w:rPr>
          <w:rFonts w:eastAsia="Times New Roman" w:cs="Times New Roman" w:ascii="Times New Roman" w:hAnsi="Times New Roman"/>
          <w:i/>
          <w:color w:val="FF0000"/>
        </w:rPr>
        <w:t xml:space="preserve">ajustar a redação conforme o caso, registrando, por exemplo, constatou-se que as empresas pesquisadas </w:t>
      </w:r>
      <w:r>
        <w:rPr>
          <w:rFonts w:eastAsia="Times New Roman" w:cs="Times New Roman" w:ascii="Times New Roman" w:hAnsi="Times New Roman"/>
          <w:b/>
          <w:i/>
          <w:color w:val="FF0000"/>
          <w:u w:val="single"/>
        </w:rPr>
        <w:t>não</w:t>
      </w:r>
      <w:r>
        <w:rPr>
          <w:rFonts w:eastAsia="Times New Roman" w:cs="Times New Roman" w:ascii="Times New Roman" w:hAnsi="Times New Roman"/>
          <w:i/>
          <w:color w:val="FF0000"/>
        </w:rPr>
        <w:t xml:space="preserve"> são do ramo pertinente à contratação desejada (Acórdão nº 1.782/2010-Plenário); ou constatou-se que há vínculo societário entre as empresas pesquisadas, o que descumpre o imposto no Acórdão nº 4.561/2010-1ª Câmara - TCU.</w:t>
      </w:r>
    </w:p>
    <w:p>
      <w:pPr>
        <w:pStyle w:val="Normal1"/>
        <w:widowControl/>
        <w:tabs>
          <w:tab w:val="clear" w:pos="720"/>
          <w:tab w:val="left" w:pos="1418" w:leader="none"/>
        </w:tabs>
        <w:spacing w:lineRule="auto" w:line="240" w:before="0" w:after="120"/>
        <w:jc w:val="both"/>
        <w:rPr>
          <w:rFonts w:ascii="Times New Roman" w:hAnsi="Times New Roman" w:eastAsia="Times New Roman" w:cs="Times New Roman"/>
          <w:b/>
          <w:b/>
          <w:i/>
          <w:i/>
          <w:color w:val="0000FF"/>
          <w:highlight w:val="yellow"/>
        </w:rPr>
      </w:pPr>
      <w:r>
        <w:rPr>
          <w:rFonts w:eastAsia="Times New Roman" w:cs="Times New Roman" w:ascii="Times New Roman" w:hAnsi="Times New Roman"/>
          <w:b/>
          <w:i/>
          <w:color w:val="0000FF"/>
          <w:highlight w:val="white"/>
        </w:rPr>
        <w:t>OU</w:t>
      </w:r>
    </w:p>
    <w:p>
      <w:pPr>
        <w:pStyle w:val="Normal1"/>
        <w:widowControl/>
        <w:tabs>
          <w:tab w:val="clear" w:pos="720"/>
          <w:tab w:val="left" w:pos="1418" w:leader="none"/>
        </w:tabs>
        <w:spacing w:lineRule="auto" w:line="240" w:before="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21. A Unidade </w:t>
      </w:r>
      <w:r>
        <w:rPr>
          <w:rFonts w:eastAsia="Times New Roman" w:cs="Times New Roman" w:ascii="Times New Roman" w:hAnsi="Times New Roman"/>
          <w:color w:val="FF0000"/>
        </w:rPr>
        <w:t xml:space="preserve">(campus/Reitoria) </w:t>
      </w:r>
      <w:r>
        <w:rPr>
          <w:rFonts w:eastAsia="Times New Roman" w:cs="Times New Roman" w:ascii="Times New Roman" w:hAnsi="Times New Roman"/>
          <w:b/>
        </w:rPr>
        <w:t>não obteve o número mínimo de cotações válidas (três) e não registrou justificativa no caso de impossibilidade.</w:t>
      </w:r>
    </w:p>
    <w:p>
      <w:pPr>
        <w:pStyle w:val="Normal1"/>
        <w:widowControl/>
        <w:tabs>
          <w:tab w:val="clear" w:pos="720"/>
          <w:tab w:val="left" w:pos="1418" w:leader="none"/>
        </w:tabs>
        <w:spacing w:lineRule="auto" w:line="240" w:before="0" w:after="120"/>
        <w:jc w:val="both"/>
        <w:rPr>
          <w:rFonts w:ascii="Times New Roman" w:hAnsi="Times New Roman" w:eastAsia="Times New Roman" w:cs="Times New Roman"/>
          <w:b/>
          <w:b/>
          <w:i/>
          <w:i/>
          <w:color w:val="0000FF"/>
        </w:rPr>
      </w:pPr>
      <w:r>
        <w:rPr>
          <w:rFonts w:eastAsia="Times New Roman" w:cs="Times New Roman" w:ascii="Times New Roman" w:hAnsi="Times New Roman"/>
          <w:b/>
          <w:i/>
          <w:color w:val="0000FF"/>
        </w:rPr>
        <w:t>OU</w:t>
      </w:r>
    </w:p>
    <w:p>
      <w:pPr>
        <w:pStyle w:val="Normal1"/>
        <w:widowControl/>
        <w:tabs>
          <w:tab w:val="clear" w:pos="720"/>
          <w:tab w:val="left" w:pos="1418" w:leader="none"/>
        </w:tabs>
        <w:spacing w:lineRule="auto" w:line="240" w:before="0" w:after="120"/>
        <w:jc w:val="both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</w:rPr>
        <w:t xml:space="preserve">21. No caso vertente, a </w:t>
      </w:r>
      <w:r>
        <w:rPr>
          <w:rFonts w:eastAsia="Times New Roman" w:cs="Times New Roman" w:ascii="Times New Roman" w:hAnsi="Times New Roman"/>
          <w:b/>
        </w:rPr>
        <w:t>especificação do objeto não ficou clara e precisa,</w:t>
      </w:r>
      <w:r>
        <w:rPr>
          <w:rFonts w:eastAsia="Times New Roman" w:cs="Times New Roman" w:ascii="Times New Roman" w:hAnsi="Times New Roman"/>
        </w:rPr>
        <w:t xml:space="preserve"> bem como de todos os elementos que o caracterizam </w:t>
      </w:r>
      <w:r>
        <w:rPr>
          <w:rFonts w:eastAsia="Times New Roman" w:cs="Times New Roman" w:ascii="Times New Roman" w:hAnsi="Times New Roman"/>
          <w:color w:val="FF0000"/>
        </w:rPr>
        <w:t xml:space="preserve">(quantidades, metodologia e tecnologia a serem empregados, critérios ambientais, etc.), </w:t>
      </w:r>
      <w:r>
        <w:rPr>
          <w:rFonts w:eastAsia="Times New Roman" w:cs="Times New Roman" w:ascii="Times New Roman" w:hAnsi="Times New Roman"/>
        </w:rPr>
        <w:t>impossibilitando a adequada pesquisa dos preços, imposta pelo nosso ordenamento jurídico.</w:t>
      </w:r>
    </w:p>
    <w:p>
      <w:pPr>
        <w:pStyle w:val="Normal1"/>
        <w:widowControl/>
        <w:tabs>
          <w:tab w:val="clear" w:pos="720"/>
          <w:tab w:val="left" w:pos="1418" w:leader="none"/>
        </w:tabs>
        <w:ind w:left="340" w:hanging="0"/>
        <w:jc w:val="both"/>
        <w:rPr/>
      </w:pPr>
      <w:r>
        <w:rPr/>
      </w:r>
    </w:p>
    <w:p>
      <w:pPr>
        <w:pStyle w:val="Normal1"/>
        <w:tabs>
          <w:tab w:val="clear" w:pos="720"/>
          <w:tab w:val="left" w:pos="1418" w:leader="none"/>
        </w:tabs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tabs>
          <w:tab w:val="clear" w:pos="720"/>
          <w:tab w:val="left" w:pos="1418" w:leader="none"/>
        </w:tabs>
        <w:jc w:val="both"/>
        <w:rPr/>
      </w:pPr>
      <w:r>
        <w:rPr>
          <w:b/>
          <w:color w:val="000000"/>
        </w:rPr>
        <w:t>II.4 Da Modalidade de Licitação e o Critério de Julgamento</w:t>
      </w:r>
    </w:p>
    <w:p>
      <w:pPr>
        <w:pStyle w:val="Normal1"/>
        <w:spacing w:lineRule="auto" w:line="276" w:before="120" w:after="120"/>
        <w:ind w:left="425" w:hanging="0"/>
        <w:jc w:val="both"/>
        <w:rPr/>
      </w:pPr>
      <w:r>
        <w:rPr>
          <w:color w:val="0000FF"/>
        </w:rPr>
        <w:t>22. A natureza do objeto especificada no Termo de Referência é comum, tendo em vista que consideram-se bens comuns, conforme disposto no artigo 1º, da Lei 10.520, de 2002, pois os  padrões de desempenho e qualidade podem ser objetivamente definidos no edital, por meio de especificações usuais no mercado</w:t>
      </w:r>
      <w:r>
        <w:rPr>
          <w:b/>
          <w:color w:val="0000FF"/>
        </w:rPr>
        <w:t xml:space="preserve">.  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 w:before="120" w:after="120"/>
        <w:ind w:left="425" w:hanging="0"/>
        <w:jc w:val="both"/>
        <w:rPr/>
      </w:pPr>
      <w:r>
        <w:rPr>
          <w:color w:val="0000FF"/>
        </w:rPr>
        <w:t>23. A aquisição dar-se-á através de Sistema de Registro de Preços – SRP, pois as ações estão enquadradas nas hipóteses do(s) incisos I, II, III e IV do art. 3º do Decreto nº 7.892(</w:t>
      </w:r>
      <w:r>
        <w:rPr>
          <w:color w:val="C9211E"/>
        </w:rPr>
        <w:t>informar apenas o(s) inciso(s) que a Administração utilizou como base</w:t>
      </w:r>
      <w:r>
        <w:rPr>
          <w:color w:val="0000FF"/>
        </w:rPr>
        <w:t>), ao passo que o IF Sertão Pernambucano e suas unidades tratam-se de unidades gerenciais distintas com contratações frequentes e entregas parceladas.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 w:before="120" w:after="120"/>
        <w:ind w:left="425" w:hanging="0"/>
        <w:jc w:val="both"/>
        <w:rPr/>
      </w:pPr>
      <w:r>
        <w:rPr>
          <w:color w:val="0000FF"/>
        </w:rPr>
        <w:t xml:space="preserve">24. Considerando o exposto e com base nas definições na versão inicial do termo de referência e Estudo Técnico Preliminar xx/20xx e o exposto acima a modalidade a ser adotada para a realização desse certame licitatório deverá ser o </w:t>
      </w:r>
      <w:r>
        <w:rPr>
          <w:b/>
          <w:color w:val="0000FF"/>
        </w:rPr>
        <w:t>Pregão Eletrônico por Sistema de Registro de Preços – SRP,</w:t>
      </w:r>
      <w:r>
        <w:rPr>
          <w:color w:val="0000FF"/>
        </w:rPr>
        <w:t xml:space="preserve"> pois as ações estão enquadradas nas hipóteses do(s) incisos I, II, III e IV do art. 3º do Decreto nº 7.892(</w:t>
      </w:r>
      <w:r>
        <w:rPr>
          <w:color w:val="C9211E"/>
        </w:rPr>
        <w:t>informar apenas o(s) inciso(s) que a Administração utilizou como base</w:t>
      </w:r>
      <w:r>
        <w:rPr>
          <w:color w:val="0000FF"/>
        </w:rPr>
        <w:t>), ao passo que o IF Sertão Pernambucano e suas unidades tratam-se de unidades gerenciais distintas com contratações frequentes e entregas parceladas(</w:t>
      </w:r>
      <w:r>
        <w:rPr>
          <w:color w:val="C9211E"/>
        </w:rPr>
        <w:t>descrever a redação do inciso utilizado</w:t>
      </w:r>
      <w:r>
        <w:rPr>
          <w:color w:val="0000FF"/>
        </w:rPr>
        <w:t>).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/>
      </w:pPr>
      <w:r>
        <w:rPr>
          <w:color w:val="0000FF"/>
        </w:rPr>
        <w:t>Ou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/>
      </w:pPr>
      <w:r>
        <w:rPr>
          <w:b/>
          <w:color w:val="0000FF"/>
        </w:rPr>
        <w:t>24</w:t>
      </w:r>
      <w:r>
        <w:rPr>
          <w:color w:val="0000FF"/>
        </w:rPr>
        <w:t xml:space="preserve">. Considerando o exposto e com base nas definições na versão inicial do termo de referência e Estudo Técnico Preliminar xx/20xx e o exposto acima a modalidade a ser adotada para a realização desse certame licitatório deverá ser o </w:t>
      </w:r>
      <w:r>
        <w:rPr>
          <w:b/>
          <w:color w:val="0000FF"/>
        </w:rPr>
        <w:t>Pregão Eletrônico Tradicional</w:t>
      </w:r>
      <w:r>
        <w:rPr>
          <w:color w:val="0000FF"/>
        </w:rPr>
        <w:t>, pois as ações não se enquadram nas hipóteses do(s) incisos I, II, III e IV do art. 3º do Decreto nº 7.892.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/>
      </w:pPr>
      <w:r>
        <w:rPr>
          <w:color w:val="0000FF"/>
        </w:rPr>
        <w:t>24</w:t>
      </w:r>
      <w:r>
        <w:rPr>
          <w:b/>
          <w:color w:val="0000FF"/>
        </w:rPr>
        <w:t>.</w:t>
      </w:r>
      <w:r>
        <w:rPr>
          <w:color w:val="0000FF"/>
        </w:rPr>
        <w:t xml:space="preserve"> O critério de julgamento será o MENOR PREÇO, </w:t>
      </w:r>
      <w:bookmarkStart w:id="0" w:name="gjdgxs"/>
      <w:bookmarkEnd w:id="0"/>
      <w:r>
        <w:rPr>
          <w:color w:val="0000FF"/>
        </w:rPr>
        <w:t>pois para a contratação em destaque a ficou bem definido o objeto e seus respectivos quantitativos.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/>
      </w:pPr>
      <w:r>
        <w:rPr>
          <w:b/>
          <w:color w:val="0000FF"/>
        </w:rPr>
        <w:t>Ou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/>
      </w:pPr>
      <w:r>
        <w:rPr>
          <w:color w:val="0000FF"/>
        </w:rPr>
        <w:t xml:space="preserve">24. O critério de julgamento será o MAIOR DESCONTO, pois Administração não reúne  condições de definir absolutamente quais serão os itens e seus respectivos quantitativos, para o objeto a ser contratado, valendo-se apenas de </w:t>
      </w:r>
      <w:r>
        <w:rPr>
          <w:color w:val="C9211E"/>
        </w:rPr>
        <w:t>tabela ou outro instrumento de referência automática de preços</w:t>
      </w:r>
      <w:r>
        <w:rPr>
          <w:color w:val="0000FF"/>
        </w:rPr>
        <w:t>, por exemplo a tabela Sinapi (obras e engenharia); pesquisa ANP (combustíveis); sistema Audatex (peças de carros).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/>
      </w:pPr>
      <w:r>
        <w:rPr>
          <w:b/>
          <w:color w:val="000000"/>
        </w:rPr>
        <w:t>II.5  Preço Estimado ou Preço máximo aceitável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/>
        <w:ind w:left="283" w:hanging="0"/>
        <w:jc w:val="both"/>
        <w:rPr/>
      </w:pPr>
      <w:r>
        <w:rPr>
          <w:color w:val="0000FF"/>
        </w:rPr>
        <w:t xml:space="preserve">25. Para a contratação do presente objeto, deverá ser adotado o </w:t>
      </w:r>
      <w:r>
        <w:rPr>
          <w:b/>
          <w:color w:val="0000FF"/>
        </w:rPr>
        <w:t>preço</w:t>
      </w:r>
      <w:r>
        <w:rPr>
          <w:color w:val="0000FF"/>
        </w:rPr>
        <w:t xml:space="preserve"> </w:t>
      </w:r>
      <w:r>
        <w:rPr>
          <w:b/>
          <w:color w:val="0000FF"/>
        </w:rPr>
        <w:t>máximo aceitável</w:t>
      </w:r>
      <w:r>
        <w:rPr>
          <w:color w:val="0000FF"/>
        </w:rPr>
        <w:t>, sendo que será desclassificada a proposta ou o lance vencedor com valor superior máximo estipulado pela administração no edital.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/>
        <w:ind w:left="283" w:hanging="0"/>
        <w:jc w:val="both"/>
        <w:rPr>
          <w:rFonts w:ascii="Times New Roman" w:hAnsi="Times New Roman" w:eastAsia="Times New Roman" w:cs="Times New Roman"/>
          <w:color w:val="0000FF"/>
        </w:rPr>
      </w:pPr>
      <w:r>
        <w:rPr>
          <w:rFonts w:eastAsia="Times New Roman" w:cs="Times New Roman" w:ascii="Times New Roman" w:hAnsi="Times New Roman"/>
          <w:color w:val="0000FF"/>
        </w:rPr>
      </w:r>
    </w:p>
    <w:p>
      <w:pPr>
        <w:pStyle w:val="Normal1"/>
        <w:tabs>
          <w:tab w:val="clear" w:pos="720"/>
          <w:tab w:val="left" w:pos="1418" w:leader="none"/>
        </w:tabs>
        <w:spacing w:lineRule="auto" w:line="276"/>
        <w:ind w:left="283" w:hanging="0"/>
        <w:jc w:val="both"/>
        <w:rPr/>
      </w:pPr>
      <w:r>
        <w:rPr>
          <w:b/>
          <w:color w:val="0000FF"/>
        </w:rPr>
        <w:t>Ou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/>
        <w:ind w:left="283" w:hanging="0"/>
        <w:jc w:val="both"/>
        <w:rPr>
          <w:rFonts w:ascii="Times New Roman" w:hAnsi="Times New Roman" w:eastAsia="Times New Roman" w:cs="Times New Roman"/>
          <w:color w:val="0000FF"/>
        </w:rPr>
      </w:pPr>
      <w:r>
        <w:rPr>
          <w:rFonts w:eastAsia="Times New Roman" w:cs="Times New Roman" w:ascii="Times New Roman" w:hAnsi="Times New Roman"/>
          <w:color w:val="0000FF"/>
        </w:rPr>
      </w:r>
    </w:p>
    <w:p>
      <w:pPr>
        <w:pStyle w:val="Normal1"/>
        <w:tabs>
          <w:tab w:val="clear" w:pos="720"/>
          <w:tab w:val="left" w:pos="1418" w:leader="none"/>
        </w:tabs>
        <w:spacing w:lineRule="auto" w:line="276"/>
        <w:ind w:left="283" w:hanging="0"/>
        <w:jc w:val="both"/>
        <w:rPr/>
      </w:pPr>
      <w:r>
        <w:rPr>
          <w:color w:val="0000FF"/>
        </w:rPr>
        <w:t xml:space="preserve">25. Para a contratação do presente objeto, deverá ser adotado o </w:t>
      </w:r>
      <w:r>
        <w:rPr>
          <w:b/>
          <w:color w:val="0000FF"/>
        </w:rPr>
        <w:t>preço estimado</w:t>
      </w:r>
      <w:r>
        <w:rPr>
          <w:color w:val="0000FF"/>
        </w:rPr>
        <w:t>, havendo a possibilidade de que sejam aceitas quantias mais altas, porém  será desclassificada a proposta ou o lance vencedor que não respeitar o valor de mercado do produto ou serviço.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/>
        <w:ind w:left="283" w:hanging="0"/>
        <w:jc w:val="both"/>
        <w:rPr/>
      </w:pPr>
      <w:r>
        <w:rPr>
          <w:color w:val="0000FF"/>
        </w:rPr>
        <w:t xml:space="preserve"> </w:t>
      </w:r>
      <w:r>
        <w:rPr>
          <w:color w:val="0000FF"/>
        </w:rPr>
        <w:br/>
        <w:t xml:space="preserve"> </w:t>
      </w:r>
      <w:r>
        <w:rPr>
          <w:b/>
          <w:color w:val="000000"/>
        </w:rPr>
        <w:t>II.6  Modo de Disputa da Licitação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/>
      </w:pPr>
      <w:r>
        <w:rPr>
          <w:color w:val="0000FF"/>
        </w:rPr>
        <w:t xml:space="preserve">26. O modo de disputa para essa licitação será o </w:t>
      </w:r>
      <w:r>
        <w:rPr>
          <w:b/>
          <w:color w:val="0000FF"/>
        </w:rPr>
        <w:t>aberto e fechado</w:t>
      </w:r>
      <w:r>
        <w:rPr>
          <w:color w:val="0000FF"/>
        </w:rPr>
        <w:t>, tendo em vista a vantajosidade em termos de ganho de tempo na operacionalização do pregão, além de que o objeto a ser contratado é bastante amplo no mercado.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/>
      </w:pPr>
      <w:r>
        <w:rPr>
          <w:color w:val="0000FF"/>
        </w:rPr>
        <w:t>Ou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/>
      </w:pPr>
      <w:r>
        <w:rPr>
          <w:color w:val="0000FF"/>
        </w:rPr>
        <w:t xml:space="preserve">26. O modo de disputa para essa licitação será o </w:t>
      </w:r>
      <w:r>
        <w:rPr>
          <w:b/>
          <w:color w:val="0000FF"/>
        </w:rPr>
        <w:t xml:space="preserve">aberto, </w:t>
      </w:r>
      <w:r>
        <w:rPr>
          <w:color w:val="0000FF"/>
        </w:rPr>
        <w:t>porque tem grande potencial de fomentar a disputa, e, considerando que o objeto a ser contratado é restrito no mercado, conforme Estudo Técnico Preliminar, com a possibilidade de haver poucos concorrentes para a disputa.</w:t>
      </w:r>
    </w:p>
    <w:p>
      <w:pPr>
        <w:pStyle w:val="Normal1"/>
        <w:tabs>
          <w:tab w:val="clear" w:pos="720"/>
          <w:tab w:val="left" w:pos="1418" w:leader="none"/>
        </w:tabs>
        <w:spacing w:lineRule="auto" w:line="276" w:before="120" w:after="120"/>
        <w:ind w:left="283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Style w:val="Table3"/>
        <w:tblW w:w="95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45"/>
      </w:tblGrid>
      <w:tr>
        <w:trPr/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99966" w:val="clear"/>
          </w:tcPr>
          <w:p>
            <w:pPr>
              <w:pStyle w:val="Normal1"/>
              <w:spacing w:lineRule="auto" w:line="360" w:before="114" w:after="114"/>
              <w:rPr/>
            </w:pPr>
            <w:r>
              <w:rPr>
                <w:b/>
                <w:color w:val="000000"/>
              </w:rPr>
              <w:t>III - CONCLUSÃO</w:t>
            </w:r>
          </w:p>
        </w:tc>
      </w:tr>
    </w:tbl>
    <w:p>
      <w:pPr>
        <w:pStyle w:val="Normal1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ind w:left="283" w:hanging="0"/>
        <w:jc w:val="both"/>
        <w:rPr/>
      </w:pPr>
      <w:r>
        <w:rPr>
          <w:color w:val="000000"/>
        </w:rPr>
        <w:t>2</w:t>
      </w:r>
      <w:r>
        <w:rPr/>
        <w:t>7</w:t>
      </w:r>
      <w:r>
        <w:rPr>
          <w:color w:val="000000"/>
        </w:rPr>
        <w:t xml:space="preserve">. Ante o exposto, a proposição de </w:t>
      </w:r>
      <w:r>
        <w:rPr>
          <w:b/>
          <w:color w:val="00000A"/>
          <w:highlight w:val="white"/>
        </w:rPr>
        <w:t>Aquisição/Contratação de serviços de xxx(</w:t>
      </w:r>
      <w:r>
        <w:rPr>
          <w:b/>
          <w:color w:val="FF3333"/>
          <w:highlight w:val="white"/>
        </w:rPr>
        <w:t>descrever objeto</w:t>
      </w:r>
      <w:r>
        <w:rPr>
          <w:b/>
          <w:color w:val="00000A"/>
          <w:highlight w:val="white"/>
        </w:rPr>
        <w:t xml:space="preserve">) </w:t>
      </w:r>
      <w:r>
        <w:rPr>
          <w:color w:val="00000A"/>
          <w:highlight w:val="white"/>
        </w:rPr>
        <w:t>para atender as Unidades do Instituto Federal do Sertão Pernambucano – IF Sertão-PE</w:t>
      </w:r>
      <w:r>
        <w:rPr>
          <w:b/>
          <w:color w:val="00000A"/>
          <w:highlight w:val="white"/>
        </w:rPr>
        <w:t xml:space="preserve"> </w:t>
      </w:r>
      <w:r>
        <w:rPr>
          <w:b/>
          <w:color w:val="000000"/>
        </w:rPr>
        <w:t>é viável</w:t>
      </w:r>
      <w:r>
        <w:rPr>
          <w:color w:val="000000"/>
        </w:rPr>
        <w:t>, uma vez que foram observados todos os pontos dispostos no presente relatório.</w:t>
      </w:r>
    </w:p>
    <w:p>
      <w:pPr>
        <w:pStyle w:val="Normal1"/>
        <w:spacing w:lineRule="auto" w:line="240" w:before="228" w:after="228"/>
        <w:ind w:left="283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jc w:val="right"/>
        <w:rPr/>
      </w:pPr>
      <w:r>
        <w:rPr>
          <w:color w:val="000000"/>
        </w:rPr>
        <w:t>Petrolina - PE, xx de xxx de 20xx</w:t>
      </w:r>
    </w:p>
    <w:p>
      <w:pPr>
        <w:pStyle w:val="Normal1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1"/>
        <w:widowControl/>
        <w:spacing w:lineRule="auto" w:line="240" w:before="57" w:after="5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</w:p>
    <w:p>
      <w:pPr>
        <w:pStyle w:val="Normal1"/>
        <w:widowControl/>
        <w:spacing w:lineRule="auto" w:line="240" w:before="57" w:after="57"/>
        <w:jc w:val="center"/>
        <w:rPr/>
      </w:pPr>
      <w:r>
        <w:rPr>
          <w:b/>
        </w:rPr>
        <w:t>Pró-Reitor</w:t>
      </w:r>
      <w:r>
        <w:rPr>
          <w:rFonts w:eastAsia="Times New Roman" w:cs="Times New Roman" w:ascii="Times New Roman" w:hAnsi="Times New Roman"/>
          <w:b/>
          <w:color w:val="000000"/>
        </w:rPr>
        <w:t xml:space="preserve"> de Orçamento e Administração-PROAD</w:t>
      </w:r>
    </w:p>
    <w:p>
      <w:pPr>
        <w:pStyle w:val="Normal1"/>
        <w:widowControl/>
        <w:spacing w:lineRule="auto" w:line="240" w:before="57" w:after="57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>IF Sertão PE/Reitoria</w:t>
      </w:r>
    </w:p>
    <w:p>
      <w:pPr>
        <w:pStyle w:val="Normal1"/>
        <w:widowControl/>
        <w:tabs>
          <w:tab w:val="clear" w:pos="720"/>
          <w:tab w:val="left" w:pos="0" w:leader="none"/>
        </w:tabs>
        <w:spacing w:lineRule="auto" w:line="276" w:before="200" w:after="0"/>
        <w:ind w:left="144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27" w:right="1134" w:header="708" w:top="1134" w:footer="708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ourier New" w:hAnsi="Courier New" w:eastAsia="Courier New" w:cs="Courier New"/>
        <w:sz w:val="12"/>
        <w:szCs w:val="12"/>
      </w:rPr>
    </w:pPr>
    <w:r>
      <w:rPr>
        <w:rFonts w:eastAsia="Courier New" w:cs="Courier New" w:ascii="Courier New" w:hAnsi="Courier New"/>
        <w:sz w:val="12"/>
        <w:szCs w:val="12"/>
      </w:rPr>
    </w:r>
  </w:p>
  <w:p>
    <w:pPr>
      <w:pStyle w:val="Normal1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ind w:right="49" w:hanging="0"/>
      <w:jc w:val="center"/>
      <w:rPr/>
    </w:pPr>
    <w:r>
      <w:rPr/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2642870</wp:posOffset>
          </wp:positionH>
          <wp:positionV relativeFrom="paragraph">
            <wp:posOffset>-232410</wp:posOffset>
          </wp:positionV>
          <wp:extent cx="906780" cy="9112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Normal1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Normal1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Normal1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Normal1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  <w:p>
    <w:pPr>
      <w:pStyle w:val="Normal1"/>
      <w:jc w:val="center"/>
      <w:rPr/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Normal1"/>
      <w:jc w:val="center"/>
      <w:rPr/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Normal1"/>
      <w:jc w:val="center"/>
      <w:rPr/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Normal1"/>
      <w:spacing w:lineRule="auto" w:line="288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>REITORIA/PROAD</w:t>
    </w:r>
  </w:p>
  <w:p>
    <w:pPr>
      <w:pStyle w:val="Normal1"/>
      <w:spacing w:lineRule="auto" w:line="288"/>
      <w:jc w:val="center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>DIRETORIA DE LICITAÇÕES- DLIC</w:t>
    </w:r>
  </w:p>
  <w:p>
    <w:pPr>
      <w:pStyle w:val="Normal1"/>
      <w:spacing w:lineRule="auto" w:line="288"/>
      <w:jc w:val="center"/>
      <w:rPr>
        <w:rFonts w:ascii="Times New Roman" w:hAnsi="Times New Roman" w:eastAsia="Times New Roman" w:cs="Times New Roman"/>
        <w:b/>
        <w:b/>
        <w:color w:val="FF3333"/>
        <w:sz w:val="14"/>
        <w:szCs w:val="14"/>
      </w:rPr>
    </w:pPr>
    <w:r>
      <w:rPr>
        <w:rFonts w:eastAsia="Times New Roman" w:cs="Times New Roman" w:ascii="Times New Roman" w:hAnsi="Times New Roman"/>
        <w:b/>
        <w:color w:val="FF3333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LibreOffice/6.4.6.2$Windows_X86_64 LibreOffice_project/0ce51a4fd21bff07a5c061082cc82c5ed232f115</Application>
  <Pages>6</Pages>
  <Words>2347</Words>
  <Characters>13082</Characters>
  <CharactersWithSpaces>15391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