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20"/>
        <w:ind w:right="-15" w:hanging="0"/>
        <w:jc w:val="center"/>
        <w:rPr>
          <w:b/>
          <w:b/>
          <w:color w:val="000000"/>
        </w:rPr>
      </w:pPr>
      <w:bookmarkStart w:id="0" w:name="_heading=h.gjdgxs"/>
      <w:bookmarkEnd w:id="0"/>
      <w:r>
        <w:rPr>
          <w:rFonts w:eastAsia="Times New Roman" w:cs="Times New Roman" w:ascii="Times New Roman" w:hAnsi="Times New Roman"/>
          <w:b/>
          <w:color w:val="000000"/>
        </w:rPr>
        <w:t>TERMO DE REFERÊNCIA</w:t>
      </w:r>
    </w:p>
    <w:p>
      <w:pPr>
        <w:pStyle w:val="LOnormal"/>
        <w:spacing w:lineRule="auto" w:line="276" w:before="0" w:after="120"/>
        <w:ind w:right="-15" w:hanging="0"/>
        <w:jc w:val="center"/>
        <w:rPr/>
      </w:pPr>
      <w:r>
        <w:rPr>
          <w:rFonts w:eastAsia="Times New Roman" w:cs="Times New Roman" w:ascii="Times New Roman" w:hAnsi="Times New Roman"/>
          <w:b/>
          <w:color w:val="000000"/>
        </w:rPr>
        <w:t>(PRESTA</w:t>
      </w:r>
      <w:r>
        <w:rPr>
          <w:rFonts w:eastAsia="Times New Roman" w:cs="Times New Roman" w:ascii="Times New Roman" w:hAnsi="Times New Roman"/>
          <w:b/>
        </w:rPr>
        <w:t>ÇÃO DE SERVIÇO CONTÍNUO COM DEDICAÇÃO EXCLUSIVA DE MÃO DE OBRA)</w:t>
      </w:r>
    </w:p>
    <w:p>
      <w:pPr>
        <w:pStyle w:val="LOnormal"/>
        <w:jc w:val="center"/>
        <w:rPr>
          <w:rFonts w:ascii="Times New Roman" w:hAnsi="Times New Roman" w:eastAsia="Times New Roman" w:cs="Times New Roman"/>
          <w:b/>
          <w:b/>
          <w:color w:val="00000A"/>
        </w:rPr>
      </w:pPr>
      <w:r>
        <w:rPr>
          <w:rFonts w:eastAsia="Times New Roman" w:cs="Times New Roman" w:ascii="Times New Roman" w:hAnsi="Times New Roman"/>
          <w:b/>
          <w:color w:val="00000A"/>
        </w:rPr>
      </w:r>
    </w:p>
    <w:p>
      <w:pPr>
        <w:pStyle w:val="LOnormal"/>
        <w:ind w:left="-397" w:hanging="0"/>
        <w:jc w:val="center"/>
        <w:rPr/>
      </w:pPr>
      <w:r>
        <w:rPr>
          <w:rFonts w:eastAsia="Times New Roman" w:cs="Times New Roman" w:ascii="Times New Roman" w:hAnsi="Times New Roman"/>
          <w:b/>
          <w:color w:val="00000A"/>
        </w:rPr>
        <w:t>INSTITUTO FEDERAL DE EDUCAÇÃO, CIÊNCIA E TECNOLOGIA DO SERTÃO PERNAMBUCANO</w:t>
      </w:r>
    </w:p>
    <w:p>
      <w:pPr>
        <w:pStyle w:val="LOnormal"/>
        <w:jc w:val="center"/>
        <w:rPr/>
      </w:pPr>
      <w:r>
        <w:rPr>
          <w:rFonts w:eastAsia="Times New Roman" w:cs="Times New Roman" w:ascii="Times New Roman" w:hAnsi="Times New Roman"/>
          <w:b/>
          <w:color w:val="000000"/>
        </w:rPr>
        <w:t>PREGÃO ELETRÔNICO Nº 04/2021</w:t>
      </w:r>
    </w:p>
    <w:p>
      <w:pPr>
        <w:pStyle w:val="LOnormal"/>
        <w:jc w:val="center"/>
        <w:rPr/>
      </w:pPr>
      <w:r>
        <w:rPr>
          <w:rFonts w:eastAsia="Times New Roman" w:cs="Times New Roman" w:ascii="Times New Roman" w:hAnsi="Times New Roman"/>
          <w:color w:val="000000"/>
          <w:sz w:val="22"/>
          <w:szCs w:val="22"/>
        </w:rPr>
        <w:t xml:space="preserve">(Processo Administrativo n.º </w:t>
      </w:r>
      <w:r>
        <w:rPr>
          <w:rFonts w:eastAsia="Times New Roman" w:cs="Arial" w:ascii="Times New Roman" w:hAnsi="Times New Roman"/>
          <w:b/>
          <w:bCs/>
          <w:i w:val="false"/>
          <w:color w:val="000000"/>
          <w:kern w:val="0"/>
          <w:sz w:val="20"/>
          <w:szCs w:val="20"/>
          <w:lang w:val="pt-BR" w:eastAsia="pt-BR" w:bidi="ar-SA"/>
        </w:rPr>
        <w:t>23302.000235.2021-35</w:t>
      </w:r>
      <w:r>
        <w:rPr>
          <w:rFonts w:eastAsia="Times New Roman" w:cs="Times New Roman" w:ascii="Times New Roman" w:hAnsi="Times New Roman"/>
          <w:color w:val="000000"/>
          <w:sz w:val="22"/>
          <w:szCs w:val="22"/>
        </w:rPr>
        <w:t>)</w:t>
      </w:r>
    </w:p>
    <w:p>
      <w:pPr>
        <w:pStyle w:val="LOnormal"/>
        <w:spacing w:lineRule="auto" w:line="276" w:before="0" w:after="120"/>
        <w:ind w:right="-15" w:hanging="0"/>
        <w:jc w:val="center"/>
        <w:rPr>
          <w:b/>
          <w:b/>
          <w:color w:val="000000"/>
        </w:rPr>
      </w:pPr>
      <w:r>
        <w:rPr>
          <w:b/>
          <w:color w:val="000000"/>
        </w:rPr>
      </w:r>
    </w:p>
    <w:p>
      <w:pPr>
        <w:pStyle w:val="LOnormal"/>
        <w:spacing w:lineRule="auto" w:line="276" w:before="0" w:after="120"/>
        <w:ind w:right="-15" w:hanging="0"/>
        <w:jc w:val="center"/>
        <w:rPr>
          <w:i/>
          <w:i/>
          <w:color w:val="000000"/>
        </w:rPr>
      </w:pPr>
      <w:r>
        <w:rPr>
          <w:i/>
          <w:color w:val="000000"/>
        </w:rPr>
      </w:r>
    </w:p>
    <w:p>
      <w:pPr>
        <w:pStyle w:val="LOnormal"/>
        <w:keepNext w:val="true"/>
        <w:keepLines/>
        <w:numPr>
          <w:ilvl w:val="0"/>
          <w:numId w:val="3"/>
        </w:numPr>
        <w:spacing w:lineRule="auto" w:line="276" w:before="480" w:after="0"/>
        <w:ind w:left="-141" w:hanging="0"/>
        <w:jc w:val="both"/>
        <w:rPr>
          <w:b/>
          <w:b/>
          <w:color w:val="000000"/>
        </w:rPr>
      </w:pPr>
      <w:r>
        <w:rPr>
          <w:b/>
          <w:color w:val="000000"/>
        </w:rPr>
        <w:t>DO OBJETO</w:t>
      </w:r>
    </w:p>
    <w:p>
      <w:pPr>
        <w:pStyle w:val="LOnormal"/>
        <w:numPr>
          <w:ilvl w:val="1"/>
          <w:numId w:val="3"/>
        </w:numPr>
        <w:spacing w:lineRule="auto" w:line="276" w:before="120" w:after="120"/>
        <w:ind w:left="-141" w:hanging="0"/>
        <w:jc w:val="both"/>
        <w:rPr/>
      </w:pPr>
      <w:r>
        <w:rPr>
          <w:color w:val="000000"/>
        </w:rPr>
        <w:t>Contratação de empresa especializada para prestação de serviços de Seguro Coletivo de Acidentes Pessoais para os alunos do IF SERTÃO-PE, matriculados e em período de estágio curricular obrigatório e estagiários que desempenhe atividades na Reitoria e nos campi do IF SERTÃO – PE</w:t>
      </w:r>
      <w:r>
        <w:rPr/>
        <w:t>, conforme condições, quantidades e exigências estabelecidas neste instrumento:</w:t>
      </w:r>
    </w:p>
    <w:tbl>
      <w:tblPr>
        <w:tblW w:w="9534" w:type="dxa"/>
        <w:jc w:val="left"/>
        <w:tblInd w:w="-368" w:type="dxa"/>
        <w:tblCellMar>
          <w:top w:w="0" w:type="dxa"/>
          <w:left w:w="108" w:type="dxa"/>
          <w:bottom w:w="0" w:type="dxa"/>
          <w:right w:w="108" w:type="dxa"/>
        </w:tblCellMar>
        <w:tblLook w:firstRow="0" w:noVBand="1" w:lastRow="0" w:firstColumn="0" w:lastColumn="0" w:noHBand="0" w:val="0400"/>
      </w:tblPr>
      <w:tblGrid>
        <w:gridCol w:w="613"/>
        <w:gridCol w:w="5340"/>
        <w:gridCol w:w="1027"/>
        <w:gridCol w:w="1251"/>
        <w:gridCol w:w="1303"/>
      </w:tblGrid>
      <w:tr>
        <w:trPr/>
        <w:tc>
          <w:tcPr>
            <w:tcW w:w="61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center"/>
              <w:rPr>
                <w:color w:val="000000"/>
              </w:rPr>
            </w:pPr>
            <w:r>
              <w:rPr>
                <w:color w:val="000000"/>
              </w:rPr>
              <w:t>Item</w:t>
            </w:r>
          </w:p>
          <w:p>
            <w:pPr>
              <w:pStyle w:val="LOnormal"/>
              <w:widowControl w:val="false"/>
              <w:jc w:val="center"/>
              <w:rPr>
                <w:color w:val="000000"/>
              </w:rPr>
            </w:pPr>
            <w:r>
              <w:rPr>
                <w:color w:val="000000"/>
              </w:rPr>
            </w:r>
          </w:p>
        </w:tc>
        <w:tc>
          <w:tcPr>
            <w:tcW w:w="5340" w:type="dxa"/>
            <w:tcBorders>
              <w:top w:val="single" w:sz="4" w:space="0" w:color="000000"/>
              <w:left w:val="single" w:sz="4" w:space="0" w:color="000000"/>
              <w:bottom w:val="single" w:sz="4" w:space="0" w:color="000000"/>
              <w:right w:val="single" w:sz="4" w:space="0" w:color="000000"/>
            </w:tcBorders>
            <w:shd w:color="auto" w:fill="auto" w:val="clear"/>
          </w:tcPr>
          <w:p>
            <w:pPr>
              <w:pStyle w:val="LOnormal"/>
              <w:jc w:val="center"/>
              <w:rPr>
                <w:color w:val="FF0000"/>
              </w:rPr>
            </w:pPr>
            <w:r>
              <w:rPr/>
              <w:t>Descrição/</w:t>
            </w:r>
          </w:p>
          <w:p>
            <w:pPr>
              <w:pStyle w:val="LOnormal"/>
              <w:widowControl w:val="false"/>
              <w:jc w:val="center"/>
              <w:rPr>
                <w:color w:val="FF0000"/>
              </w:rPr>
            </w:pPr>
            <w:r>
              <w:rPr/>
              <w:t>Especificação</w:t>
            </w:r>
          </w:p>
        </w:tc>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center"/>
              <w:rPr>
                <w:color w:val="FF0000"/>
              </w:rPr>
            </w:pPr>
            <w:r>
              <w:rPr>
                <w:color w:val="000000"/>
              </w:rPr>
              <w:t>Unidade de Medida</w:t>
            </w:r>
          </w:p>
        </w:tc>
        <w:tc>
          <w:tcPr>
            <w:tcW w:w="1251" w:type="dxa"/>
            <w:tcBorders>
              <w:top w:val="single" w:sz="4" w:space="0" w:color="000000"/>
              <w:left w:val="single" w:sz="4" w:space="0" w:color="000000"/>
              <w:bottom w:val="single" w:sz="4" w:space="0" w:color="000000"/>
            </w:tcBorders>
            <w:shd w:color="auto" w:fill="auto" w:val="clear"/>
          </w:tcPr>
          <w:p>
            <w:pPr>
              <w:pStyle w:val="LOnormal"/>
              <w:widowControl w:val="false"/>
              <w:jc w:val="center"/>
              <w:rPr>
                <w:color w:val="000000"/>
              </w:rPr>
            </w:pPr>
            <w:r>
              <w:rPr>
                <w:color w:val="000000"/>
              </w:rPr>
              <w:t>Quantidade Estimada Mensal</w:t>
            </w:r>
          </w:p>
        </w:tc>
        <w:tc>
          <w:tcPr>
            <w:tcW w:w="130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jc w:val="center"/>
              <w:rPr>
                <w:color w:val="000000"/>
              </w:rPr>
            </w:pPr>
            <w:r>
              <w:rPr>
                <w:color w:val="000000"/>
              </w:rPr>
              <w:t>Quantidade Estimada (24 Meses)</w:t>
            </w:r>
          </w:p>
        </w:tc>
      </w:tr>
      <w:tr>
        <w:trPr/>
        <w:tc>
          <w:tcPr>
            <w:tcW w:w="61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spacing w:lineRule="auto" w:line="276" w:before="0" w:after="120"/>
              <w:jc w:val="center"/>
              <w:rPr>
                <w:color w:val="FF0000"/>
              </w:rPr>
            </w:pPr>
            <w:r>
              <w:rPr>
                <w:color w:val="000000"/>
              </w:rPr>
              <w:t>1</w:t>
            </w:r>
          </w:p>
        </w:tc>
        <w:tc>
          <w:tcPr>
            <w:tcW w:w="5340"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spacing w:lineRule="auto" w:line="276" w:before="0" w:after="120"/>
              <w:jc w:val="both"/>
              <w:rPr>
                <w:color w:val="000000"/>
              </w:rPr>
            </w:pPr>
            <w:r>
              <w:rPr>
                <w:color w:val="000000"/>
              </w:rPr>
              <w:t xml:space="preserve">Seguro Coletivo de Acidentes Pessoais para os alunos do IF SERTÃO-PE, matriculados e em período de estágio curricular obrigatório e estagiários de outras instituições que </w:t>
            </w:r>
            <w:r>
              <w:rPr/>
              <w:t>desempenhem</w:t>
            </w:r>
            <w:r>
              <w:rPr>
                <w:color w:val="000000"/>
              </w:rPr>
              <w:t xml:space="preserve">  atividades nas dependências do IF SERTÃO – PE. O </w:t>
            </w:r>
            <w:r>
              <w:rPr/>
              <w:t>seguro</w:t>
            </w:r>
            <w:r>
              <w:rPr>
                <w:color w:val="000000"/>
              </w:rPr>
              <w:t xml:space="preserve"> contratado deverá cobrir todo e qualquer sinistro (acidente pessoal) ocorrido aos segurados em território nacional, com cobertura 24 horas por dia, 7 dias por semana. O </w:t>
            </w:r>
            <w:r>
              <w:rPr/>
              <w:t>aluno</w:t>
            </w:r>
            <w:r>
              <w:rPr>
                <w:color w:val="000000"/>
              </w:rPr>
              <w:t xml:space="preserve"> deverá estar segurado durante o todo o período de estágio, inclusive, nas férias escolares, desde que esteja em atividades de estágio. O serviço contratado (apólice) terá validade de até 12 meses e deverá cobrir alunos estagiários, com rotatividade (inclusão/exclusão) de segurado(s). Capital </w:t>
            </w:r>
            <w:r>
              <w:rPr>
                <w:b/>
                <w:color w:val="000000"/>
                <w:u w:val="single"/>
              </w:rPr>
              <w:t>Morte Acidental (MA):</w:t>
            </w:r>
            <w:r>
              <w:rPr>
                <w:color w:val="000000"/>
              </w:rPr>
              <w:t xml:space="preserve"> Capital segurado R$ 15.000,00; </w:t>
            </w:r>
            <w:r>
              <w:rPr>
                <w:b/>
                <w:color w:val="000000"/>
                <w:u w:val="single"/>
              </w:rPr>
              <w:t>Invalidez Permanente Total ou Parcial por Acidente (IPA):</w:t>
            </w:r>
            <w:r>
              <w:rPr>
                <w:b/>
                <w:color w:val="000000"/>
              </w:rPr>
              <w:t xml:space="preserve"> </w:t>
            </w:r>
            <w:r>
              <w:rPr>
                <w:color w:val="000000"/>
              </w:rPr>
              <w:t xml:space="preserve">Capital segurado R$ 15.000,00; </w:t>
            </w:r>
            <w:r>
              <w:rPr>
                <w:b/>
                <w:color w:val="000000"/>
                <w:u w:val="single"/>
              </w:rPr>
              <w:t>Despesas Médicas, Hospitalares e Odontológicas (DMHO):</w:t>
            </w:r>
            <w:r>
              <w:rPr>
                <w:b/>
                <w:color w:val="000000"/>
              </w:rPr>
              <w:t xml:space="preserve"> </w:t>
            </w:r>
            <w:r>
              <w:rPr>
                <w:color w:val="000000"/>
              </w:rPr>
              <w:t>Capital segurado R$ 5.000,00.</w:t>
            </w:r>
            <w:r>
              <w:rPr>
                <w:b/>
                <w:color w:val="000000"/>
              </w:rPr>
              <w:t xml:space="preserve"> Cobertura Complementar: </w:t>
            </w:r>
            <w:r>
              <w:rPr>
                <w:b/>
                <w:color w:val="000000"/>
                <w:u w:val="single"/>
              </w:rPr>
              <w:t>Auxílio-Funeral</w:t>
            </w:r>
            <w:r>
              <w:rPr>
                <w:b/>
                <w:color w:val="000000"/>
              </w:rPr>
              <w:t xml:space="preserve">: </w:t>
            </w:r>
            <w:r>
              <w:rPr>
                <w:color w:val="000000"/>
              </w:rPr>
              <w:t xml:space="preserve">R$ 3.000,00 </w:t>
            </w:r>
          </w:p>
        </w:tc>
        <w:tc>
          <w:tcPr>
            <w:tcW w:w="1027"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t>Unidade</w:t>
            </w:r>
          </w:p>
        </w:tc>
        <w:tc>
          <w:tcPr>
            <w:tcW w:w="1251" w:type="dxa"/>
            <w:tcBorders>
              <w:top w:val="single" w:sz="4" w:space="0" w:color="000000"/>
              <w:left w:val="single" w:sz="4" w:space="0" w:color="000000"/>
              <w:bottom w:val="single" w:sz="4" w:space="0" w:color="000000"/>
            </w:tcBorders>
            <w:shd w:color="auto" w:fill="auto" w:val="clear"/>
          </w:tcPr>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t>1.282</w:t>
            </w:r>
          </w:p>
        </w:tc>
        <w:tc>
          <w:tcPr>
            <w:tcW w:w="130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r>
          </w:p>
          <w:p>
            <w:pPr>
              <w:pStyle w:val="LOnormal"/>
              <w:widowControl w:val="false"/>
              <w:spacing w:lineRule="auto" w:line="276" w:before="0" w:after="120"/>
              <w:rPr>
                <w:color w:val="000000"/>
              </w:rPr>
            </w:pPr>
            <w:r>
              <w:rPr>
                <w:color w:val="000000"/>
              </w:rPr>
              <w:t>30.768</w:t>
            </w:r>
          </w:p>
        </w:tc>
      </w:tr>
    </w:tbl>
    <w:p>
      <w:pPr>
        <w:pStyle w:val="LOnormal"/>
        <w:spacing w:lineRule="auto" w:line="276" w:before="0" w:after="120"/>
        <w:jc w:val="both"/>
        <w:rPr>
          <w:color w:val="000000"/>
        </w:rPr>
      </w:pPr>
      <w:r>
        <w:rPr>
          <w:color w:val="000000"/>
        </w:rPr>
      </w:r>
    </w:p>
    <w:p>
      <w:pPr>
        <w:pStyle w:val="LOnormal"/>
        <w:spacing w:lineRule="auto" w:line="276" w:before="0" w:after="120"/>
        <w:jc w:val="both"/>
        <w:rPr>
          <w:b/>
          <w:b/>
          <w:color w:val="FF0000"/>
          <w:u w:val="single"/>
        </w:rPr>
      </w:pPr>
      <w:r>
        <w:rPr>
          <w:b/>
          <w:color w:val="FF0000"/>
          <w:u w:val="single"/>
        </w:rPr>
      </w:r>
    </w:p>
    <w:p>
      <w:pPr>
        <w:pStyle w:val="LOnormal"/>
        <w:numPr>
          <w:ilvl w:val="2"/>
          <w:numId w:val="3"/>
        </w:numPr>
        <w:spacing w:lineRule="auto" w:line="259"/>
        <w:ind w:left="-141" w:hanging="425"/>
        <w:jc w:val="both"/>
        <w:rPr/>
      </w:pPr>
      <w:r>
        <w:rPr>
          <w:color w:val="000000"/>
        </w:rPr>
        <w:t>Estimativas de consumo individualizadas, do órgão gerenciador e órgão(s) e entidade(s) participante(s):</w:t>
      </w:r>
    </w:p>
    <w:p>
      <w:pPr>
        <w:pStyle w:val="LOnormal"/>
        <w:spacing w:lineRule="auto" w:line="259" w:before="0" w:after="160"/>
        <w:ind w:left="964" w:hanging="567"/>
        <w:jc w:val="both"/>
        <w:rPr>
          <w:i/>
          <w:i/>
          <w:color w:val="FF0000"/>
          <w:u w:val="single"/>
        </w:rPr>
      </w:pPr>
      <w:r>
        <w:rPr>
          <w:i/>
          <w:color w:val="FF0000"/>
          <w:u w:val="single"/>
        </w:rPr>
      </w:r>
    </w:p>
    <w:tbl>
      <w:tblPr>
        <w:tblW w:w="9495" w:type="dxa"/>
        <w:jc w:val="left"/>
        <w:tblInd w:w="-219" w:type="dxa"/>
        <w:tblCellMar>
          <w:top w:w="0" w:type="dxa"/>
          <w:left w:w="108" w:type="dxa"/>
          <w:bottom w:w="0" w:type="dxa"/>
          <w:right w:w="108" w:type="dxa"/>
        </w:tblCellMar>
        <w:tblLook w:firstRow="0" w:noVBand="0" w:lastRow="0" w:firstColumn="0" w:lastColumn="0" w:noHBand="0" w:val="0000"/>
      </w:tblPr>
      <w:tblGrid>
        <w:gridCol w:w="615"/>
        <w:gridCol w:w="3146"/>
        <w:gridCol w:w="2955"/>
        <w:gridCol w:w="1425"/>
        <w:gridCol w:w="1354"/>
      </w:tblGrid>
      <w:tr>
        <w:trPr/>
        <w:tc>
          <w:tcPr>
            <w:tcW w:w="615" w:type="dxa"/>
            <w:tcBorders>
              <w:top w:val="single" w:sz="4" w:space="0" w:color="000001"/>
              <w:left w:val="single" w:sz="4" w:space="0" w:color="000001"/>
              <w:bottom w:val="single" w:sz="4" w:space="0" w:color="000001"/>
              <w:right w:val="single" w:sz="4" w:space="0" w:color="000001"/>
            </w:tcBorders>
            <w:shd w:color="auto" w:fill="DDDDDD" w:val="clear"/>
          </w:tcPr>
          <w:p>
            <w:pPr>
              <w:pStyle w:val="LOnormal"/>
              <w:widowControl w:val="false"/>
              <w:jc w:val="center"/>
              <w:rPr>
                <w:b/>
                <w:b/>
                <w:sz w:val="19"/>
                <w:szCs w:val="19"/>
              </w:rPr>
            </w:pPr>
            <w:r>
              <w:rPr>
                <w:b/>
                <w:color w:val="000000"/>
                <w:sz w:val="19"/>
                <w:szCs w:val="19"/>
              </w:rPr>
              <w:t>Item</w:t>
            </w:r>
          </w:p>
          <w:p>
            <w:pPr>
              <w:pStyle w:val="LOnormal"/>
              <w:widowControl w:val="false"/>
              <w:jc w:val="center"/>
              <w:rPr>
                <w:b/>
                <w:b/>
                <w:color w:val="000000"/>
                <w:sz w:val="19"/>
                <w:szCs w:val="19"/>
              </w:rPr>
            </w:pPr>
            <w:r>
              <w:rPr>
                <w:b/>
                <w:color w:val="000000"/>
                <w:sz w:val="19"/>
                <w:szCs w:val="19"/>
              </w:rPr>
            </w:r>
          </w:p>
        </w:tc>
        <w:tc>
          <w:tcPr>
            <w:tcW w:w="3146" w:type="dxa"/>
            <w:tcBorders>
              <w:top w:val="single" w:sz="4" w:space="0" w:color="000001"/>
              <w:left w:val="single" w:sz="4" w:space="0" w:color="000001"/>
              <w:bottom w:val="single" w:sz="4" w:space="0" w:color="000001"/>
            </w:tcBorders>
            <w:shd w:color="auto" w:fill="DDDDDD" w:val="clear"/>
          </w:tcPr>
          <w:p>
            <w:pPr>
              <w:pStyle w:val="LOnormal"/>
              <w:jc w:val="center"/>
              <w:rPr>
                <w:b/>
                <w:b/>
                <w:color w:val="000000"/>
                <w:sz w:val="19"/>
                <w:szCs w:val="19"/>
              </w:rPr>
            </w:pPr>
            <w:r>
              <w:rPr>
                <w:b/>
                <w:color w:val="000000"/>
                <w:sz w:val="19"/>
                <w:szCs w:val="19"/>
              </w:rPr>
              <w:t>Unidade</w:t>
            </w:r>
          </w:p>
          <w:p>
            <w:pPr>
              <w:pStyle w:val="LOnormal"/>
              <w:jc w:val="center"/>
              <w:rPr>
                <w:b/>
                <w:b/>
                <w:color w:val="000000"/>
                <w:sz w:val="19"/>
                <w:szCs w:val="19"/>
              </w:rPr>
            </w:pPr>
            <w:r>
              <w:rPr>
                <w:b/>
                <w:color w:val="000000"/>
                <w:sz w:val="19"/>
                <w:szCs w:val="19"/>
              </w:rPr>
              <w:t>Descrição/</w:t>
            </w:r>
          </w:p>
          <w:p>
            <w:pPr>
              <w:pStyle w:val="LOnormal"/>
              <w:widowControl w:val="false"/>
              <w:jc w:val="center"/>
              <w:rPr>
                <w:b/>
                <w:b/>
                <w:color w:val="000000"/>
                <w:sz w:val="19"/>
                <w:szCs w:val="19"/>
              </w:rPr>
            </w:pPr>
            <w:r>
              <w:rPr>
                <w:b/>
                <w:color w:val="000000"/>
                <w:sz w:val="19"/>
                <w:szCs w:val="19"/>
              </w:rPr>
              <w:t>Especificação</w:t>
            </w:r>
          </w:p>
        </w:tc>
        <w:tc>
          <w:tcPr>
            <w:tcW w:w="2955" w:type="dxa"/>
            <w:tcBorders>
              <w:top w:val="single" w:sz="4" w:space="0" w:color="000001"/>
              <w:left w:val="single" w:sz="4" w:space="0" w:color="000001"/>
              <w:bottom w:val="single" w:sz="4" w:space="0" w:color="000001"/>
              <w:right w:val="single" w:sz="4" w:space="0" w:color="000001"/>
            </w:tcBorders>
            <w:shd w:color="auto" w:fill="DDDDDD" w:val="clear"/>
          </w:tcPr>
          <w:p>
            <w:pPr>
              <w:pStyle w:val="LOnormal"/>
              <w:widowControl w:val="false"/>
              <w:jc w:val="center"/>
              <w:rPr>
                <w:b/>
                <w:b/>
                <w:color w:val="000000"/>
                <w:sz w:val="19"/>
                <w:szCs w:val="19"/>
              </w:rPr>
            </w:pPr>
            <w:r>
              <w:rPr>
                <w:b/>
                <w:color w:val="000000"/>
                <w:sz w:val="19"/>
                <w:szCs w:val="19"/>
              </w:rPr>
              <w:t>Campus / Unidade</w:t>
            </w:r>
          </w:p>
        </w:tc>
        <w:tc>
          <w:tcPr>
            <w:tcW w:w="1425" w:type="dxa"/>
            <w:tcBorders>
              <w:top w:val="single" w:sz="4" w:space="0" w:color="000001"/>
              <w:left w:val="single" w:sz="4" w:space="0" w:color="000001"/>
              <w:bottom w:val="single" w:sz="4" w:space="0" w:color="000001"/>
            </w:tcBorders>
            <w:shd w:color="auto" w:fill="DDDDDD" w:val="clear"/>
            <w:vAlign w:val="center"/>
          </w:tcPr>
          <w:p>
            <w:pPr>
              <w:pStyle w:val="LOnormal"/>
              <w:widowControl w:val="false"/>
              <w:tabs>
                <w:tab w:val="clear" w:pos="720"/>
                <w:tab w:val="left" w:pos="33" w:leader="none"/>
                <w:tab w:val="left" w:pos="167" w:leader="none"/>
                <w:tab w:val="left" w:pos="400" w:leader="none"/>
                <w:tab w:val="left" w:pos="667" w:leader="none"/>
              </w:tabs>
              <w:ind w:left="-624" w:right="-595" w:hanging="0"/>
              <w:jc w:val="center"/>
              <w:rPr>
                <w:b/>
                <w:b/>
                <w:sz w:val="19"/>
                <w:szCs w:val="19"/>
              </w:rPr>
            </w:pPr>
            <w:r>
              <w:rPr>
                <w:b/>
                <w:color w:val="000000"/>
                <w:sz w:val="19"/>
                <w:szCs w:val="19"/>
              </w:rPr>
              <w:t>Quant.</w:t>
            </w:r>
          </w:p>
          <w:p>
            <w:pPr>
              <w:pStyle w:val="LOnormal"/>
              <w:widowControl w:val="false"/>
              <w:tabs>
                <w:tab w:val="clear" w:pos="720"/>
                <w:tab w:val="left" w:pos="33" w:leader="none"/>
                <w:tab w:val="left" w:pos="167" w:leader="none"/>
                <w:tab w:val="left" w:pos="400" w:leader="none"/>
                <w:tab w:val="left" w:pos="667" w:leader="none"/>
              </w:tabs>
              <w:ind w:left="-624" w:right="-595" w:hanging="0"/>
              <w:jc w:val="center"/>
              <w:rPr>
                <w:b/>
                <w:b/>
                <w:sz w:val="19"/>
                <w:szCs w:val="19"/>
              </w:rPr>
            </w:pPr>
            <w:r>
              <w:rPr>
                <w:b/>
                <w:color w:val="000000"/>
                <w:sz w:val="19"/>
                <w:szCs w:val="19"/>
              </w:rPr>
              <w:t>ESTIMADO</w:t>
            </w:r>
          </w:p>
          <w:p>
            <w:pPr>
              <w:pStyle w:val="LOnormal"/>
              <w:widowControl w:val="false"/>
              <w:tabs>
                <w:tab w:val="clear" w:pos="720"/>
                <w:tab w:val="left" w:pos="33" w:leader="none"/>
                <w:tab w:val="left" w:pos="167" w:leader="none"/>
                <w:tab w:val="left" w:pos="400" w:leader="none"/>
                <w:tab w:val="left" w:pos="667" w:leader="none"/>
              </w:tabs>
              <w:ind w:left="-624" w:right="-595" w:hanging="0"/>
              <w:jc w:val="center"/>
              <w:rPr>
                <w:b/>
                <w:b/>
                <w:sz w:val="19"/>
                <w:szCs w:val="19"/>
              </w:rPr>
            </w:pPr>
            <w:r>
              <w:rPr>
                <w:b/>
                <w:color w:val="000000"/>
                <w:sz w:val="19"/>
                <w:szCs w:val="19"/>
              </w:rPr>
              <w:t>Mensal</w:t>
            </w:r>
          </w:p>
        </w:tc>
        <w:tc>
          <w:tcPr>
            <w:tcW w:w="1354" w:type="dxa"/>
            <w:tcBorders>
              <w:top w:val="single" w:sz="4" w:space="0" w:color="000001"/>
              <w:left w:val="single" w:sz="4" w:space="0" w:color="000001"/>
              <w:bottom w:val="single" w:sz="4" w:space="0" w:color="000001"/>
              <w:right w:val="single" w:sz="4" w:space="0" w:color="000001"/>
            </w:tcBorders>
            <w:shd w:color="auto" w:fill="DDDDDD" w:val="clear"/>
          </w:tcPr>
          <w:p>
            <w:pPr>
              <w:pStyle w:val="LOnormal"/>
              <w:widowControl w:val="false"/>
              <w:jc w:val="center"/>
              <w:rPr>
                <w:b/>
                <w:b/>
                <w:sz w:val="19"/>
                <w:szCs w:val="19"/>
              </w:rPr>
            </w:pPr>
            <w:r>
              <w:rPr>
                <w:b/>
                <w:sz w:val="19"/>
                <w:szCs w:val="19"/>
              </w:rPr>
              <w:t>Quantidade em 24 meses</w:t>
            </w:r>
          </w:p>
        </w:tc>
      </w:tr>
      <w:tr>
        <w:trPr/>
        <w:tc>
          <w:tcPr>
            <w:tcW w:w="615" w:type="dxa"/>
            <w:vMerge w:val="restart"/>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before="0" w:after="120"/>
              <w:jc w:val="center"/>
              <w:rPr>
                <w:i/>
                <w:i/>
                <w:color w:val="000000"/>
                <w:sz w:val="19"/>
                <w:szCs w:val="19"/>
              </w:rPr>
            </w:pPr>
            <w:r>
              <w:rPr>
                <w:i/>
                <w:color w:val="000000"/>
                <w:sz w:val="19"/>
                <w:szCs w:val="19"/>
              </w:rPr>
            </w:r>
          </w:p>
          <w:p>
            <w:pPr>
              <w:pStyle w:val="LOnormal"/>
              <w:widowControl w:val="false"/>
              <w:spacing w:lineRule="auto" w:line="276" w:before="0" w:after="120"/>
              <w:jc w:val="center"/>
              <w:rPr>
                <w:color w:val="000000"/>
                <w:sz w:val="19"/>
                <w:szCs w:val="19"/>
              </w:rPr>
            </w:pPr>
            <w:r>
              <w:rPr>
                <w:color w:val="000000"/>
                <w:sz w:val="19"/>
                <w:szCs w:val="19"/>
              </w:rPr>
              <w:t>01</w:t>
            </w:r>
          </w:p>
        </w:tc>
        <w:tc>
          <w:tcPr>
            <w:tcW w:w="3146" w:type="dxa"/>
            <w:vMerge w:val="restart"/>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jc w:val="both"/>
              <w:rPr>
                <w:color w:val="000000"/>
                <w:sz w:val="18"/>
                <w:szCs w:val="18"/>
              </w:rPr>
            </w:pPr>
            <w:r>
              <w:rPr>
                <w:color w:val="000000"/>
                <w:sz w:val="18"/>
                <w:szCs w:val="18"/>
              </w:rPr>
            </w:r>
          </w:p>
          <w:p>
            <w:pPr>
              <w:pStyle w:val="LOnormal"/>
              <w:widowControl w:val="false"/>
              <w:spacing w:lineRule="auto" w:line="276"/>
              <w:jc w:val="both"/>
              <w:rPr>
                <w:color w:val="000000"/>
                <w:sz w:val="18"/>
                <w:szCs w:val="18"/>
              </w:rPr>
            </w:pPr>
            <w:bookmarkStart w:id="1" w:name="_heading=h.30j0zll"/>
            <w:bookmarkEnd w:id="1"/>
            <w:r>
              <w:rPr>
                <w:color w:val="000000"/>
                <w:sz w:val="18"/>
                <w:szCs w:val="18"/>
              </w:rPr>
              <w:t xml:space="preserve">Seguro Coletivo de Acidentes Pessoais para os alunos do IF SERTÃO-PE, matriculados e em período de estágio curricular obrigatório e estagiários de outras instituições que </w:t>
            </w:r>
            <w:r>
              <w:rPr>
                <w:sz w:val="18"/>
                <w:szCs w:val="18"/>
              </w:rPr>
              <w:t>desempenhem</w:t>
            </w:r>
            <w:r>
              <w:rPr>
                <w:color w:val="000000"/>
                <w:sz w:val="18"/>
                <w:szCs w:val="18"/>
              </w:rPr>
              <w:t xml:space="preserve"> atividades nas dependências do IF SERTÃO – PE. </w:t>
            </w:r>
          </w:p>
        </w:tc>
        <w:tc>
          <w:tcPr>
            <w:tcW w:w="2955" w:type="dxa"/>
            <w:tcBorders>
              <w:top w:val="single" w:sz="4" w:space="0" w:color="000001"/>
              <w:left w:val="single" w:sz="4" w:space="0" w:color="000001"/>
              <w:bottom w:val="single" w:sz="4" w:space="0" w:color="000001"/>
              <w:right w:val="single" w:sz="4" w:space="0" w:color="000001"/>
            </w:tcBorders>
            <w:shd w:color="auto" w:fill="FFFF00" w:val="clear"/>
          </w:tcPr>
          <w:p>
            <w:pPr>
              <w:pStyle w:val="LOnormal"/>
              <w:widowControl w:val="false"/>
              <w:spacing w:lineRule="auto" w:line="276" w:before="0" w:after="120"/>
              <w:rPr/>
            </w:pPr>
            <w:r>
              <w:rPr>
                <w:b/>
                <w:i/>
                <w:color w:val="000000"/>
                <w:sz w:val="19"/>
                <w:szCs w:val="19"/>
              </w:rPr>
              <w:t>Órgão Gerenciador:</w:t>
            </w:r>
          </w:p>
        </w:tc>
        <w:tc>
          <w:tcPr>
            <w:tcW w:w="1425" w:type="dxa"/>
            <w:tcBorders>
              <w:top w:val="single" w:sz="4" w:space="0" w:color="000001"/>
              <w:left w:val="single" w:sz="4" w:space="0" w:color="000001"/>
              <w:bottom w:val="single" w:sz="4" w:space="0" w:color="000001"/>
            </w:tcBorders>
            <w:shd w:color="auto" w:fill="FFFF00" w:val="clear"/>
          </w:tcPr>
          <w:p>
            <w:pPr>
              <w:pStyle w:val="LOnormal"/>
              <w:widowControl w:val="false"/>
              <w:spacing w:lineRule="auto" w:line="276" w:before="0" w:after="120"/>
              <w:jc w:val="center"/>
              <w:rPr>
                <w:i/>
                <w:i/>
                <w:color w:val="000000"/>
                <w:sz w:val="19"/>
                <w:szCs w:val="19"/>
              </w:rPr>
            </w:pPr>
            <w:r>
              <w:rPr>
                <w:i/>
                <w:color w:val="000000"/>
                <w:sz w:val="19"/>
                <w:szCs w:val="19"/>
              </w:rPr>
            </w:r>
          </w:p>
        </w:tc>
        <w:tc>
          <w:tcPr>
            <w:tcW w:w="1354" w:type="dxa"/>
            <w:tcBorders>
              <w:top w:val="single" w:sz="4" w:space="0" w:color="000001"/>
              <w:left w:val="single" w:sz="4" w:space="0" w:color="000001"/>
              <w:bottom w:val="single" w:sz="4" w:space="0" w:color="000001"/>
              <w:right w:val="single" w:sz="4" w:space="0" w:color="000001"/>
            </w:tcBorders>
            <w:shd w:color="auto" w:fill="FFFF00" w:val="clear"/>
          </w:tcPr>
          <w:p>
            <w:pPr>
              <w:pStyle w:val="LOnormal"/>
              <w:widowControl w:val="false"/>
              <w:spacing w:lineRule="auto" w:line="276" w:before="0" w:after="120"/>
              <w:jc w:val="center"/>
              <w:rPr>
                <w:sz w:val="19"/>
                <w:szCs w:val="19"/>
              </w:rPr>
            </w:pPr>
            <w:r>
              <w:rPr>
                <w:sz w:val="19"/>
                <w:szCs w:val="19"/>
              </w:rPr>
            </w:r>
          </w:p>
        </w:tc>
      </w:tr>
      <w:tr>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rPr>
                <w:i/>
                <w:i/>
                <w:color w:val="000000"/>
                <w:sz w:val="19"/>
                <w:szCs w:val="19"/>
              </w:rPr>
            </w:pPr>
            <w:r>
              <w:rPr>
                <w:i/>
                <w:color w:val="000000"/>
                <w:sz w:val="19"/>
                <w:szCs w:val="19"/>
              </w:rPr>
              <w:t>Reitoria</w:t>
            </w:r>
          </w:p>
        </w:tc>
        <w:tc>
          <w:tcPr>
            <w:tcW w:w="1425" w:type="dxa"/>
            <w:tcBorders>
              <w:left w:val="single" w:sz="4" w:space="0" w:color="000001"/>
              <w:bottom w:val="single" w:sz="4" w:space="0" w:color="000001"/>
            </w:tcBorders>
            <w:shd w:color="auto" w:fill="auto" w:val="clear"/>
          </w:tcPr>
          <w:p>
            <w:pPr>
              <w:pStyle w:val="LOnormal"/>
              <w:widowControl w:val="false"/>
              <w:spacing w:lineRule="auto" w:line="276" w:before="0" w:after="120"/>
              <w:jc w:val="center"/>
              <w:rPr>
                <w:i/>
                <w:i/>
                <w:color w:val="000000"/>
                <w:sz w:val="19"/>
                <w:szCs w:val="19"/>
              </w:rPr>
            </w:pPr>
            <w:r>
              <w:rPr>
                <w:i/>
                <w:color w:val="000000"/>
                <w:sz w:val="19"/>
                <w:szCs w:val="19"/>
              </w:rPr>
              <w:t>10</w:t>
            </w:r>
          </w:p>
        </w:tc>
        <w:tc>
          <w:tcPr>
            <w:tcW w:w="1354" w:type="dxa"/>
            <w:tcBorders>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jc w:val="center"/>
              <w:rPr>
                <w:sz w:val="19"/>
                <w:szCs w:val="19"/>
              </w:rPr>
            </w:pPr>
            <w:r>
              <w:rPr>
                <w:sz w:val="19"/>
                <w:szCs w:val="19"/>
              </w:rPr>
              <w:t>240</w:t>
            </w:r>
          </w:p>
        </w:tc>
      </w:tr>
      <w:tr>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left w:val="single" w:sz="4" w:space="0" w:color="000001"/>
              <w:bottom w:val="single" w:sz="4" w:space="0" w:color="000001"/>
              <w:right w:val="single" w:sz="4" w:space="0" w:color="000001"/>
            </w:tcBorders>
            <w:shd w:color="auto" w:fill="FFFF00" w:val="clear"/>
          </w:tcPr>
          <w:p>
            <w:pPr>
              <w:pStyle w:val="LOnormal"/>
              <w:widowControl w:val="false"/>
              <w:spacing w:lineRule="auto" w:line="276" w:before="0" w:after="120"/>
              <w:rPr>
                <w:b/>
                <w:b/>
                <w:i/>
                <w:i/>
                <w:color w:val="000000"/>
                <w:sz w:val="19"/>
                <w:szCs w:val="19"/>
              </w:rPr>
            </w:pPr>
            <w:r>
              <w:rPr>
                <w:b/>
                <w:i/>
                <w:color w:val="000000"/>
                <w:sz w:val="19"/>
                <w:szCs w:val="19"/>
              </w:rPr>
              <w:t>Órgãos participantes:</w:t>
            </w:r>
          </w:p>
        </w:tc>
        <w:tc>
          <w:tcPr>
            <w:tcW w:w="1425" w:type="dxa"/>
            <w:tcBorders>
              <w:left w:val="single" w:sz="4" w:space="0" w:color="000001"/>
              <w:bottom w:val="single" w:sz="4" w:space="0" w:color="000001"/>
            </w:tcBorders>
            <w:shd w:color="auto" w:fill="FFFF00" w:val="clear"/>
          </w:tcPr>
          <w:p>
            <w:pPr>
              <w:pStyle w:val="LOnormal"/>
              <w:widowControl w:val="false"/>
              <w:spacing w:lineRule="auto" w:line="276" w:before="0" w:after="120"/>
              <w:jc w:val="center"/>
              <w:rPr>
                <w:i/>
                <w:i/>
                <w:color w:val="000000"/>
                <w:sz w:val="19"/>
                <w:szCs w:val="19"/>
              </w:rPr>
            </w:pPr>
            <w:r>
              <w:rPr>
                <w:i/>
                <w:color w:val="000000"/>
                <w:sz w:val="19"/>
                <w:szCs w:val="19"/>
              </w:rPr>
            </w:r>
          </w:p>
        </w:tc>
        <w:tc>
          <w:tcPr>
            <w:tcW w:w="1354" w:type="dxa"/>
            <w:tcBorders>
              <w:left w:val="single" w:sz="4" w:space="0" w:color="000001"/>
              <w:bottom w:val="single" w:sz="4" w:space="0" w:color="000001"/>
              <w:right w:val="single" w:sz="4" w:space="0" w:color="000001"/>
            </w:tcBorders>
            <w:shd w:color="auto" w:fill="FFFF00" w:val="clear"/>
          </w:tcPr>
          <w:p>
            <w:pPr>
              <w:pStyle w:val="LOnormal"/>
              <w:widowControl w:val="false"/>
              <w:spacing w:lineRule="auto" w:line="276" w:before="0" w:after="120"/>
              <w:jc w:val="center"/>
              <w:rPr>
                <w:sz w:val="19"/>
                <w:szCs w:val="19"/>
              </w:rPr>
            </w:pPr>
            <w:r>
              <w:rPr>
                <w:sz w:val="19"/>
                <w:szCs w:val="19"/>
              </w:rPr>
            </w:r>
          </w:p>
        </w:tc>
      </w:tr>
      <w:tr>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rPr>
                <w:sz w:val="19"/>
                <w:szCs w:val="19"/>
              </w:rPr>
            </w:pPr>
            <w:r>
              <w:rPr>
                <w:i/>
                <w:color w:val="000000"/>
                <w:sz w:val="19"/>
                <w:szCs w:val="19"/>
              </w:rPr>
              <w:t xml:space="preserve">Campus Floresta </w:t>
            </w:r>
          </w:p>
        </w:tc>
        <w:tc>
          <w:tcPr>
            <w:tcW w:w="1425" w:type="dxa"/>
            <w:tcBorders>
              <w:top w:val="single" w:sz="4" w:space="0" w:color="000001"/>
              <w:left w:val="single" w:sz="4" w:space="0" w:color="000001"/>
              <w:bottom w:val="single" w:sz="4" w:space="0" w:color="000001"/>
            </w:tcBorders>
            <w:shd w:color="auto" w:fill="auto" w:val="clear"/>
          </w:tcPr>
          <w:p>
            <w:pPr>
              <w:pStyle w:val="LOnormal"/>
              <w:widowControl w:val="false"/>
              <w:spacing w:lineRule="auto" w:line="276" w:before="0" w:after="120"/>
              <w:jc w:val="center"/>
              <w:rPr>
                <w:i/>
                <w:i/>
                <w:sz w:val="19"/>
                <w:szCs w:val="19"/>
              </w:rPr>
            </w:pPr>
            <w:bookmarkStart w:id="2" w:name="_heading=h.1fob9te"/>
            <w:bookmarkEnd w:id="2"/>
            <w:r>
              <w:rPr>
                <w:i/>
                <w:color w:val="000000"/>
                <w:sz w:val="19"/>
                <w:szCs w:val="19"/>
              </w:rPr>
              <w:t>132</w:t>
            </w:r>
          </w:p>
        </w:tc>
        <w:tc>
          <w:tcPr>
            <w:tcW w:w="135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jc w:val="center"/>
              <w:rPr>
                <w:sz w:val="19"/>
                <w:szCs w:val="19"/>
              </w:rPr>
            </w:pPr>
            <w:r>
              <w:rPr>
                <w:sz w:val="19"/>
                <w:szCs w:val="19"/>
              </w:rPr>
              <w:t>3.168</w:t>
            </w:r>
          </w:p>
        </w:tc>
      </w:tr>
      <w:tr>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rPr>
                <w:sz w:val="19"/>
                <w:szCs w:val="19"/>
              </w:rPr>
            </w:pPr>
            <w:r>
              <w:rPr>
                <w:i/>
                <w:color w:val="000000"/>
                <w:sz w:val="19"/>
                <w:szCs w:val="19"/>
              </w:rPr>
              <w:t>Campus Ouricuri</w:t>
            </w:r>
          </w:p>
        </w:tc>
        <w:tc>
          <w:tcPr>
            <w:tcW w:w="1425" w:type="dxa"/>
            <w:tcBorders>
              <w:top w:val="single" w:sz="4" w:space="0" w:color="000001"/>
              <w:left w:val="single" w:sz="4" w:space="0" w:color="000001"/>
              <w:bottom w:val="single" w:sz="4" w:space="0" w:color="000001"/>
            </w:tcBorders>
            <w:shd w:color="auto" w:fill="auto" w:val="clear"/>
          </w:tcPr>
          <w:p>
            <w:pPr>
              <w:pStyle w:val="LOnormal"/>
              <w:widowControl w:val="false"/>
              <w:spacing w:lineRule="auto" w:line="276" w:before="0" w:after="120"/>
              <w:jc w:val="center"/>
              <w:rPr>
                <w:i/>
                <w:i/>
                <w:color w:val="000000"/>
                <w:sz w:val="19"/>
                <w:szCs w:val="19"/>
              </w:rPr>
            </w:pPr>
            <w:r>
              <w:rPr>
                <w:i/>
                <w:color w:val="000000"/>
                <w:sz w:val="19"/>
                <w:szCs w:val="19"/>
              </w:rPr>
              <w:t>133</w:t>
            </w:r>
          </w:p>
        </w:tc>
        <w:tc>
          <w:tcPr>
            <w:tcW w:w="135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jc w:val="center"/>
              <w:rPr>
                <w:sz w:val="19"/>
                <w:szCs w:val="19"/>
              </w:rPr>
            </w:pPr>
            <w:r>
              <w:rPr>
                <w:sz w:val="19"/>
                <w:szCs w:val="19"/>
              </w:rPr>
              <w:t>3.192</w:t>
            </w:r>
          </w:p>
        </w:tc>
      </w:tr>
      <w:tr>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rPr>
                <w:sz w:val="19"/>
                <w:szCs w:val="19"/>
              </w:rPr>
            </w:pPr>
            <w:r>
              <w:rPr>
                <w:i/>
                <w:color w:val="000000"/>
                <w:sz w:val="19"/>
                <w:szCs w:val="19"/>
              </w:rPr>
              <w:t>Campus Petrolina Zona Rural</w:t>
            </w:r>
          </w:p>
        </w:tc>
        <w:tc>
          <w:tcPr>
            <w:tcW w:w="1425" w:type="dxa"/>
            <w:tcBorders>
              <w:top w:val="single" w:sz="4" w:space="0" w:color="000001"/>
              <w:left w:val="single" w:sz="4" w:space="0" w:color="000001"/>
              <w:bottom w:val="single" w:sz="4" w:space="0" w:color="000001"/>
            </w:tcBorders>
            <w:shd w:color="auto" w:fill="auto" w:val="clear"/>
          </w:tcPr>
          <w:p>
            <w:pPr>
              <w:pStyle w:val="LOnormal"/>
              <w:widowControl w:val="false"/>
              <w:spacing w:lineRule="auto" w:line="276" w:before="0" w:after="120"/>
              <w:jc w:val="center"/>
              <w:rPr>
                <w:i/>
                <w:i/>
                <w:color w:val="000000"/>
                <w:sz w:val="19"/>
                <w:szCs w:val="19"/>
              </w:rPr>
            </w:pPr>
            <w:r>
              <w:rPr>
                <w:i/>
                <w:color w:val="000000"/>
                <w:sz w:val="19"/>
                <w:szCs w:val="19"/>
              </w:rPr>
              <w:t>140</w:t>
            </w:r>
          </w:p>
        </w:tc>
        <w:tc>
          <w:tcPr>
            <w:tcW w:w="135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jc w:val="center"/>
              <w:rPr>
                <w:sz w:val="19"/>
                <w:szCs w:val="19"/>
              </w:rPr>
            </w:pPr>
            <w:r>
              <w:rPr>
                <w:sz w:val="19"/>
                <w:szCs w:val="19"/>
              </w:rPr>
              <w:t>3.360</w:t>
            </w:r>
          </w:p>
        </w:tc>
      </w:tr>
      <w:tr>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rPr>
                <w:color w:val="000000"/>
              </w:rPr>
            </w:pPr>
            <w:r>
              <w:rPr>
                <w:color w:val="000000"/>
                <w:sz w:val="19"/>
                <w:szCs w:val="19"/>
              </w:rPr>
              <w:t>Campus Petrolina</w:t>
            </w:r>
          </w:p>
        </w:tc>
        <w:tc>
          <w:tcPr>
            <w:tcW w:w="1425" w:type="dxa"/>
            <w:tcBorders>
              <w:left w:val="single" w:sz="4" w:space="0" w:color="000001"/>
              <w:bottom w:val="single" w:sz="4" w:space="0" w:color="000001"/>
            </w:tcBorders>
            <w:shd w:color="auto" w:fill="auto" w:val="clear"/>
          </w:tcPr>
          <w:p>
            <w:pPr>
              <w:pStyle w:val="LOnormal"/>
              <w:widowControl w:val="false"/>
              <w:spacing w:lineRule="auto" w:line="276" w:before="0" w:after="120"/>
              <w:jc w:val="center"/>
              <w:rPr>
                <w:color w:val="000000"/>
              </w:rPr>
            </w:pPr>
            <w:r>
              <w:rPr>
                <w:i/>
                <w:color w:val="000000"/>
                <w:sz w:val="19"/>
                <w:szCs w:val="19"/>
              </w:rPr>
              <w:t>403</w:t>
            </w:r>
          </w:p>
        </w:tc>
        <w:tc>
          <w:tcPr>
            <w:tcW w:w="1354" w:type="dxa"/>
            <w:tcBorders>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jc w:val="center"/>
              <w:rPr>
                <w:color w:val="000000"/>
              </w:rPr>
            </w:pPr>
            <w:r>
              <w:rPr>
                <w:color w:val="000000"/>
                <w:sz w:val="19"/>
                <w:szCs w:val="19"/>
              </w:rPr>
              <w:t>9.672</w:t>
            </w:r>
          </w:p>
        </w:tc>
      </w:tr>
      <w:tr>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rPr>
                <w:color w:val="000000"/>
              </w:rPr>
            </w:pPr>
            <w:r>
              <w:rPr>
                <w:color w:val="000000"/>
                <w:sz w:val="19"/>
                <w:szCs w:val="19"/>
              </w:rPr>
              <w:t>Campus Salgueiro</w:t>
            </w:r>
          </w:p>
        </w:tc>
        <w:tc>
          <w:tcPr>
            <w:tcW w:w="1425" w:type="dxa"/>
            <w:tcBorders>
              <w:left w:val="single" w:sz="4" w:space="0" w:color="000001"/>
              <w:bottom w:val="single" w:sz="4" w:space="0" w:color="000001"/>
            </w:tcBorders>
            <w:shd w:color="auto" w:fill="auto" w:val="clear"/>
          </w:tcPr>
          <w:p>
            <w:pPr>
              <w:pStyle w:val="LOnormal"/>
              <w:widowControl w:val="false"/>
              <w:spacing w:lineRule="auto" w:line="276" w:before="0" w:after="120"/>
              <w:jc w:val="center"/>
              <w:rPr>
                <w:color w:val="000000"/>
              </w:rPr>
            </w:pPr>
            <w:r>
              <w:rPr>
                <w:i/>
                <w:color w:val="000000"/>
                <w:sz w:val="19"/>
                <w:szCs w:val="19"/>
              </w:rPr>
              <w:t>167</w:t>
            </w:r>
          </w:p>
        </w:tc>
        <w:tc>
          <w:tcPr>
            <w:tcW w:w="1354" w:type="dxa"/>
            <w:tcBorders>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jc w:val="center"/>
              <w:rPr>
                <w:color w:val="000000"/>
              </w:rPr>
            </w:pPr>
            <w:r>
              <w:rPr>
                <w:color w:val="000000"/>
                <w:sz w:val="19"/>
                <w:szCs w:val="19"/>
              </w:rPr>
              <w:t>4.008</w:t>
            </w:r>
          </w:p>
        </w:tc>
      </w:tr>
      <w:tr>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rPr>
                <w:color w:val="000000"/>
              </w:rPr>
            </w:pPr>
            <w:r>
              <w:rPr>
                <w:i/>
                <w:color w:val="000000"/>
                <w:sz w:val="19"/>
                <w:szCs w:val="19"/>
              </w:rPr>
              <w:t xml:space="preserve">Campus Serra Talhada </w:t>
            </w:r>
          </w:p>
        </w:tc>
        <w:tc>
          <w:tcPr>
            <w:tcW w:w="1425" w:type="dxa"/>
            <w:tcBorders>
              <w:top w:val="single" w:sz="4" w:space="0" w:color="000001"/>
              <w:left w:val="single" w:sz="4" w:space="0" w:color="000001"/>
              <w:bottom w:val="single" w:sz="4" w:space="0" w:color="000001"/>
            </w:tcBorders>
            <w:shd w:color="auto" w:fill="auto" w:val="clear"/>
          </w:tcPr>
          <w:p>
            <w:pPr>
              <w:pStyle w:val="LOnormal"/>
              <w:widowControl w:val="false"/>
              <w:spacing w:lineRule="auto" w:line="276" w:before="0" w:after="120"/>
              <w:jc w:val="center"/>
              <w:rPr>
                <w:color w:val="000000"/>
              </w:rPr>
            </w:pPr>
            <w:r>
              <w:rPr>
                <w:i/>
                <w:color w:val="000000"/>
                <w:sz w:val="19"/>
                <w:szCs w:val="19"/>
              </w:rPr>
              <w:t>164</w:t>
            </w:r>
          </w:p>
        </w:tc>
        <w:tc>
          <w:tcPr>
            <w:tcW w:w="135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jc w:val="center"/>
              <w:rPr>
                <w:color w:val="000000"/>
              </w:rPr>
            </w:pPr>
            <w:r>
              <w:rPr>
                <w:color w:val="000000"/>
                <w:sz w:val="19"/>
                <w:szCs w:val="19"/>
              </w:rPr>
              <w:t>3.936</w:t>
            </w:r>
          </w:p>
        </w:tc>
      </w:tr>
      <w:tr>
        <w:trPr>
          <w:trHeight w:val="643" w:hRule="atLeast"/>
        </w:trPr>
        <w:tc>
          <w:tcPr>
            <w:tcW w:w="615"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3146" w:type="dxa"/>
            <w:vMerge w:val="continue"/>
            <w:tcBorders>
              <w:top w:val="single" w:sz="4" w:space="0" w:color="000001"/>
              <w:left w:val="single" w:sz="4" w:space="0" w:color="000001"/>
              <w:bottom w:val="single" w:sz="4" w:space="0" w:color="000001"/>
              <w:right w:val="single" w:sz="4" w:space="0" w:color="000001"/>
            </w:tcBorders>
            <w:shd w:color="auto" w:fill="auto" w:val="clear"/>
            <w:vAlign w:val="center"/>
          </w:tcPr>
          <w:p>
            <w:pPr>
              <w:pStyle w:val="LOnormal"/>
              <w:widowControl w:val="false"/>
              <w:spacing w:lineRule="auto" w:line="276"/>
              <w:rPr>
                <w:sz w:val="19"/>
                <w:szCs w:val="19"/>
              </w:rPr>
            </w:pPr>
            <w:r>
              <w:rPr>
                <w:sz w:val="19"/>
                <w:szCs w:val="19"/>
              </w:rPr>
            </w:r>
          </w:p>
        </w:tc>
        <w:tc>
          <w:tcPr>
            <w:tcW w:w="2955"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rPr>
                <w:color w:val="000000"/>
              </w:rPr>
            </w:pPr>
            <w:r>
              <w:rPr>
                <w:i/>
                <w:color w:val="000000"/>
                <w:sz w:val="19"/>
                <w:szCs w:val="19"/>
              </w:rPr>
              <w:t>Campus Santa Maria da Boa Vista</w:t>
            </w:r>
          </w:p>
        </w:tc>
        <w:tc>
          <w:tcPr>
            <w:tcW w:w="1425" w:type="dxa"/>
            <w:tcBorders>
              <w:top w:val="single" w:sz="4" w:space="0" w:color="000001"/>
              <w:left w:val="single" w:sz="4" w:space="0" w:color="000001"/>
              <w:bottom w:val="single" w:sz="4" w:space="0" w:color="000001"/>
            </w:tcBorders>
            <w:shd w:color="auto" w:fill="auto" w:val="clear"/>
          </w:tcPr>
          <w:p>
            <w:pPr>
              <w:pStyle w:val="LOnormal"/>
              <w:widowControl w:val="false"/>
              <w:spacing w:lineRule="auto" w:line="276" w:before="0" w:after="120"/>
              <w:jc w:val="center"/>
              <w:rPr>
                <w:color w:val="000000"/>
              </w:rPr>
            </w:pPr>
            <w:r>
              <w:rPr>
                <w:i/>
                <w:color w:val="000000"/>
                <w:sz w:val="19"/>
                <w:szCs w:val="19"/>
              </w:rPr>
              <w:t>143</w:t>
            </w:r>
          </w:p>
        </w:tc>
        <w:tc>
          <w:tcPr>
            <w:tcW w:w="1354" w:type="dxa"/>
            <w:tcBorders>
              <w:top w:val="single" w:sz="4" w:space="0" w:color="000001"/>
              <w:left w:val="single" w:sz="4" w:space="0" w:color="000001"/>
              <w:bottom w:val="single" w:sz="4" w:space="0" w:color="000001"/>
              <w:right w:val="single" w:sz="4" w:space="0" w:color="000001"/>
            </w:tcBorders>
            <w:shd w:color="auto" w:fill="auto" w:val="clear"/>
          </w:tcPr>
          <w:p>
            <w:pPr>
              <w:pStyle w:val="LOnormal"/>
              <w:widowControl w:val="false"/>
              <w:spacing w:lineRule="auto" w:line="276" w:before="0" w:after="120"/>
              <w:jc w:val="center"/>
              <w:rPr>
                <w:color w:val="000000"/>
              </w:rPr>
            </w:pPr>
            <w:r>
              <w:rPr>
                <w:color w:val="000000"/>
                <w:sz w:val="19"/>
                <w:szCs w:val="19"/>
              </w:rPr>
              <w:t>3.432</w:t>
            </w:r>
          </w:p>
        </w:tc>
      </w:tr>
      <w:tr>
        <w:trPr/>
        <w:tc>
          <w:tcPr>
            <w:tcW w:w="6716" w:type="dxa"/>
            <w:gridSpan w:val="3"/>
            <w:tcBorders>
              <w:top w:val="single" w:sz="4" w:space="0" w:color="000001"/>
              <w:left w:val="single" w:sz="4" w:space="0" w:color="000001"/>
              <w:bottom w:val="single" w:sz="4" w:space="0" w:color="000001"/>
              <w:right w:val="single" w:sz="4" w:space="0" w:color="000001"/>
            </w:tcBorders>
            <w:shd w:color="auto" w:fill="DDDDDD" w:val="clear"/>
          </w:tcPr>
          <w:p>
            <w:pPr>
              <w:pStyle w:val="LOnormal"/>
              <w:widowControl w:val="false"/>
              <w:spacing w:lineRule="auto" w:line="276" w:before="0" w:after="120"/>
              <w:jc w:val="center"/>
              <w:rPr>
                <w:color w:val="000000"/>
              </w:rPr>
            </w:pPr>
            <w:r>
              <w:rPr>
                <w:b/>
                <w:color w:val="000000"/>
                <w:sz w:val="18"/>
                <w:szCs w:val="18"/>
              </w:rPr>
              <w:t xml:space="preserve">Total </w:t>
            </w:r>
          </w:p>
        </w:tc>
        <w:tc>
          <w:tcPr>
            <w:tcW w:w="1425" w:type="dxa"/>
            <w:tcBorders>
              <w:top w:val="single" w:sz="4" w:space="0" w:color="000001"/>
              <w:left w:val="single" w:sz="4" w:space="0" w:color="000001"/>
              <w:bottom w:val="single" w:sz="4" w:space="0" w:color="000001"/>
            </w:tcBorders>
            <w:shd w:color="auto" w:fill="DDDDDD" w:val="clear"/>
          </w:tcPr>
          <w:p>
            <w:pPr>
              <w:pStyle w:val="LOnormal"/>
              <w:widowControl w:val="false"/>
              <w:spacing w:lineRule="auto" w:line="276" w:before="0" w:after="120"/>
              <w:jc w:val="center"/>
              <w:rPr>
                <w:color w:val="000000"/>
              </w:rPr>
            </w:pPr>
            <w:r>
              <w:rPr>
                <w:b/>
                <w:i/>
                <w:color w:val="000000"/>
              </w:rPr>
              <w:t>1.282</w:t>
            </w:r>
          </w:p>
        </w:tc>
        <w:tc>
          <w:tcPr>
            <w:tcW w:w="1354" w:type="dxa"/>
            <w:tcBorders>
              <w:top w:val="single" w:sz="4" w:space="0" w:color="000001"/>
              <w:left w:val="single" w:sz="4" w:space="0" w:color="000001"/>
              <w:bottom w:val="single" w:sz="4" w:space="0" w:color="000001"/>
              <w:right w:val="single" w:sz="4" w:space="0" w:color="000001"/>
            </w:tcBorders>
            <w:shd w:color="auto" w:fill="DDDDDD" w:val="clear"/>
          </w:tcPr>
          <w:p>
            <w:pPr>
              <w:pStyle w:val="LOnormal"/>
              <w:widowControl w:val="false"/>
              <w:spacing w:lineRule="auto" w:line="276" w:before="0" w:after="120"/>
              <w:jc w:val="center"/>
              <w:rPr>
                <w:color w:val="000000"/>
              </w:rPr>
            </w:pPr>
            <w:r>
              <w:rPr>
                <w:b/>
                <w:color w:val="000000"/>
              </w:rPr>
              <w:t>30.768</w:t>
            </w:r>
          </w:p>
        </w:tc>
      </w:tr>
    </w:tbl>
    <w:p>
      <w:pPr>
        <w:pStyle w:val="LOnormal"/>
        <w:spacing w:lineRule="auto" w:line="259" w:before="0" w:after="160"/>
        <w:ind w:left="964" w:hanging="567"/>
        <w:jc w:val="both"/>
        <w:rPr>
          <w:color w:val="000000"/>
        </w:rPr>
      </w:pPr>
      <w:r>
        <w:rPr>
          <w:color w:val="000000"/>
        </w:rPr>
      </w:r>
    </w:p>
    <w:p>
      <w:pPr>
        <w:pStyle w:val="LOnormal"/>
        <w:numPr>
          <w:ilvl w:val="1"/>
          <w:numId w:val="3"/>
        </w:numPr>
        <w:spacing w:lineRule="auto" w:line="276" w:before="120" w:after="120"/>
        <w:jc w:val="both"/>
        <w:rPr>
          <w:color w:val="000000"/>
        </w:rPr>
      </w:pPr>
      <w:r>
        <w:rPr>
          <w:color w:val="000000"/>
        </w:rPr>
        <w:t xml:space="preserve">O objeto da licitação tem a natureza de serviço comum de Seguro Coletivo de Acidentes Pessoais para os alunos do IF SERTÃO-PE, e estagiários de outras instituições que desempenhem atividades nas dependências do IF SERTÃO – PE. </w:t>
      </w:r>
    </w:p>
    <w:p>
      <w:pPr>
        <w:pStyle w:val="LOnormal"/>
        <w:numPr>
          <w:ilvl w:val="1"/>
          <w:numId w:val="3"/>
        </w:numPr>
        <w:spacing w:lineRule="auto" w:line="276" w:before="120" w:after="120"/>
        <w:jc w:val="both"/>
        <w:rPr/>
      </w:pPr>
      <w:r>
        <w:rPr/>
        <w:t>Os quantitativos e respectivos códigos dos itens são discriminados na tabela acima.</w:t>
      </w:r>
    </w:p>
    <w:p>
      <w:pPr>
        <w:pStyle w:val="LOnormal"/>
        <w:numPr>
          <w:ilvl w:val="1"/>
          <w:numId w:val="3"/>
        </w:numPr>
        <w:spacing w:before="120" w:after="120"/>
        <w:jc w:val="both"/>
        <w:rPr/>
      </w:pPr>
      <w:r>
        <w:rPr/>
        <w:t xml:space="preserve">A presente contratação adotará como regime de execução a </w:t>
      </w:r>
      <w:r>
        <w:rPr>
          <w:i/>
        </w:rPr>
        <w:t>Empreitada por Preço Unitário.</w:t>
      </w:r>
    </w:p>
    <w:p>
      <w:pPr>
        <w:pStyle w:val="LOnormal"/>
        <w:spacing w:lineRule="auto" w:line="276" w:before="120" w:after="120"/>
        <w:ind w:left="326" w:hanging="0"/>
        <w:jc w:val="both"/>
        <w:rPr/>
      </w:pPr>
      <w:r>
        <w:rPr>
          <w:b/>
        </w:rPr>
        <w:t xml:space="preserve">1.5. </w:t>
      </w:r>
      <w:r>
        <w:rPr>
          <w:b/>
          <w:bCs/>
          <w:u w:val="single"/>
        </w:rPr>
        <w:t>O prazo de vigência do contrato é de 24 (vinte e quatro meses), podendo ser prorrogado por interesse das partes, por igual período até o limite de 48 (quarenta e oito) meses, com base no artigo 57, II, da Lei 8.666/93.</w:t>
      </w:r>
    </w:p>
    <w:p>
      <w:pPr>
        <w:pStyle w:val="LOnormal"/>
        <w:keepNext w:val="true"/>
        <w:keepLines/>
        <w:numPr>
          <w:ilvl w:val="0"/>
          <w:numId w:val="3"/>
        </w:numPr>
        <w:spacing w:lineRule="auto" w:line="276" w:before="480" w:after="0"/>
        <w:ind w:left="644" w:hanging="360"/>
        <w:jc w:val="both"/>
        <w:rPr>
          <w:b/>
          <w:b/>
          <w:color w:val="000000"/>
        </w:rPr>
      </w:pPr>
      <w:r>
        <w:rPr>
          <w:b/>
          <w:color w:val="000000"/>
        </w:rPr>
        <w:t>JUSTIFICATIVA E OBJETIVO DA CONTRATAÇÃO</w:t>
      </w:r>
    </w:p>
    <w:p>
      <w:pPr>
        <w:pStyle w:val="LOnormal"/>
        <w:numPr>
          <w:ilvl w:val="1"/>
          <w:numId w:val="3"/>
        </w:numPr>
        <w:spacing w:lineRule="auto" w:line="276" w:before="120" w:after="120"/>
        <w:ind w:left="432" w:hanging="432"/>
        <w:jc w:val="both"/>
        <w:rPr/>
      </w:pPr>
      <w:r>
        <w:rPr/>
        <w:t>A Justificativa e objetivo da contratação encontra-se pormenorizada em Tópico específico dos Estudos Técnicos Preliminares, apêndice deste Termo de Referência.</w:t>
      </w:r>
    </w:p>
    <w:p>
      <w:pPr>
        <w:pStyle w:val="LOnormal"/>
        <w:keepNext w:val="true"/>
        <w:keepLines/>
        <w:numPr>
          <w:ilvl w:val="0"/>
          <w:numId w:val="3"/>
        </w:numPr>
        <w:spacing w:lineRule="auto" w:line="276" w:before="480" w:after="0"/>
        <w:ind w:left="644" w:hanging="360"/>
        <w:jc w:val="both"/>
        <w:rPr>
          <w:b/>
          <w:b/>
          <w:color w:val="000000"/>
        </w:rPr>
      </w:pPr>
      <w:r>
        <w:rPr>
          <w:b/>
          <w:color w:val="000000"/>
        </w:rPr>
        <w:t>DESCRIÇÃO DA SOLUÇÃO:</w:t>
      </w:r>
    </w:p>
    <w:p>
      <w:pPr>
        <w:pStyle w:val="LOnormal"/>
        <w:numPr>
          <w:ilvl w:val="1"/>
          <w:numId w:val="3"/>
        </w:numPr>
        <w:spacing w:lineRule="auto" w:line="276" w:before="120" w:after="120"/>
        <w:ind w:left="425" w:hanging="0"/>
        <w:jc w:val="both"/>
        <w:rPr/>
      </w:pPr>
      <w:r>
        <w:rPr/>
        <w:t>A descrição da solução como um todo, encontra-se pormenorizada em Tópico específico dos Estudos Técnicos Preliminares, apêndice deste Termo de Referência.</w:t>
      </w:r>
    </w:p>
    <w:p>
      <w:pPr>
        <w:pStyle w:val="LOnormal"/>
        <w:spacing w:lineRule="auto" w:line="276" w:before="120" w:after="120"/>
        <w:ind w:left="716" w:hanging="0"/>
        <w:jc w:val="both"/>
        <w:rPr/>
      </w:pPr>
      <w:r>
        <w:rPr/>
      </w:r>
    </w:p>
    <w:p>
      <w:pPr>
        <w:pStyle w:val="LOnormal"/>
        <w:keepNext w:val="true"/>
        <w:keepLines/>
        <w:numPr>
          <w:ilvl w:val="0"/>
          <w:numId w:val="3"/>
        </w:numPr>
        <w:spacing w:lineRule="auto" w:line="276"/>
        <w:ind w:left="644" w:hanging="360"/>
        <w:jc w:val="both"/>
        <w:rPr>
          <w:b/>
          <w:b/>
          <w:color w:val="000000"/>
        </w:rPr>
      </w:pPr>
      <w:r>
        <w:rPr>
          <w:b/>
          <w:color w:val="000000"/>
        </w:rPr>
        <w:t>DA CLASSIFICAÇÃO DOS SERVIÇOS E FORMA DE SELEÇÃO DO FORNECEDOR</w:t>
      </w:r>
    </w:p>
    <w:p>
      <w:pPr>
        <w:pStyle w:val="LOnormal"/>
        <w:numPr>
          <w:ilvl w:val="1"/>
          <w:numId w:val="3"/>
        </w:numPr>
        <w:spacing w:lineRule="auto" w:line="276" w:before="120" w:after="120"/>
        <w:jc w:val="both"/>
        <w:rPr/>
      </w:pPr>
      <w:r>
        <w:rPr/>
        <w:t xml:space="preserve">Trata-se de serviço comum de caráter continuado sem fornecimento de mão de obra em regime de dedicação exclusiva, a ser contratado mediante licitação, na modalidade pregão, em sua forma eletrônica. </w:t>
      </w:r>
    </w:p>
    <w:p>
      <w:pPr>
        <w:pStyle w:val="LOnormal"/>
        <w:numPr>
          <w:ilvl w:val="1"/>
          <w:numId w:val="3"/>
        </w:numPr>
        <w:spacing w:lineRule="auto" w:line="276" w:before="120" w:after="120"/>
        <w:ind w:left="425" w:hanging="0"/>
        <w:jc w:val="both"/>
        <w:rPr>
          <w:color w:val="000000"/>
        </w:rPr>
      </w:pPr>
      <w:r>
        <w:rPr>
          <w:color w:val="000000"/>
        </w:rPr>
        <w:t>Os serviços a serem contratados enquadram-se nos pressupostos do Decreto n° 9.507, de 21 de setembro de 2018, não se constituindo em quaisquer das atividades, previstas no art. 3º do aludido decreto, cuja execução indireta é vedada.</w:t>
      </w:r>
    </w:p>
    <w:p>
      <w:pPr>
        <w:pStyle w:val="LOnormal"/>
        <w:numPr>
          <w:ilvl w:val="1"/>
          <w:numId w:val="3"/>
        </w:numPr>
        <w:spacing w:lineRule="auto" w:line="276" w:before="120" w:after="120"/>
        <w:ind w:left="425" w:hanging="0"/>
        <w:jc w:val="both"/>
        <w:rPr/>
      </w:pPr>
      <w:r>
        <w:rPr>
          <w:b/>
          <w:u w:val="single"/>
        </w:rPr>
        <w:t>O Sistema de Registro de Preços - SRP é uma opção economicamente viável à Administração, portanto, preferencial em relação às demais. A escolha pelo SRP se dá em razão do inciso III (Atendimento a todos os campi e Reitoria do IF SERTÃO-PE) do art. 3º do Decreto 7.892/2013.</w:t>
      </w:r>
    </w:p>
    <w:p>
      <w:pPr>
        <w:pStyle w:val="LOnormal"/>
        <w:numPr>
          <w:ilvl w:val="1"/>
          <w:numId w:val="3"/>
        </w:numPr>
        <w:spacing w:lineRule="auto" w:line="276" w:before="120" w:after="120"/>
        <w:ind w:left="425" w:hanging="0"/>
        <w:jc w:val="both"/>
        <w:rPr>
          <w:color w:val="000000"/>
        </w:rPr>
      </w:pPr>
      <w:r>
        <w:rPr>
          <w:color w:val="000000"/>
        </w:rPr>
        <w:t>A prestação dos serviços não gera vínculo empregatício entre os empregados da Contratada e a Administração Contratante, vedando-se qualquer relação entre estes que caracterize pessoalidade e subordinação direta.</w:t>
      </w:r>
    </w:p>
    <w:p>
      <w:pPr>
        <w:pStyle w:val="LOnormal"/>
        <w:keepNext w:val="true"/>
        <w:keepLines/>
        <w:numPr>
          <w:ilvl w:val="0"/>
          <w:numId w:val="3"/>
        </w:numPr>
        <w:spacing w:lineRule="auto" w:line="276" w:before="480" w:after="0"/>
        <w:ind w:left="141" w:hanging="285"/>
        <w:jc w:val="both"/>
        <w:rPr>
          <w:b/>
          <w:b/>
          <w:color w:val="000000"/>
        </w:rPr>
      </w:pPr>
      <w:r>
        <w:rPr>
          <w:b/>
          <w:color w:val="000000"/>
        </w:rPr>
        <w:t>REQUISITOS DA CONTRATAÇÃO</w:t>
      </w:r>
    </w:p>
    <w:p>
      <w:pPr>
        <w:pStyle w:val="LOnormal"/>
        <w:spacing w:before="0" w:after="120"/>
        <w:ind w:left="716" w:hanging="0"/>
        <w:jc w:val="both"/>
        <w:rPr/>
      </w:pPr>
      <w:r>
        <w:rPr/>
      </w:r>
    </w:p>
    <w:p>
      <w:pPr>
        <w:pStyle w:val="LOnormal"/>
        <w:numPr>
          <w:ilvl w:val="1"/>
          <w:numId w:val="3"/>
        </w:numPr>
        <w:spacing w:before="0" w:after="120"/>
        <w:jc w:val="both"/>
        <w:rPr/>
      </w:pPr>
      <w:r>
        <w:rPr/>
        <w:t>Conforme Estudos Preliminares, os requisitos da contratação abrangem o seguinte:</w:t>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 xml:space="preserve">5.1.1 Contratação de empresa especializada para oferta de seguro contra acidentes pessoais para os alunos estagiários do IF Sertão-PE (campi e Reitoria) e os alunos estagiários de outras instituições em que o IF Sertão-PE é concedente, durante ou em razão das atividades acadêmicas desempenhadas pelo estagiário, assegurando-lhes: </w:t>
      </w:r>
    </w:p>
    <w:p>
      <w:pPr>
        <w:pStyle w:val="LOnormal"/>
        <w:ind w:left="1440" w:hanging="0"/>
        <w:jc w:val="both"/>
        <w:rPr>
          <w:i w:val="false"/>
          <w:i w:val="false"/>
          <w:iCs w:val="false"/>
        </w:rPr>
      </w:pPr>
      <w:r>
        <w:rPr>
          <w:rFonts w:eastAsia="Times New Roman" w:cs="Times New Roman" w:ascii="Times New Roman" w:hAnsi="Times New Roman"/>
          <w:b/>
          <w:i w:val="false"/>
          <w:iCs w:val="false"/>
          <w:sz w:val="24"/>
          <w:szCs w:val="24"/>
          <w:u w:val="single"/>
        </w:rPr>
        <w:t xml:space="preserve">5.1.1.1 Morte Acidental (MAC): </w:t>
      </w:r>
      <w:r>
        <w:rPr>
          <w:rFonts w:eastAsia="Times New Roman" w:cs="Times New Roman" w:ascii="Times New Roman" w:hAnsi="Times New Roman"/>
          <w:b w:val="false"/>
          <w:bCs w:val="false"/>
          <w:i w:val="false"/>
          <w:iCs w:val="false"/>
          <w:sz w:val="24"/>
          <w:szCs w:val="24"/>
          <w:u w:val="single"/>
        </w:rPr>
        <w:t>Garantindo aos beneficiários (pessoas livremente indicadas pelo segurado) o pagamento do capital segurado individual contratado para essa cobertura em caso de morte, em caso de falecimento do segurado decorrente exclusivamente de acidente pessoal coberto pelo seguro.</w:t>
      </w:r>
      <w:r>
        <w:rPr>
          <w:rFonts w:eastAsia="Times New Roman" w:cs="Times New Roman" w:ascii="Times New Roman" w:hAnsi="Times New Roman"/>
          <w:b/>
          <w:i w:val="false"/>
          <w:iCs w:val="false"/>
          <w:sz w:val="24"/>
          <w:szCs w:val="24"/>
          <w:u w:val="single"/>
        </w:rPr>
        <w:t xml:space="preserve"> Capital segurado: R$ 15.000,00 (quinze mil reais); </w:t>
      </w:r>
    </w:p>
    <w:p>
      <w:pPr>
        <w:pStyle w:val="LOnormal"/>
        <w:ind w:left="1440" w:hanging="0"/>
        <w:jc w:val="both"/>
        <w:rPr>
          <w:rFonts w:ascii="Times New Roman" w:hAnsi="Times New Roman" w:eastAsia="Times New Roman" w:cs="Times New Roman"/>
          <w:b/>
          <w:b/>
          <w:i w:val="false"/>
          <w:i w:val="false"/>
          <w:iCs w:val="false"/>
          <w:sz w:val="24"/>
          <w:szCs w:val="24"/>
          <w:highlight w:val="yellow"/>
          <w:u w:val="single"/>
        </w:rPr>
      </w:pPr>
      <w:r>
        <w:rPr>
          <w:rFonts w:eastAsia="Times New Roman" w:cs="Times New Roman" w:ascii="Times New Roman" w:hAnsi="Times New Roman"/>
          <w:b/>
          <w:i w:val="false"/>
          <w:iCs w:val="false"/>
          <w:sz w:val="24"/>
          <w:szCs w:val="24"/>
          <w:highlight w:val="yellow"/>
          <w:u w:val="single"/>
        </w:rPr>
      </w:r>
    </w:p>
    <w:p>
      <w:pPr>
        <w:pStyle w:val="LOnormal"/>
        <w:ind w:left="1440" w:hanging="0"/>
        <w:jc w:val="both"/>
        <w:rPr>
          <w:i w:val="false"/>
          <w:i w:val="false"/>
          <w:iCs w:val="false"/>
        </w:rPr>
      </w:pPr>
      <w:r>
        <w:rPr>
          <w:rFonts w:eastAsia="Times New Roman" w:cs="Times New Roman" w:ascii="Times New Roman" w:hAnsi="Times New Roman"/>
          <w:b/>
          <w:i w:val="false"/>
          <w:iCs w:val="false"/>
          <w:sz w:val="24"/>
          <w:szCs w:val="24"/>
          <w:u w:val="single"/>
        </w:rPr>
        <w:t xml:space="preserve">5.1.1.2 Invalidez Permanente Total ou Parcial por Acidente (IPA): </w:t>
      </w:r>
      <w:r>
        <w:rPr>
          <w:rFonts w:eastAsia="Times New Roman" w:cs="Times New Roman" w:ascii="Times New Roman" w:hAnsi="Times New Roman"/>
          <w:b w:val="false"/>
          <w:bCs w:val="false"/>
          <w:i w:val="false"/>
          <w:iCs w:val="false"/>
          <w:sz w:val="24"/>
          <w:szCs w:val="24"/>
          <w:u w:val="single"/>
        </w:rPr>
        <w:t xml:space="preserve">Garantindo ao próprio segurado, em caso de uma Invalidez Permanente Total por Acidente, o pagamento de uma indenização limitada ao valor do capital Segurado Contratado, caso haja perda, redução ou impotência funcional definitiva, total ou parcial, de um membro ou órgão, em virtude de lesão física causada por acidente pessoal coberto, mediante comprovação de laudo médico e desde que tais lesões sejam insuscetíveis de reabilitação ou recuperação pelos meios terapêuticos disponíveis no momento de sua constatação, exceto decorrente de riscos excluídos. </w:t>
      </w:r>
      <w:r>
        <w:rPr>
          <w:rFonts w:eastAsia="Times New Roman" w:cs="Times New Roman" w:ascii="Times New Roman" w:hAnsi="Times New Roman"/>
          <w:b/>
          <w:bCs/>
          <w:i w:val="false"/>
          <w:iCs w:val="false"/>
          <w:sz w:val="24"/>
          <w:szCs w:val="24"/>
          <w:u w:val="single"/>
        </w:rPr>
        <w:t>Capital segurado: R$15.000,00 (quinze mil reais);</w:t>
      </w:r>
    </w:p>
    <w:p>
      <w:pPr>
        <w:pStyle w:val="LOnormal"/>
        <w:jc w:val="both"/>
        <w:rPr>
          <w:rFonts w:ascii="Times New Roman" w:hAnsi="Times New Roman" w:eastAsia="Times New Roman" w:cs="Times New Roman"/>
          <w:b/>
          <w:b/>
          <w:i w:val="false"/>
          <w:i w:val="false"/>
          <w:iCs w:val="false"/>
          <w:sz w:val="24"/>
          <w:szCs w:val="24"/>
          <w:u w:val="single"/>
        </w:rPr>
      </w:pPr>
      <w:r>
        <w:rPr>
          <w:rFonts w:eastAsia="Times New Roman" w:cs="Times New Roman" w:ascii="Times New Roman" w:hAnsi="Times New Roman"/>
          <w:b/>
          <w:i w:val="false"/>
          <w:iCs w:val="false"/>
          <w:sz w:val="24"/>
          <w:szCs w:val="24"/>
          <w:u w:val="single"/>
        </w:rPr>
      </w:r>
    </w:p>
    <w:p>
      <w:pPr>
        <w:pStyle w:val="LOnormal"/>
        <w:ind w:left="1440" w:hanging="0"/>
        <w:jc w:val="both"/>
        <w:rPr>
          <w:i w:val="false"/>
          <w:i w:val="false"/>
          <w:iCs w:val="false"/>
        </w:rPr>
      </w:pPr>
      <w:r>
        <w:rPr>
          <w:rFonts w:eastAsia="Times New Roman" w:cs="Times New Roman" w:ascii="Times New Roman" w:hAnsi="Times New Roman"/>
          <w:b/>
          <w:i w:val="false"/>
          <w:iCs w:val="false"/>
          <w:sz w:val="24"/>
          <w:szCs w:val="24"/>
          <w:u w:val="single"/>
        </w:rPr>
        <w:t xml:space="preserve">5.1.1.3 Despesas Médicas Hospitalares e Odontológicas (D.M.H.O): </w:t>
      </w:r>
      <w:r>
        <w:rPr>
          <w:rFonts w:eastAsia="Times New Roman" w:cs="Times New Roman" w:ascii="Times New Roman" w:hAnsi="Times New Roman"/>
          <w:b w:val="false"/>
          <w:bCs w:val="false"/>
          <w:i w:val="false"/>
          <w:iCs w:val="false"/>
          <w:sz w:val="24"/>
          <w:szCs w:val="24"/>
          <w:u w:val="single"/>
        </w:rPr>
        <w:t>Garantindo o reembolso das despesas médicas hospitalares e odontológicas incorridas no tratamento sob orientação médica, em consequência direta de acidente pessoal coberto, dentro do período de cobertura da apólice e desde que iniciado nos 30 (trinta) primeiros dias contados do acidente, até o limite do Capital Segurado Contratado. C</w:t>
      </w:r>
      <w:r>
        <w:rPr>
          <w:rFonts w:eastAsia="Times New Roman" w:cs="Times New Roman" w:ascii="Times New Roman" w:hAnsi="Times New Roman"/>
          <w:b/>
          <w:bCs/>
          <w:i w:val="false"/>
          <w:iCs w:val="false"/>
          <w:sz w:val="24"/>
          <w:szCs w:val="24"/>
          <w:u w:val="single"/>
        </w:rPr>
        <w:t>apital segurado: R$ 5.000,00 (cinco</w:t>
      </w:r>
      <w:r>
        <w:rPr>
          <w:rFonts w:eastAsia="Times New Roman" w:cs="Times New Roman" w:ascii="Times New Roman" w:hAnsi="Times New Roman"/>
          <w:b/>
          <w:bCs/>
          <w:i w:val="false"/>
          <w:iCs w:val="false"/>
          <w:sz w:val="24"/>
          <w:szCs w:val="24"/>
          <w:u w:val="single"/>
        </w:rPr>
        <w:t xml:space="preserve"> </w:t>
      </w:r>
      <w:r>
        <w:rPr>
          <w:rFonts w:eastAsia="Times New Roman" w:cs="Times New Roman" w:ascii="Times New Roman" w:hAnsi="Times New Roman"/>
          <w:b/>
          <w:bCs/>
          <w:i w:val="false"/>
          <w:iCs w:val="false"/>
          <w:sz w:val="24"/>
          <w:szCs w:val="24"/>
          <w:u w:val="single"/>
        </w:rPr>
        <w:t>mil reais);</w:t>
      </w:r>
      <w:r>
        <w:rPr>
          <w:rFonts w:eastAsia="Times New Roman" w:cs="Times New Roman" w:ascii="Times New Roman" w:hAnsi="Times New Roman"/>
          <w:b w:val="false"/>
          <w:bCs w:val="false"/>
          <w:i w:val="false"/>
          <w:iCs w:val="false"/>
          <w:sz w:val="24"/>
          <w:szCs w:val="24"/>
          <w:u w:val="single"/>
        </w:rPr>
        <w:t xml:space="preserve"> </w:t>
      </w:r>
    </w:p>
    <w:p>
      <w:pPr>
        <w:pStyle w:val="LOnormal"/>
        <w:jc w:val="both"/>
        <w:rPr>
          <w:rFonts w:ascii="Times New Roman" w:hAnsi="Times New Roman" w:eastAsia="Times New Roman" w:cs="Times New Roman"/>
          <w:b/>
          <w:b/>
          <w:i w:val="false"/>
          <w:i w:val="false"/>
          <w:iCs w:val="false"/>
          <w:sz w:val="24"/>
          <w:szCs w:val="24"/>
          <w:u w:val="single"/>
        </w:rPr>
      </w:pPr>
      <w:r>
        <w:rPr>
          <w:rFonts w:eastAsia="Times New Roman" w:cs="Times New Roman" w:ascii="Times New Roman" w:hAnsi="Times New Roman"/>
          <w:b/>
          <w:i w:val="false"/>
          <w:iCs w:val="false"/>
          <w:sz w:val="24"/>
          <w:szCs w:val="24"/>
          <w:u w:val="single"/>
        </w:rPr>
      </w:r>
    </w:p>
    <w:p>
      <w:pPr>
        <w:pStyle w:val="LOnormal"/>
        <w:ind w:left="1440" w:hanging="0"/>
        <w:jc w:val="both"/>
        <w:rPr/>
      </w:pPr>
      <w:r>
        <w:rPr>
          <w:rFonts w:eastAsia="Times New Roman" w:cs="Times New Roman" w:ascii="Times New Roman" w:hAnsi="Times New Roman"/>
          <w:b/>
          <w:sz w:val="24"/>
          <w:szCs w:val="24"/>
          <w:u w:val="single"/>
        </w:rPr>
        <w:t xml:space="preserve">5.1.1.4 </w:t>
      </w:r>
      <w:r>
        <w:rPr>
          <w:rFonts w:eastAsia="Times New Roman" w:cs="Times New Roman" w:ascii="Times New Roman" w:hAnsi="Times New Roman"/>
          <w:b/>
          <w:sz w:val="24"/>
          <w:szCs w:val="24"/>
          <w:u w:val="single"/>
        </w:rPr>
        <w:t>Auxílio-funeral</w:t>
      </w:r>
      <w:r>
        <w:rPr>
          <w:rFonts w:eastAsia="Times New Roman" w:cs="Times New Roman" w:ascii="Times New Roman" w:hAnsi="Times New Roman"/>
          <w:b/>
          <w:sz w:val="24"/>
          <w:szCs w:val="24"/>
          <w:u w:val="single"/>
        </w:rPr>
        <w:t xml:space="preserve">: </w:t>
      </w:r>
      <w:r>
        <w:rPr>
          <w:rFonts w:eastAsia="Times New Roman" w:cs="Times New Roman" w:ascii="Times New Roman" w:hAnsi="Times New Roman"/>
          <w:b w:val="false"/>
          <w:bCs w:val="false"/>
          <w:sz w:val="24"/>
          <w:szCs w:val="24"/>
          <w:u w:val="single"/>
        </w:rPr>
        <w:t xml:space="preserve">Em caso de falecimento do segurado a contratada providenciará o reembolso das despesas decorrentes da morte, sendo tal reembolso limitado em </w:t>
      </w:r>
      <w:r>
        <w:rPr>
          <w:rFonts w:eastAsia="Times New Roman" w:cs="Times New Roman" w:ascii="Times New Roman" w:hAnsi="Times New Roman"/>
          <w:b/>
          <w:bCs/>
          <w:sz w:val="24"/>
          <w:szCs w:val="24"/>
          <w:u w:val="single"/>
        </w:rPr>
        <w:t>R$ 3.000,00 (três mil reais)</w:t>
      </w:r>
      <w:r>
        <w:rPr>
          <w:rFonts w:eastAsia="Times New Roman" w:cs="Times New Roman" w:ascii="Times New Roman" w:hAnsi="Times New Roman"/>
          <w:b w:val="false"/>
          <w:bCs w:val="false"/>
          <w:sz w:val="24"/>
          <w:szCs w:val="24"/>
          <w:u w:val="single"/>
        </w:rPr>
        <w:t>. As despesas serão reembolsadas mediante a apresentação das respectivas notas fiscais.</w:t>
      </w:r>
    </w:p>
    <w:p>
      <w:pPr>
        <w:pStyle w:val="LOnormal"/>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5.1.2 A contratação seguirá as diretrizes e normas estabelecidas pelo Conselho Nacional de Seguros Privados – CNSP, bem como aos critérios operacionais regulamentados pela Superintendência de Seguros Privados – SUSEP</w:t>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Não será permitida a participação de empresa corretora de seguros, conforme o ACORDÃO Nº 600/2015 - TCU.</w:t>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5.1.3 A referida contratação tem caráter continuado, considerando que a ausência dessa contratação poderá impedir a destinação dos alunos às práticas de estágios obrigatórios o que acarreta a impossibilidade de conclusão de curso/disciplina e, consequentemente, a finalidade institucional.</w:t>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5.1.4 A contratação atenderá também a cobertura de seguro contra acidentes pessoais para alunos em estágio obrigatório e não-obrigatório, quando o IF Sertão-PE for concedente.</w:t>
      </w:r>
    </w:p>
    <w:p>
      <w:pPr>
        <w:pStyle w:val="LOnormal"/>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5.1.5 A Seguradora emitirá apólice de seguro e os certificados individuais nominais para cada aluno de acordo com o informado pela Contratante.</w:t>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5.1.6 Caberá à Contratante informar à Companhia de Seguros, mediante necessidade, a relação dos alunos a serem segurados e período de vigência do seguro, considerando o período de atividade a que o</w:t>
      </w:r>
      <w:r>
        <w:rPr>
          <w:rFonts w:eastAsia="Times New Roman" w:cs="Times New Roman" w:ascii="Times New Roman" w:hAnsi="Times New Roman"/>
          <w:b/>
          <w:sz w:val="24"/>
          <w:szCs w:val="24"/>
          <w:u w:val="single"/>
        </w:rPr>
        <w:t>s</w:t>
      </w:r>
      <w:r>
        <w:rPr>
          <w:rFonts w:eastAsia="Times New Roman" w:cs="Times New Roman" w:ascii="Times New Roman" w:hAnsi="Times New Roman"/>
          <w:b/>
          <w:sz w:val="24"/>
          <w:szCs w:val="24"/>
          <w:u w:val="single"/>
        </w:rPr>
        <w:t xml:space="preserve"> alunos estar</w:t>
      </w:r>
      <w:r>
        <w:rPr>
          <w:rFonts w:eastAsia="Times New Roman" w:cs="Times New Roman" w:ascii="Times New Roman" w:hAnsi="Times New Roman"/>
          <w:b/>
          <w:sz w:val="24"/>
          <w:szCs w:val="24"/>
          <w:u w:val="single"/>
        </w:rPr>
        <w:t>ão</w:t>
      </w:r>
      <w:r>
        <w:rPr>
          <w:rFonts w:eastAsia="Times New Roman" w:cs="Times New Roman" w:ascii="Times New Roman" w:hAnsi="Times New Roman"/>
          <w:b/>
          <w:sz w:val="24"/>
          <w:szCs w:val="24"/>
          <w:u w:val="single"/>
        </w:rPr>
        <w:t xml:space="preserve"> submetido e sujeito à contratação. A Contratante informará os seguintes dados:</w:t>
      </w:r>
    </w:p>
    <w:p>
      <w:pPr>
        <w:pStyle w:val="LOnormal"/>
        <w:numPr>
          <w:ilvl w:val="1"/>
          <w:numId w:val="1"/>
        </w:numPr>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u w:val="single"/>
        </w:rPr>
        <w:t>NOME COMPLETO;</w:t>
      </w:r>
    </w:p>
    <w:p>
      <w:pPr>
        <w:pStyle w:val="LOnormal"/>
        <w:numPr>
          <w:ilvl w:val="1"/>
          <w:numId w:val="1"/>
        </w:numPr>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u w:val="single"/>
        </w:rPr>
        <w:t>DATA DE NASCIMENTO;</w:t>
      </w:r>
    </w:p>
    <w:p>
      <w:pPr>
        <w:pStyle w:val="LOnormal"/>
        <w:numPr>
          <w:ilvl w:val="1"/>
          <w:numId w:val="1"/>
        </w:numPr>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u w:val="single"/>
        </w:rPr>
        <w:t>CPF;</w:t>
      </w:r>
    </w:p>
    <w:p>
      <w:pPr>
        <w:pStyle w:val="LOnormal"/>
        <w:numPr>
          <w:ilvl w:val="1"/>
          <w:numId w:val="1"/>
        </w:numPr>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u w:val="single"/>
        </w:rPr>
        <w:t>RG;</w:t>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5.1.7 O prazo de vigência do contrato é de 24 (vinte e quatro meses), podendo ser prorrogado por interesse das partes, por igual período até o limite de 60 (sessenta) meses, com base no artigo 57, II, da Lei 8.666/93.</w:t>
      </w:r>
    </w:p>
    <w:p>
      <w:pPr>
        <w:pStyle w:val="LOnormal"/>
        <w:ind w:left="720" w:hanging="0"/>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i/>
          <w:sz w:val="24"/>
          <w:szCs w:val="24"/>
          <w:u w:val="single"/>
        </w:rPr>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5.1.8 É de responsabilidade da CONTRATADA, adotar, na prestação dos serviços objeto desta contratação, no que couber, as práticas de sustentabilidade constantes nas disposições da Instrução Normativa SLTI/MPOG Nº 01, de 19 de janeiro de 2010, otimizando os processos, de modo a minimizar o desperdício e a produção de lixo.</w:t>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LOnormal"/>
        <w:ind w:left="720" w:hanging="0"/>
        <w:jc w:val="both"/>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5.1.9 Não vislumbramos a necessidade de ocorrer transição contratual com transferência de conhecimento, por não se tratar de serviços de natureza intelectual ou de tecnologia de informação.</w:t>
      </w:r>
    </w:p>
    <w:p>
      <w:pPr>
        <w:pStyle w:val="LOnormal"/>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i/>
          <w:sz w:val="24"/>
          <w:szCs w:val="24"/>
          <w:u w:val="single"/>
        </w:rPr>
      </w:r>
    </w:p>
    <w:p>
      <w:pPr>
        <w:pStyle w:val="LOnormal"/>
        <w:ind w:left="720" w:hanging="0"/>
        <w:jc w:val="both"/>
        <w:rPr>
          <w:rFonts w:ascii="Times New Roman" w:hAnsi="Times New Roman" w:eastAsia="Times New Roman" w:cs="Times New Roman"/>
          <w:b/>
          <w:b/>
          <w:i/>
          <w:i/>
          <w:sz w:val="24"/>
          <w:szCs w:val="24"/>
          <w:highlight w:val="white"/>
          <w:u w:val="single"/>
        </w:rPr>
      </w:pPr>
      <w:r>
        <w:rPr>
          <w:rFonts w:eastAsia="Times New Roman" w:cs="Times New Roman" w:ascii="Times New Roman" w:hAnsi="Times New Roman"/>
          <w:b/>
          <w:sz w:val="24"/>
          <w:szCs w:val="24"/>
          <w:u w:val="single"/>
        </w:rPr>
        <w:t>5.1.10</w:t>
      </w:r>
      <w:r>
        <w:rPr>
          <w:rFonts w:eastAsia="Times New Roman" w:cs="Times New Roman" w:ascii="Times New Roman" w:hAnsi="Times New Roman"/>
          <w:b/>
          <w:sz w:val="24"/>
          <w:szCs w:val="24"/>
          <w:highlight w:val="white"/>
          <w:u w:val="single"/>
        </w:rPr>
        <w:t xml:space="preserve"> A empresa a ser contratada deverá ter qualificação técnica para prestação do serviço de seguro contra acidentes pessoais conforme características, quantidades e prazos compatíveis com a solução a ser contratada, por meio da apresentação de atestados fornecidos por pessoas jurídicas de direito público ou privado</w:t>
      </w:r>
      <w:r>
        <w:rPr>
          <w:rFonts w:eastAsia="Times New Roman" w:cs="Times New Roman" w:ascii="Times New Roman" w:hAnsi="Times New Roman"/>
          <w:b/>
          <w:i/>
          <w:sz w:val="24"/>
          <w:szCs w:val="24"/>
          <w:highlight w:val="white"/>
          <w:u w:val="single"/>
        </w:rPr>
        <w:t>.</w:t>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highlight w:val="white"/>
          <w:u w:val="single"/>
        </w:rPr>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u w:val="single"/>
        </w:rPr>
        <w:t>5.1.11</w:t>
      </w:r>
      <w:r>
        <w:rPr>
          <w:rFonts w:eastAsia="Times New Roman" w:cs="Times New Roman" w:ascii="Times New Roman" w:hAnsi="Times New Roman"/>
          <w:b/>
          <w:sz w:val="24"/>
          <w:szCs w:val="24"/>
          <w:highlight w:val="white"/>
          <w:u w:val="single"/>
        </w:rPr>
        <w:t xml:space="preserve"> Deverão ser disponibilizadas todas as informações necessárias à comprovação da legitimidade dos atestados apresentados.</w:t>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highlight w:val="white"/>
          <w:u w:val="single"/>
        </w:rPr>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u w:val="single"/>
        </w:rPr>
        <w:t>5.1.12</w:t>
      </w:r>
      <w:r>
        <w:rPr>
          <w:rFonts w:eastAsia="Times New Roman" w:cs="Times New Roman" w:ascii="Times New Roman" w:hAnsi="Times New Roman"/>
          <w:b/>
          <w:sz w:val="24"/>
          <w:szCs w:val="24"/>
          <w:highlight w:val="white"/>
          <w:u w:val="single"/>
        </w:rPr>
        <w:t xml:space="preserve">  Os atestados referir-se-ão a contratos já concluídos ou já decorrido no mínimo um ano do início de sua execução, exceto se houver sido firmado para ser executado em prazo inferior, apenas aceito mediante a apresentação do contrato.</w:t>
      </w:r>
    </w:p>
    <w:p>
      <w:pPr>
        <w:pStyle w:val="LOnormal"/>
        <w:ind w:left="720" w:hanging="0"/>
        <w:jc w:val="both"/>
        <w:rPr>
          <w:rFonts w:ascii="Times New Roman" w:hAnsi="Times New Roman" w:eastAsia="Times New Roman" w:cs="Times New Roman"/>
          <w:b/>
          <w:b/>
          <w:sz w:val="24"/>
          <w:szCs w:val="24"/>
          <w:highlight w:val="yellow"/>
          <w:u w:val="single"/>
        </w:rPr>
      </w:pPr>
      <w:r>
        <w:rPr>
          <w:rFonts w:eastAsia="Times New Roman" w:cs="Times New Roman" w:ascii="Times New Roman" w:hAnsi="Times New Roman"/>
          <w:b/>
          <w:sz w:val="24"/>
          <w:szCs w:val="24"/>
          <w:highlight w:val="yellow"/>
          <w:u w:val="single"/>
        </w:rPr>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u w:val="single"/>
        </w:rPr>
        <w:t>5.1.13</w:t>
      </w:r>
      <w:r>
        <w:rPr>
          <w:rFonts w:eastAsia="Times New Roman" w:cs="Times New Roman" w:ascii="Times New Roman" w:hAnsi="Times New Roman"/>
          <w:b/>
          <w:sz w:val="24"/>
          <w:szCs w:val="24"/>
          <w:highlight w:val="white"/>
          <w:u w:val="single"/>
        </w:rPr>
        <w:t xml:space="preserve">  Deverá ser apresentada a regularidade perante a Superintendência de Seguros Privados - SUSEP (número de registro na SUSEP).</w:t>
      </w:r>
    </w:p>
    <w:p>
      <w:pPr>
        <w:pStyle w:val="LOnormal"/>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highlight w:val="white"/>
          <w:u w:val="single"/>
        </w:rPr>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u w:val="single"/>
        </w:rPr>
        <w:t>5.1.14</w:t>
      </w:r>
      <w:r>
        <w:rPr>
          <w:rFonts w:eastAsia="Times New Roman" w:cs="Times New Roman" w:ascii="Times New Roman" w:hAnsi="Times New Roman"/>
          <w:b/>
          <w:sz w:val="24"/>
          <w:szCs w:val="24"/>
          <w:highlight w:val="white"/>
          <w:u w:val="single"/>
        </w:rPr>
        <w:t xml:space="preserve">  Declaração do licitante de que tem pleno conhecimento das condições necessárias para a prestação do serviço.</w:t>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highlight w:val="white"/>
          <w:u w:val="single"/>
        </w:rPr>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u w:val="single"/>
        </w:rPr>
        <w:t>5.1.15</w:t>
      </w:r>
      <w:r>
        <w:rPr>
          <w:rFonts w:eastAsia="Times New Roman" w:cs="Times New Roman" w:ascii="Times New Roman" w:hAnsi="Times New Roman"/>
          <w:b/>
          <w:sz w:val="24"/>
          <w:szCs w:val="24"/>
          <w:highlight w:val="white"/>
          <w:u w:val="single"/>
        </w:rPr>
        <w:t xml:space="preserve"> Não haverá prazo de carência para o início da cobertura dos seguros.</w:t>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highlight w:val="white"/>
          <w:u w:val="single"/>
        </w:rPr>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u w:val="single"/>
        </w:rPr>
        <w:t>5.1.16</w:t>
      </w:r>
      <w:r>
        <w:rPr>
          <w:rFonts w:eastAsia="Times New Roman" w:cs="Times New Roman" w:ascii="Times New Roman" w:hAnsi="Times New Roman"/>
          <w:b/>
          <w:sz w:val="24"/>
          <w:szCs w:val="24"/>
          <w:highlight w:val="white"/>
          <w:u w:val="single"/>
        </w:rPr>
        <w:t xml:space="preserve">  Considera-se acidente pessoal o evento com data caracterizada, exclusivo e diretamente externo, súbito, involuntário, violento, causador de lesão física, que, por si só e independente de toda e qualquer causa, tenha como consequência direta a morte ou a invalidez permanente total ou parcial do segurado.</w:t>
      </w:r>
    </w:p>
    <w:p>
      <w:pPr>
        <w:pStyle w:val="LOnormal"/>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highlight w:val="white"/>
          <w:u w:val="single"/>
        </w:rPr>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u w:val="single"/>
        </w:rPr>
        <w:t>5.1.17</w:t>
      </w:r>
      <w:r>
        <w:rPr>
          <w:rFonts w:eastAsia="Times New Roman" w:cs="Times New Roman" w:ascii="Times New Roman" w:hAnsi="Times New Roman"/>
          <w:b/>
          <w:sz w:val="24"/>
          <w:szCs w:val="24"/>
          <w:highlight w:val="white"/>
          <w:u w:val="single"/>
        </w:rPr>
        <w:t>. A CONTRATADA deverá prestar as informações e os esclarecimentos que venham a ser solicitados pela CONTRATANTE em até 24h, através de seu preposto ou Serviço de Atendimento ao Cliente (SAC).</w:t>
      </w:r>
    </w:p>
    <w:p>
      <w:pPr>
        <w:pStyle w:val="LOnormal"/>
        <w:ind w:left="720" w:hanging="0"/>
        <w:jc w:val="both"/>
        <w:rPr>
          <w:rFonts w:ascii="Times New Roman" w:hAnsi="Times New Roman" w:eastAsia="Times New Roman" w:cs="Times New Roman"/>
          <w:b/>
          <w:b/>
          <w:sz w:val="24"/>
          <w:szCs w:val="24"/>
          <w:highlight w:val="yellow"/>
          <w:u w:val="single"/>
        </w:rPr>
      </w:pPr>
      <w:r>
        <w:rPr>
          <w:rFonts w:eastAsia="Times New Roman" w:cs="Times New Roman" w:ascii="Times New Roman" w:hAnsi="Times New Roman"/>
          <w:b/>
          <w:sz w:val="24"/>
          <w:szCs w:val="24"/>
          <w:highlight w:val="yellow"/>
          <w:u w:val="single"/>
        </w:rPr>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u w:val="single"/>
        </w:rPr>
        <w:t>5.1.18</w:t>
      </w:r>
      <w:r>
        <w:rPr>
          <w:rFonts w:eastAsia="Times New Roman" w:cs="Times New Roman" w:ascii="Times New Roman" w:hAnsi="Times New Roman"/>
          <w:b/>
          <w:sz w:val="24"/>
          <w:szCs w:val="24"/>
          <w:highlight w:val="white"/>
          <w:u w:val="single"/>
        </w:rPr>
        <w:t>. A CONTRATADA deverá atender com presteza às reclamações, principalmente as que se referem à qualidade dos serviços executados, providenciando sua imediata correção, sem ônus para a CONTRATANTE.</w:t>
      </w:r>
    </w:p>
    <w:p>
      <w:pPr>
        <w:pStyle w:val="LOnormal"/>
        <w:ind w:left="720" w:hanging="0"/>
        <w:jc w:val="both"/>
        <w:rPr>
          <w:rFonts w:ascii="Times New Roman" w:hAnsi="Times New Roman" w:eastAsia="Times New Roman" w:cs="Times New Roman"/>
          <w:b/>
          <w:b/>
          <w:sz w:val="24"/>
          <w:szCs w:val="24"/>
          <w:highlight w:val="white"/>
          <w:u w:val="single"/>
        </w:rPr>
      </w:pPr>
      <w:r>
        <w:rPr>
          <w:rFonts w:eastAsia="Times New Roman" w:cs="Times New Roman" w:ascii="Times New Roman" w:hAnsi="Times New Roman"/>
          <w:b/>
          <w:sz w:val="24"/>
          <w:szCs w:val="24"/>
          <w:highlight w:val="white"/>
          <w:u w:val="single"/>
        </w:rPr>
      </w:r>
    </w:p>
    <w:p>
      <w:pPr>
        <w:pStyle w:val="LOnormal"/>
        <w:ind w:left="720" w:hanging="0"/>
        <w:jc w:val="both"/>
        <w:rPr>
          <w:rFonts w:ascii="Times New Roman" w:hAnsi="Times New Roman" w:eastAsia="Times New Roman" w:cs="Times New Roman"/>
          <w:b/>
          <w:b/>
          <w:i/>
          <w:i/>
          <w:sz w:val="24"/>
          <w:szCs w:val="24"/>
          <w:u w:val="single"/>
        </w:rPr>
      </w:pPr>
      <w:r>
        <w:rPr>
          <w:rFonts w:eastAsia="Times New Roman" w:cs="Times New Roman" w:ascii="Times New Roman" w:hAnsi="Times New Roman"/>
          <w:b/>
          <w:sz w:val="24"/>
          <w:szCs w:val="24"/>
          <w:u w:val="single"/>
        </w:rPr>
        <w:t>5.1.19</w:t>
      </w:r>
      <w:r>
        <w:rPr>
          <w:rFonts w:eastAsia="Times New Roman" w:cs="Times New Roman" w:ascii="Times New Roman" w:hAnsi="Times New Roman"/>
          <w:b/>
          <w:sz w:val="24"/>
          <w:szCs w:val="24"/>
          <w:highlight w:val="white"/>
          <w:u w:val="single"/>
        </w:rPr>
        <w:t xml:space="preserve"> A CONTRATADA não poderá divulgar nem fornecer dados ou informações obtidas em razão do contrato e não se utilizar do nome da CONTRATANTE para fins comerciais ou em campanhas e material de publicidade, salvo com autorização prévia e formal da CONTRATANTE.</w:t>
      </w:r>
    </w:p>
    <w:p>
      <w:pPr>
        <w:pStyle w:val="LOnormal"/>
        <w:spacing w:before="0" w:after="120"/>
        <w:jc w:val="both"/>
        <w:rPr/>
      </w:pPr>
      <w:r>
        <w:rPr/>
      </w:r>
    </w:p>
    <w:p>
      <w:pPr>
        <w:pStyle w:val="LOnormal"/>
        <w:numPr>
          <w:ilvl w:val="1"/>
          <w:numId w:val="3"/>
        </w:numPr>
        <w:spacing w:before="0" w:after="120"/>
        <w:jc w:val="both"/>
        <w:rPr>
          <w:color w:val="000000"/>
        </w:rPr>
      </w:pPr>
      <w:r>
        <w:rPr>
          <w:color w:val="000000"/>
        </w:rPr>
        <w:t>Declaração do licitante de que tem pleno conhecimento das condições necessárias para a prestação do serviço.</w:t>
      </w:r>
    </w:p>
    <w:p>
      <w:pPr>
        <w:pStyle w:val="LOnormal"/>
        <w:numPr>
          <w:ilvl w:val="1"/>
          <w:numId w:val="3"/>
        </w:numPr>
        <w:spacing w:before="0" w:after="120"/>
        <w:jc w:val="both"/>
        <w:rPr>
          <w:b/>
          <w:b/>
        </w:rPr>
      </w:pPr>
      <w:r>
        <w:rPr/>
        <w:t>As obrigações da Contratada e do Contratante estão previstas neste TR.</w:t>
      </w:r>
    </w:p>
    <w:p>
      <w:pPr>
        <w:pStyle w:val="LOnormal"/>
        <w:keepNext w:val="true"/>
        <w:keepLines/>
        <w:numPr>
          <w:ilvl w:val="0"/>
          <w:numId w:val="3"/>
        </w:numPr>
        <w:spacing w:lineRule="auto" w:line="276" w:before="480" w:after="0"/>
        <w:ind w:left="644" w:hanging="360"/>
        <w:jc w:val="both"/>
        <w:rPr>
          <w:b/>
          <w:b/>
        </w:rPr>
      </w:pPr>
      <w:r>
        <w:rPr>
          <w:b/>
        </w:rPr>
        <w:t>VISTORIA PARA A LICITAÇÃO.</w:t>
      </w:r>
    </w:p>
    <w:p>
      <w:pPr>
        <w:pStyle w:val="LOnormal"/>
        <w:keepNext w:val="true"/>
        <w:keepLines/>
        <w:numPr>
          <w:ilvl w:val="1"/>
          <w:numId w:val="3"/>
        </w:numPr>
        <w:spacing w:lineRule="auto" w:line="276" w:before="480" w:after="0"/>
        <w:jc w:val="both"/>
        <w:rPr/>
      </w:pPr>
      <w:r>
        <w:rPr/>
        <w:t>Para o correto dimensionamento e elaboração de sua proposta, o licitante poderá realizar vistoria nas instalações do local de execução dos serviços, acompanhado por servidor designado para esse fim, de segunda a sexta-feira, das 08:00 horas às 17:00 horas.</w:t>
      </w:r>
    </w:p>
    <w:p>
      <w:pPr>
        <w:pStyle w:val="LOnormal"/>
        <w:numPr>
          <w:ilvl w:val="1"/>
          <w:numId w:val="3"/>
        </w:numPr>
        <w:spacing w:lineRule="auto" w:line="276" w:before="120" w:after="120"/>
        <w:ind w:left="716" w:right="-15" w:hanging="432"/>
        <w:jc w:val="both"/>
        <w:rPr/>
      </w:pPr>
      <w:r>
        <w:rPr/>
        <w:t>O prazo para vistoria iniciar-se-á no dia útil seguinte ao da publicação do Edital, estendendo-se até o dia útil anterior à data prevista para a abertura da sessão pública.</w:t>
      </w:r>
    </w:p>
    <w:p>
      <w:pPr>
        <w:pStyle w:val="LOnormal"/>
        <w:numPr>
          <w:ilvl w:val="2"/>
          <w:numId w:val="3"/>
        </w:numPr>
        <w:spacing w:lineRule="auto" w:line="276" w:before="120" w:after="0"/>
        <w:jc w:val="both"/>
        <w:rPr/>
      </w:pPr>
      <w:r>
        <w:rPr/>
        <w:t>Para a vistoria o licitante, ou o seu representante legal, deverá estar devidamente identificado, apresentando documento de identidade civil e documento expedido pela empresa comprovando sua habilitação para a realização da vistoria.</w:t>
      </w:r>
    </w:p>
    <w:p>
      <w:pPr>
        <w:pStyle w:val="LOnormal"/>
        <w:spacing w:lineRule="auto" w:line="276" w:before="120" w:after="0"/>
        <w:ind w:left="1922" w:hanging="0"/>
        <w:jc w:val="both"/>
        <w:rPr/>
      </w:pPr>
      <w:r>
        <w:rPr/>
      </w:r>
    </w:p>
    <w:p>
      <w:pPr>
        <w:pStyle w:val="LOnormal"/>
        <w:numPr>
          <w:ilvl w:val="1"/>
          <w:numId w:val="3"/>
        </w:numPr>
        <w:spacing w:lineRule="auto" w:line="276"/>
        <w:jc w:val="both"/>
        <w:rPr/>
      </w:pPr>
      <w:r>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Onormal"/>
        <w:spacing w:lineRule="auto" w:line="276"/>
        <w:ind w:left="432" w:hanging="0"/>
        <w:jc w:val="both"/>
        <w:rPr>
          <w:color w:val="FF0000"/>
        </w:rPr>
      </w:pPr>
      <w:r>
        <w:rPr>
          <w:color w:val="FF0000"/>
        </w:rPr>
      </w:r>
    </w:p>
    <w:p>
      <w:pPr>
        <w:pStyle w:val="LOnormal"/>
        <w:numPr>
          <w:ilvl w:val="1"/>
          <w:numId w:val="3"/>
        </w:numPr>
        <w:spacing w:lineRule="auto" w:line="276"/>
        <w:jc w:val="both"/>
        <w:rPr/>
      </w:pPr>
      <w:r>
        <w:rPr/>
        <w:t xml:space="preserve">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 </w:t>
      </w:r>
    </w:p>
    <w:p>
      <w:pPr>
        <w:pStyle w:val="LOnormal"/>
        <w:ind w:left="720" w:hanging="0"/>
        <w:rPr/>
      </w:pPr>
      <w:r>
        <w:rPr/>
      </w:r>
    </w:p>
    <w:p>
      <w:pPr>
        <w:pStyle w:val="LOnormal"/>
        <w:numPr>
          <w:ilvl w:val="1"/>
          <w:numId w:val="3"/>
        </w:numPr>
        <w:spacing w:lineRule="auto" w:line="276" w:before="0" w:after="120"/>
        <w:jc w:val="both"/>
        <w:rPr/>
      </w:pPr>
      <w:r>
        <w:rPr/>
        <w:t xml:space="preserve">No caso de vistoria a licitante deverá declarar, </w:t>
      </w:r>
      <w:r>
        <w:rPr>
          <w:b/>
          <w:u w:val="single"/>
        </w:rPr>
        <w:t xml:space="preserve">utilizando o Modelo do Anexo IV do Edital, </w:t>
      </w:r>
      <w:r>
        <w:rPr/>
        <w:t>que tomou conhecimento de todas as informações e das condições locais para o cumprimento das obrigações objeto da licitação.</w:t>
      </w:r>
    </w:p>
    <w:p>
      <w:pPr>
        <w:pStyle w:val="LOnormal"/>
        <w:numPr>
          <w:ilvl w:val="1"/>
          <w:numId w:val="3"/>
        </w:numPr>
        <w:spacing w:lineRule="auto" w:line="276"/>
        <w:jc w:val="both"/>
        <w:rPr/>
      </w:pPr>
      <w:r>
        <w:rPr>
          <w:b/>
          <w:u w:val="single"/>
        </w:rPr>
        <w:t xml:space="preserve"> </w:t>
      </w:r>
      <w:r>
        <w:rPr>
          <w:b/>
          <w:u w:val="single"/>
        </w:rPr>
        <w:t xml:space="preserve">No caso de NÃO VISTORIA a licitante deverá declarar, utilizando o Modelo do Anexo IV do Edital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 </w:t>
      </w:r>
    </w:p>
    <w:p>
      <w:pPr>
        <w:pStyle w:val="LOnormal"/>
        <w:keepNext w:val="true"/>
        <w:keepLines/>
        <w:numPr>
          <w:ilvl w:val="0"/>
          <w:numId w:val="3"/>
        </w:numPr>
        <w:spacing w:lineRule="auto" w:line="276" w:before="480" w:after="0"/>
        <w:ind w:left="644" w:hanging="360"/>
        <w:jc w:val="both"/>
        <w:rPr>
          <w:b/>
          <w:b/>
          <w:color w:val="000000"/>
        </w:rPr>
      </w:pPr>
      <w:r>
        <w:rPr>
          <w:b/>
          <w:color w:val="000000"/>
        </w:rPr>
        <w:t>MODELO DE EXECUÇÃO DO OBJETO</w:t>
      </w:r>
    </w:p>
    <w:p>
      <w:pPr>
        <w:pStyle w:val="LOnormal"/>
        <w:spacing w:before="0" w:after="120"/>
        <w:ind w:left="716" w:hanging="0"/>
        <w:jc w:val="both"/>
        <w:rPr/>
      </w:pPr>
      <w:r>
        <w:rPr/>
      </w:r>
    </w:p>
    <w:p>
      <w:pPr>
        <w:pStyle w:val="LOnormal"/>
        <w:numPr>
          <w:ilvl w:val="1"/>
          <w:numId w:val="3"/>
        </w:numPr>
        <w:spacing w:before="0" w:after="120"/>
        <w:jc w:val="both"/>
        <w:rPr/>
      </w:pPr>
      <w:r>
        <w:rPr/>
        <w:t>A execução do objeto seguirá a seguinte dinâmica:</w:t>
      </w:r>
    </w:p>
    <w:p>
      <w:pPr>
        <w:pStyle w:val="LOnormal"/>
        <w:ind w:left="1922" w:hanging="0"/>
        <w:jc w:val="both"/>
        <w:rPr>
          <w:color w:val="0000FF"/>
        </w:rPr>
      </w:pPr>
      <w:r>
        <w:rPr>
          <w:color w:val="0000FF"/>
        </w:rPr>
      </w:r>
    </w:p>
    <w:p>
      <w:pPr>
        <w:pStyle w:val="LOnormal"/>
        <w:numPr>
          <w:ilvl w:val="2"/>
          <w:numId w:val="3"/>
        </w:numPr>
        <w:jc w:val="both"/>
        <w:rPr>
          <w:b/>
          <w:b/>
        </w:rPr>
      </w:pPr>
      <w:r>
        <w:rPr>
          <w:b/>
          <w:u w:val="single"/>
        </w:rPr>
        <w:t>Todo e qualquer contato com a CONTRATADA, referente ao envio de solicitações ou documentações necessárias, será efetuado preferencialmente via e-mail institucional.</w:t>
      </w:r>
    </w:p>
    <w:p>
      <w:pPr>
        <w:pStyle w:val="LOnormal"/>
        <w:ind w:left="1922" w:hanging="0"/>
        <w:jc w:val="both"/>
        <w:rPr>
          <w:b/>
          <w:b/>
          <w:u w:val="single"/>
        </w:rPr>
      </w:pPr>
      <w:r>
        <w:rPr>
          <w:b/>
          <w:u w:val="single"/>
        </w:rPr>
      </w:r>
    </w:p>
    <w:p>
      <w:pPr>
        <w:pStyle w:val="LOnormal"/>
        <w:numPr>
          <w:ilvl w:val="2"/>
          <w:numId w:val="3"/>
        </w:numPr>
        <w:jc w:val="both"/>
        <w:rPr>
          <w:b/>
          <w:b/>
        </w:rPr>
      </w:pPr>
      <w:r>
        <w:rPr>
          <w:b/>
          <w:u w:val="single"/>
        </w:rPr>
        <w:t>A Seguradora emitirá apólice de seguro e os certificados individuais nominais para cada aluno de acordo com o informado pela Contratante.</w:t>
      </w:r>
    </w:p>
    <w:p>
      <w:pPr>
        <w:pStyle w:val="LOnormal"/>
        <w:ind w:left="1922" w:hanging="0"/>
        <w:jc w:val="both"/>
        <w:rPr>
          <w:b/>
          <w:b/>
          <w:u w:val="single"/>
        </w:rPr>
      </w:pPr>
      <w:r>
        <w:rPr>
          <w:b/>
          <w:u w:val="single"/>
        </w:rPr>
      </w:r>
    </w:p>
    <w:p>
      <w:pPr>
        <w:pStyle w:val="LOnormal"/>
        <w:numPr>
          <w:ilvl w:val="2"/>
          <w:numId w:val="3"/>
        </w:numPr>
        <w:jc w:val="both"/>
        <w:rPr>
          <w:b/>
          <w:b/>
        </w:rPr>
      </w:pPr>
      <w:r>
        <w:rPr>
          <w:b/>
          <w:u w:val="single"/>
        </w:rPr>
        <w:t>A apólice deverá ser entregue no prazo máximo de 15 dias após o recebimento da Nota de Empenho e assinatura do contrato no endereço da CONTRATANTE.</w:t>
      </w:r>
    </w:p>
    <w:p>
      <w:pPr>
        <w:pStyle w:val="LOnormal"/>
        <w:jc w:val="both"/>
        <w:rPr>
          <w:b/>
          <w:b/>
          <w:u w:val="single"/>
        </w:rPr>
      </w:pPr>
      <w:r>
        <w:rPr>
          <w:b/>
          <w:u w:val="single"/>
        </w:rPr>
      </w:r>
    </w:p>
    <w:p>
      <w:pPr>
        <w:pStyle w:val="LOnormal"/>
        <w:ind w:left="2642" w:hanging="0"/>
        <w:jc w:val="both"/>
        <w:rPr>
          <w:b/>
          <w:b/>
          <w:u w:val="single"/>
        </w:rPr>
      </w:pPr>
      <w:r>
        <w:rPr>
          <w:b/>
          <w:u w:val="single"/>
        </w:rPr>
        <w:t>7.1.3.1 A Apólice deverá estar revestida de todas as formalidades legais para que surta os efeitos esperados pelas partes.</w:t>
      </w:r>
    </w:p>
    <w:p>
      <w:pPr>
        <w:pStyle w:val="LOnormal"/>
        <w:jc w:val="both"/>
        <w:rPr>
          <w:b/>
          <w:b/>
          <w:u w:val="single"/>
        </w:rPr>
      </w:pPr>
      <w:r>
        <w:rPr>
          <w:b/>
          <w:u w:val="single"/>
        </w:rPr>
      </w:r>
    </w:p>
    <w:p>
      <w:pPr>
        <w:pStyle w:val="LOnormal"/>
        <w:numPr>
          <w:ilvl w:val="2"/>
          <w:numId w:val="3"/>
        </w:numPr>
        <w:spacing w:lineRule="auto" w:line="276" w:before="0" w:after="120"/>
        <w:jc w:val="both"/>
        <w:rPr>
          <w:b/>
          <w:b/>
        </w:rPr>
      </w:pPr>
      <w:r>
        <w:rPr>
          <w:b/>
          <w:u w:val="single"/>
        </w:rPr>
        <w:t xml:space="preserve"> </w:t>
      </w:r>
      <w:r>
        <w:rPr>
          <w:b/>
          <w:u w:val="single"/>
        </w:rPr>
        <w:t>A CONTRATADA deverá encaminhar por email documento oficial formalizando a emissão dos certificados de seguros, além de formulário a ser preenchido pela CONTRATANTE para inclusões, alterações e ou exclusões de coberturas de seguros.</w:t>
      </w:r>
    </w:p>
    <w:p>
      <w:pPr>
        <w:pStyle w:val="LOnormal"/>
        <w:numPr>
          <w:ilvl w:val="2"/>
          <w:numId w:val="3"/>
        </w:numPr>
        <w:spacing w:before="0" w:after="120"/>
        <w:jc w:val="both"/>
        <w:rPr>
          <w:b/>
          <w:b/>
        </w:rPr>
      </w:pPr>
      <w:r>
        <w:rPr>
          <w:b/>
          <w:u w:val="single"/>
        </w:rPr>
        <w:t>Inclusões, alterações e/ou exclusões de segurados ocorrerão a qualquer tempo, dentro do período de vigência do contrato, através de relação enviada via correio eletrônico, valendo a cobertura a partir de 2 (dois) dias</w:t>
      </w:r>
      <w:r>
        <w:rPr>
          <w:b/>
          <w:color w:val="0000FF"/>
          <w:u w:val="single"/>
        </w:rPr>
        <w:t xml:space="preserve"> </w:t>
      </w:r>
      <w:r>
        <w:rPr>
          <w:b/>
          <w:u w:val="single"/>
        </w:rPr>
        <w:t>úteis ou da confirmação do recebimento pela CONTRATADA do envio da relação pelo IF Sertão-PE, com cobertura total, 24 (vinte e quatro) horas por dia, em qualquer unidade federativa do Brasil.</w:t>
      </w:r>
    </w:p>
    <w:p>
      <w:pPr>
        <w:pStyle w:val="LOnormal"/>
        <w:numPr>
          <w:ilvl w:val="2"/>
          <w:numId w:val="3"/>
        </w:numPr>
        <w:spacing w:before="0" w:after="120"/>
        <w:jc w:val="both"/>
        <w:rPr>
          <w:b/>
          <w:b/>
        </w:rPr>
      </w:pPr>
      <w:r>
        <w:rPr>
          <w:b/>
          <w:u w:val="single"/>
        </w:rPr>
        <w:t>A vigência da Apólice devidamente assinada será de no mínimo 01 (um) mês, a contar da data de sua emissão.</w:t>
      </w:r>
    </w:p>
    <w:p>
      <w:pPr>
        <w:pStyle w:val="LOnormal"/>
        <w:spacing w:lineRule="auto" w:line="276" w:before="240" w:after="0"/>
        <w:ind w:left="2642" w:hanging="0"/>
        <w:jc w:val="both"/>
        <w:rPr>
          <w:b/>
          <w:b/>
          <w:highlight w:val="white"/>
          <w:u w:val="single"/>
        </w:rPr>
      </w:pPr>
      <w:r>
        <w:rPr>
          <w:b/>
          <w:highlight w:val="white"/>
          <w:u w:val="single"/>
        </w:rPr>
        <w:t>7.1.6.1 Para estudantes incluídos ao Seguro após o início da vigência da Apólice, a data do início da vigência será a data de inclusão no seguro.</w:t>
      </w:r>
    </w:p>
    <w:p>
      <w:pPr>
        <w:pStyle w:val="LOnormal"/>
        <w:numPr>
          <w:ilvl w:val="2"/>
          <w:numId w:val="3"/>
        </w:numPr>
        <w:spacing w:before="0" w:after="120"/>
        <w:jc w:val="both"/>
        <w:rPr>
          <w:b/>
          <w:b/>
          <w:highlight w:val="white"/>
        </w:rPr>
      </w:pPr>
      <w:r>
        <w:rPr>
          <w:b/>
          <w:highlight w:val="white"/>
          <w:u w:val="single"/>
        </w:rPr>
        <w:t>O limite de idade mínima para o aluno segurado é de 16 anos.</w:t>
      </w:r>
    </w:p>
    <w:p>
      <w:pPr>
        <w:pStyle w:val="LOnormal"/>
        <w:widowControl w:val="false"/>
        <w:numPr>
          <w:ilvl w:val="2"/>
          <w:numId w:val="3"/>
        </w:numPr>
        <w:spacing w:lineRule="auto" w:line="276" w:before="0" w:after="120"/>
        <w:jc w:val="both"/>
        <w:rPr>
          <w:b/>
          <w:b/>
        </w:rPr>
      </w:pPr>
      <w:r>
        <w:rPr>
          <w:b/>
          <w:highlight w:val="white"/>
          <w:u w:val="single"/>
        </w:rPr>
        <w:t>O aluno deverá estar segurado durante todo o período de estágio, inclusive, nas férias escolares.</w:t>
      </w:r>
    </w:p>
    <w:p>
      <w:pPr>
        <w:pStyle w:val="LOnormal"/>
        <w:widowControl w:val="false"/>
        <w:numPr>
          <w:ilvl w:val="2"/>
          <w:numId w:val="3"/>
        </w:numPr>
        <w:spacing w:lineRule="auto" w:line="276" w:before="0" w:after="120"/>
        <w:jc w:val="both"/>
        <w:rPr>
          <w:b/>
          <w:b/>
        </w:rPr>
      </w:pPr>
      <w:r>
        <w:rPr>
          <w:b/>
          <w:u w:val="single"/>
        </w:rPr>
        <w:t>As inclusões, alterações e ou exclusões de segurados através de relação nominal deverão conter os seguintes dados: nome completo, data de nascimento, CPF e RG.</w:t>
      </w:r>
    </w:p>
    <w:p>
      <w:pPr>
        <w:pStyle w:val="LOnormal"/>
        <w:numPr>
          <w:ilvl w:val="2"/>
          <w:numId w:val="3"/>
        </w:numPr>
        <w:spacing w:before="0" w:after="120"/>
        <w:jc w:val="both"/>
        <w:rPr>
          <w:b/>
          <w:b/>
        </w:rPr>
      </w:pPr>
      <w:r>
        <w:rPr>
          <w:b/>
          <w:u w:val="single"/>
        </w:rPr>
        <w:t>A inserção dos alunos no seguro de vida deverá ser diária com emissão de boleto mensal.</w:t>
      </w:r>
    </w:p>
    <w:p>
      <w:pPr>
        <w:pStyle w:val="LOnormal"/>
        <w:numPr>
          <w:ilvl w:val="2"/>
          <w:numId w:val="3"/>
        </w:numPr>
        <w:spacing w:before="0" w:after="120"/>
        <w:jc w:val="both"/>
        <w:rPr>
          <w:b/>
          <w:b/>
        </w:rPr>
      </w:pPr>
      <w:r>
        <w:rPr>
          <w:b/>
          <w:u w:val="single"/>
        </w:rPr>
        <w:t>O pagamento será em parcela MENSAL de acordo com a quantidade de alunos cobertos naquele mês.</w:t>
      </w:r>
    </w:p>
    <w:p>
      <w:pPr>
        <w:pStyle w:val="LOnormal"/>
        <w:numPr>
          <w:ilvl w:val="2"/>
          <w:numId w:val="3"/>
        </w:numPr>
        <w:spacing w:lineRule="auto" w:line="276" w:before="240" w:after="0"/>
        <w:jc w:val="both"/>
        <w:rPr>
          <w:b/>
          <w:b/>
          <w:sz w:val="18"/>
          <w:szCs w:val="18"/>
        </w:rPr>
      </w:pPr>
      <w:r>
        <w:rPr>
          <w:b/>
          <w:u w:val="single"/>
        </w:rPr>
        <w:t>A Contratada deverá apresentar, a cada mês, documento de cobrança, acompanhado de relatório contendo o nome de todos os segurados.</w:t>
      </w:r>
    </w:p>
    <w:p>
      <w:pPr>
        <w:pStyle w:val="LOnormal"/>
        <w:numPr>
          <w:ilvl w:val="2"/>
          <w:numId w:val="3"/>
        </w:numPr>
        <w:spacing w:before="0" w:after="120"/>
        <w:jc w:val="both"/>
        <w:rPr>
          <w:b/>
          <w:b/>
        </w:rPr>
      </w:pPr>
      <w:r>
        <w:rPr>
          <w:b/>
          <w:u w:val="single"/>
        </w:rPr>
        <w:t>A indenização deverá ser paga a todos os segurados e beneficiários na forma da Legislação vigente.</w:t>
      </w:r>
    </w:p>
    <w:p>
      <w:pPr>
        <w:pStyle w:val="LOnormal"/>
        <w:numPr>
          <w:ilvl w:val="2"/>
          <w:numId w:val="3"/>
        </w:numPr>
        <w:spacing w:before="0" w:after="120"/>
        <w:jc w:val="both"/>
        <w:rPr>
          <w:b/>
          <w:b/>
        </w:rPr>
      </w:pPr>
      <w:r>
        <w:rPr>
          <w:b/>
          <w:u w:val="single"/>
        </w:rPr>
        <w:t>As apólices coletivas e os certificados deverão ser impressos individualmente de acordo com a relação de alunos apresentados pelas Unidades do IF Sertão-PE informando suas garantias e seu respectivo capital segurado.</w:t>
      </w:r>
    </w:p>
    <w:p>
      <w:pPr>
        <w:pStyle w:val="LOnormal"/>
        <w:numPr>
          <w:ilvl w:val="2"/>
          <w:numId w:val="3"/>
        </w:numPr>
        <w:spacing w:before="0" w:after="120"/>
        <w:jc w:val="both"/>
        <w:rPr>
          <w:b/>
          <w:b/>
        </w:rPr>
      </w:pPr>
      <w:r>
        <w:rPr>
          <w:b/>
          <w:u w:val="single"/>
        </w:rPr>
        <w:t>O segurado ou seu beneficiário fará a comunicação, em caso de sinistro à seguradora, mediante formulário ou outro documento específico.</w:t>
      </w:r>
    </w:p>
    <w:p>
      <w:pPr>
        <w:pStyle w:val="LOnormal"/>
        <w:numPr>
          <w:ilvl w:val="2"/>
          <w:numId w:val="3"/>
        </w:numPr>
        <w:spacing w:before="0" w:after="120"/>
        <w:jc w:val="both"/>
        <w:rPr>
          <w:b/>
          <w:b/>
        </w:rPr>
      </w:pPr>
      <w:r>
        <w:rPr>
          <w:b/>
          <w:u w:val="single"/>
        </w:rPr>
        <w:t>As indenizações de sinistro deverão ser pagas no prazo de 30 (trinta) dias corridos, contados a partir da data da entrega da documentação à Seguradora.</w:t>
      </w:r>
    </w:p>
    <w:p>
      <w:pPr>
        <w:pStyle w:val="LOnormal"/>
        <w:numPr>
          <w:ilvl w:val="2"/>
          <w:numId w:val="3"/>
        </w:numPr>
        <w:spacing w:before="0" w:after="120"/>
        <w:jc w:val="both"/>
        <w:rPr>
          <w:b/>
          <w:b/>
        </w:rPr>
      </w:pPr>
      <w:r>
        <w:rPr>
          <w:b/>
          <w:u w:val="single"/>
        </w:rPr>
        <w:t>No caso de solicitação de documentação complementar, devidamente justificada, o prazo passará a prevalecer a partir da data de entrega da documentação solicitada.</w:t>
      </w:r>
    </w:p>
    <w:p>
      <w:pPr>
        <w:pStyle w:val="LOnormal"/>
        <w:numPr>
          <w:ilvl w:val="2"/>
          <w:numId w:val="3"/>
        </w:numPr>
        <w:spacing w:before="0" w:after="120"/>
        <w:jc w:val="both"/>
        <w:rPr>
          <w:b/>
          <w:b/>
        </w:rPr>
      </w:pPr>
      <w:r>
        <w:rPr>
          <w:b/>
          <w:u w:val="single"/>
        </w:rPr>
        <w:t>O formulário oficial da Seguradora “Aviso de Sinistro” poderá ser substituído por documento do médico assistente do segurado, desde que o mesmo contenha as informações necessárias à conclusão do processo.</w:t>
      </w:r>
    </w:p>
    <w:p>
      <w:pPr>
        <w:pStyle w:val="LOnormal"/>
        <w:numPr>
          <w:ilvl w:val="2"/>
          <w:numId w:val="3"/>
        </w:numPr>
        <w:jc w:val="both"/>
        <w:rPr>
          <w:b/>
          <w:b/>
        </w:rPr>
      </w:pPr>
      <w:r>
        <w:rPr>
          <w:b/>
          <w:highlight w:val="white"/>
          <w:u w:val="single"/>
        </w:rPr>
        <w:t>Não haverá prazo de carência para o início da cobertura.</w:t>
      </w:r>
    </w:p>
    <w:p>
      <w:pPr>
        <w:pStyle w:val="LOnormal"/>
        <w:ind w:left="1922" w:hanging="0"/>
        <w:jc w:val="both"/>
        <w:rPr>
          <w:b/>
          <w:b/>
          <w:highlight w:val="white"/>
          <w:u w:val="single"/>
        </w:rPr>
      </w:pPr>
      <w:r>
        <w:rPr>
          <w:b/>
          <w:highlight w:val="white"/>
          <w:u w:val="single"/>
        </w:rPr>
      </w:r>
    </w:p>
    <w:p>
      <w:pPr>
        <w:pStyle w:val="LOnormal"/>
        <w:numPr>
          <w:ilvl w:val="2"/>
          <w:numId w:val="3"/>
        </w:numPr>
        <w:jc w:val="both"/>
        <w:rPr>
          <w:b/>
          <w:b/>
          <w:highlight w:val="white"/>
        </w:rPr>
      </w:pPr>
      <w:r>
        <w:rPr>
          <w:b/>
          <w:highlight w:val="white"/>
          <w:u w:val="single"/>
        </w:rPr>
        <w:t>Os serviços poderão ser rejeitados, no todo ou em parte, quando em desacordo com as especificações constantes neste Termo de Referência e na proposta, devendo ser corrigidos/refeitos/substituídos no prazo fixado pelo fiscal do contrato, a custa da Contratada, sem prejuízo da aplicação de penalidades.</w:t>
      </w:r>
    </w:p>
    <w:p>
      <w:pPr>
        <w:pStyle w:val="LOnormal"/>
        <w:numPr>
          <w:ilvl w:val="2"/>
          <w:numId w:val="3"/>
        </w:numPr>
        <w:jc w:val="both"/>
        <w:rPr>
          <w:b/>
          <w:b/>
          <w:highlight w:val="white"/>
        </w:rPr>
      </w:pPr>
      <w:r>
        <w:rPr>
          <w:b/>
          <w:highlight w:val="white"/>
          <w:u w:val="single"/>
        </w:rPr>
        <w:t>Os serviços serão recebidos definitivamente no prazo de 07(sete) dias, contados do recebimento provisório, após a verificação da qualidade e quantidade do serviço executado, com a consequente aceitação mediante termo circunstanciado.</w:t>
      </w:r>
    </w:p>
    <w:p>
      <w:pPr>
        <w:pStyle w:val="LOnormal"/>
        <w:numPr>
          <w:ilvl w:val="2"/>
          <w:numId w:val="3"/>
        </w:numPr>
        <w:jc w:val="both"/>
        <w:rPr>
          <w:b/>
          <w:b/>
          <w:highlight w:val="white"/>
        </w:rPr>
      </w:pPr>
      <w:r>
        <w:rPr>
          <w:b/>
          <w:highlight w:val="white"/>
          <w:u w:val="single"/>
        </w:rPr>
        <w:t>Na hipótese de a verificação a que se refere o subitem anterior não ser procedida dentro do prazo fixado, reputar-se-á como realizada, consumando-se o recebimento definitivo no dia do esgotamento do prazo.</w:t>
      </w:r>
    </w:p>
    <w:p>
      <w:pPr>
        <w:pStyle w:val="LOnormal"/>
        <w:numPr>
          <w:ilvl w:val="2"/>
          <w:numId w:val="3"/>
        </w:numPr>
        <w:jc w:val="both"/>
        <w:rPr>
          <w:b/>
          <w:b/>
          <w:highlight w:val="white"/>
        </w:rPr>
      </w:pPr>
      <w:r>
        <w:rPr>
          <w:b/>
          <w:highlight w:val="white"/>
          <w:u w:val="single"/>
        </w:rPr>
        <w:t>O recebimento provisório ou definitivo do objeto não exclui a responsabilidade da Contratada pelos prejuízos resultantes da incorreta execução do contrato.</w:t>
      </w:r>
    </w:p>
    <w:p>
      <w:pPr>
        <w:pStyle w:val="LOnormal"/>
        <w:numPr>
          <w:ilvl w:val="2"/>
          <w:numId w:val="3"/>
        </w:numPr>
        <w:jc w:val="both"/>
        <w:rPr>
          <w:b/>
          <w:b/>
          <w:highlight w:val="white"/>
        </w:rPr>
      </w:pPr>
      <w:r>
        <w:rPr>
          <w:b/>
          <w:highlight w:val="white"/>
          <w:u w:val="single"/>
        </w:rPr>
        <w:t xml:space="preserve">Para cada Unidade/Campus do IF Sertão-PE será designado um servidor responsável pela transmissão à Seguradora dos dados necessários para emissão dos Certificados referente aos estudantes vinculados naquela Unidade. O mesmo servidor será responsável pela atualização, sempre que for necessário, dos dados referentes à inclusão e exclusão de segurados. </w:t>
      </w:r>
    </w:p>
    <w:p>
      <w:pPr>
        <w:pStyle w:val="LOnormal"/>
        <w:numPr>
          <w:ilvl w:val="2"/>
          <w:numId w:val="3"/>
        </w:numPr>
        <w:jc w:val="both"/>
        <w:rPr>
          <w:b/>
          <w:b/>
          <w:highlight w:val="white"/>
        </w:rPr>
      </w:pPr>
      <w:r>
        <w:rPr>
          <w:b/>
          <w:highlight w:val="white"/>
          <w:u w:val="single"/>
        </w:rPr>
        <w:t>A CONTRATADA indicará um preposto que será o responsável pelo atendimento às solicitações do IF Sertão-PE  durante toda a vigência da ata, fornecendo telefone e e-mail para contato. Este preposto irá acompanhar o fornecimento do serviço, sendo que este(s) funcionário(s) estará(ão) dedicado(s) a atender às solicitações do IF Sertão-PE relativas a esta contratação.</w:t>
      </w:r>
    </w:p>
    <w:p>
      <w:pPr>
        <w:pStyle w:val="LOnormal"/>
        <w:numPr>
          <w:ilvl w:val="2"/>
          <w:numId w:val="3"/>
        </w:numPr>
        <w:jc w:val="both"/>
        <w:rPr>
          <w:b/>
          <w:b/>
          <w:highlight w:val="white"/>
        </w:rPr>
      </w:pPr>
      <w:r>
        <w:rPr>
          <w:b/>
          <w:highlight w:val="white"/>
          <w:u w:val="single"/>
        </w:rPr>
        <w:t>A CONTRATADA fornecerá lista de contatos com número fixo, móvel e e-mail de prepostos, bem como os números para chamadas ao Serviço de Atendimento ao Cliente (SAC) da seguradora, 24 (vinte e quatro) horas por dia, 7 (sete) dias por semana, durante toda a vigência da ata, através de chamada telefônica, a fim de que seja possível registrar solicitações e reclamações sobre o funcionamento do serviço contratado, obter suporte técnico e esclarecimentos</w:t>
      </w:r>
    </w:p>
    <w:p>
      <w:pPr>
        <w:pStyle w:val="LOnormal"/>
        <w:numPr>
          <w:ilvl w:val="2"/>
          <w:numId w:val="3"/>
        </w:numPr>
        <w:jc w:val="both"/>
        <w:rPr>
          <w:b/>
          <w:b/>
          <w:highlight w:val="white"/>
        </w:rPr>
      </w:pPr>
      <w:r>
        <w:rPr>
          <w:b/>
          <w:u w:val="single"/>
        </w:rPr>
        <w:t>A execução dos serviços será iniciada a partir da assinatura da ordem de serviço.</w:t>
      </w:r>
      <w:r>
        <w:rPr/>
        <w:t xml:space="preserve"> </w:t>
      </w:r>
    </w:p>
    <w:p>
      <w:pPr>
        <w:pStyle w:val="LOnormal"/>
        <w:ind w:left="716" w:hanging="0"/>
        <w:jc w:val="both"/>
        <w:rPr/>
      </w:pPr>
      <w:r>
        <w:rPr/>
      </w:r>
    </w:p>
    <w:p>
      <w:pPr>
        <w:pStyle w:val="LOnormal"/>
        <w:ind w:left="716" w:hanging="0"/>
        <w:jc w:val="both"/>
        <w:rPr>
          <w:color w:val="000000"/>
        </w:rPr>
      </w:pPr>
      <w:r>
        <w:rPr>
          <w:color w:val="000000"/>
        </w:rPr>
      </w:r>
    </w:p>
    <w:p>
      <w:pPr>
        <w:pStyle w:val="LOnormal"/>
        <w:keepNext w:val="true"/>
        <w:keepLines/>
        <w:numPr>
          <w:ilvl w:val="0"/>
          <w:numId w:val="3"/>
        </w:numPr>
        <w:spacing w:lineRule="auto" w:line="276" w:before="480" w:after="0"/>
        <w:ind w:left="141" w:hanging="360"/>
        <w:jc w:val="both"/>
        <w:rPr>
          <w:b/>
          <w:b/>
        </w:rPr>
      </w:pPr>
      <w:r>
        <w:rPr>
          <w:b/>
        </w:rPr>
        <w:t>MODELO DE GESTÃO DO CONTRATO E CRITÉRIOS DE MEDIÇÃO</w:t>
      </w:r>
    </w:p>
    <w:p>
      <w:pPr>
        <w:pStyle w:val="LOnormal"/>
        <w:keepNext w:val="true"/>
        <w:keepLines/>
        <w:spacing w:lineRule="auto" w:line="276" w:before="480" w:after="0"/>
        <w:ind w:left="644" w:hanging="0"/>
        <w:jc w:val="both"/>
        <w:rPr>
          <w:b/>
          <w:b/>
          <w:u w:val="single"/>
        </w:rPr>
      </w:pPr>
      <w:r>
        <w:rPr>
          <w:b/>
          <w:u w:val="single"/>
        </w:rPr>
        <w:t>8.1 As atividades de gestão e fiscalização da execução contratual são o conjunto de ações que tem como objetivo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 contrato, dentre outras, com vista a assegurar o cumprimento das cláusulas avençadas e a solução de problemas relativos ao objeto.</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 xml:space="preserve">8.2 Participarão da gestão contratual os seguintes atores, com suas respectivas responsabilidades: </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1440" w:hanging="0"/>
        <w:jc w:val="both"/>
        <w:rPr>
          <w:b/>
          <w:b/>
          <w:u w:val="single"/>
        </w:rPr>
      </w:pPr>
      <w:r>
        <w:rPr>
          <w:b/>
          <w:u w:val="single"/>
        </w:rPr>
        <w:t>8.2.1 Gestor do Contrato: responsável pela coordenação das atividades relacionadas à gestão do Contrato, bem como pela formalização dos procedimentos que envolvam prorrogação, alteração, reequilíbrio, pagamento, aplicação de sanções, dentre outros. É também o responsável pelo recebimento definitivo dos serviços.</w:t>
      </w:r>
    </w:p>
    <w:p>
      <w:pPr>
        <w:pStyle w:val="LOnormal"/>
        <w:keepNext w:val="true"/>
        <w:keepLines/>
        <w:spacing w:lineRule="auto" w:line="276"/>
        <w:ind w:left="1440" w:hanging="0"/>
        <w:jc w:val="both"/>
        <w:rPr>
          <w:b/>
          <w:b/>
          <w:u w:val="single"/>
        </w:rPr>
      </w:pPr>
      <w:r>
        <w:rPr>
          <w:b/>
          <w:u w:val="single"/>
        </w:rPr>
      </w:r>
    </w:p>
    <w:p>
      <w:pPr>
        <w:pStyle w:val="LOnormal"/>
        <w:keepNext w:val="true"/>
        <w:keepLines/>
        <w:spacing w:lineRule="auto" w:line="276"/>
        <w:ind w:left="1440" w:hanging="0"/>
        <w:jc w:val="both"/>
        <w:rPr>
          <w:b/>
          <w:b/>
          <w:u w:val="single"/>
        </w:rPr>
      </w:pPr>
      <w:r>
        <w:rPr>
          <w:b/>
          <w:u w:val="single"/>
        </w:rPr>
        <w:t>8.2.2 Fiscal Técnico: responsável pela avaliação da execução do objeto nos moldes contratados, aferindo se a quantidade, qualidade, tempo e modo de prestação dos serviços estão compatíveis com os indicadores de desempenho previstos neste Termo de Referência.</w:t>
      </w:r>
    </w:p>
    <w:p>
      <w:pPr>
        <w:pStyle w:val="LOnormal"/>
        <w:keepNext w:val="true"/>
        <w:keepLines/>
        <w:spacing w:lineRule="auto" w:line="276"/>
        <w:ind w:left="1440" w:hanging="0"/>
        <w:jc w:val="both"/>
        <w:rPr>
          <w:b/>
          <w:b/>
          <w:u w:val="single"/>
        </w:rPr>
      </w:pPr>
      <w:r>
        <w:rPr>
          <w:b/>
          <w:u w:val="single"/>
        </w:rPr>
      </w:r>
    </w:p>
    <w:p>
      <w:pPr>
        <w:pStyle w:val="LOnormal"/>
        <w:keepNext w:val="true"/>
        <w:keepLines/>
        <w:spacing w:lineRule="auto" w:line="276"/>
        <w:ind w:left="1440" w:hanging="0"/>
        <w:jc w:val="both"/>
        <w:rPr>
          <w:b/>
          <w:b/>
          <w:u w:val="single"/>
        </w:rPr>
      </w:pPr>
      <w:r>
        <w:rPr>
          <w:b/>
          <w:u w:val="single"/>
        </w:rPr>
        <w:t>8.2.3 Fiscalização Administrativa: é o acompanhamento dos aspectos administrativos da execução dos serviços, quanto às obrigações previdenciárias, fiscais e trabalhistas, bem como quanto às providências tempestivas nos casos de inadimplemento.</w:t>
      </w:r>
    </w:p>
    <w:p>
      <w:pPr>
        <w:pStyle w:val="LOnormal"/>
        <w:keepNext w:val="true"/>
        <w:keepLines/>
        <w:spacing w:lineRule="auto" w:line="276"/>
        <w:ind w:left="144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8.3 Durante a execução do objeto, o fiscal técnico deverá monitorar constantemente o nível de qualidade dos serviços para evitar a sua degeneração, devendo intervir para requerer à CONTRATADA a correção das faltas, falhas e irregularidades constatadas.</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8.4 O fiscal técnico deverá apresentar ao preposto da CONTRATADA a avaliação da execução do objeto ou, se for acaso, a avaliação de desempenho e qualidade da prestação dos serviços realizada.</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8.5 Em hipótese alguma, será admitido que a própria CONTRATADA materialize a avaliação de desempenho e a qualidade da prestação dos serviços realizados.</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8.6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8.7 Na hipótese de comportamento contínuo de desconformidade da prestação dos serviços em relação à qualidade exigida, bem como quando esta ultrapassar os níveis mínimos toleráveis previstos nos indicadores, além dos fatores redutores devem ser aplicadas as sanções à CONTRATADA, se de acordo com as regras previstas no ato convocatório.</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8.8 As ocorrências acerca da execução contratual serão registradas durante toda a vigência da prestação dos serviços, cabendo ao gestor e aos fiscais a adoção de providências necessárias ao fiel cumprimento das cláusulas contratuais.</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8.9 Quando da prestação dos serviços, o Fiscal Técnico realizará o relatório de Fiscalização, em consonância com suas atribuições, contendo registro, análise e conclusão, acerca das ocorrências verificadas na execução do Contrato. O relatório deverá ser encaminhado ao Gestor do Contrato após a execução dos serviços, juntamente com o Instrumento de Medição de Resultado (IMR), conforme modelo a ser definido durante a execução do Contrato.</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8.10 O Gestor do Contrato analisará o relatório da fiscalização e o IMR, solicitando as correções necessárias à CONTRATADA, se necessário, e comunicando-a sobre o nível de satisfação sobre os serviços prestados. Esse instrumento de avaliação servirá de base para justificar a realização de novos serviços, assim como poderá nortear a aplicação de penalidades previstas no item 18 deste Termo.</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8.11 A Contratante utilizará formulário próprio como meio de análise, conforme Instrumento de Medição de Resultado (IMR), em consonância com as diretrizes da IN SEGES/MP n. 05/2017, para definir e padronizar a avaliação da qualidade dos serviços prestados pela Contratada.</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8.12 O IMR vinculará o pagamento dos serviços aos resultados alcançados em complemento à mensuração dos serviços efetivamente prestados, não devendo as adequações de pagamento, originadas pelo descumprimento do IMR ser interpretadas como penalidades ou multas.</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8.13 O valor pago mensalmente será ajustado ao resultado da avaliação do serviço por meio do Instrumento de Medição de Resultado, anexo indissociável do contrato.</w:t>
      </w:r>
    </w:p>
    <w:p>
      <w:pPr>
        <w:pStyle w:val="LOnormal"/>
        <w:keepNext w:val="true"/>
        <w:keepLines/>
        <w:spacing w:lineRule="auto" w:line="276"/>
        <w:ind w:left="720" w:hanging="0"/>
        <w:jc w:val="both"/>
        <w:rPr>
          <w:b/>
          <w:b/>
          <w:u w:val="single"/>
        </w:rPr>
      </w:pPr>
      <w:r>
        <w:rPr>
          <w:b/>
          <w:u w:val="single"/>
        </w:rPr>
      </w:r>
    </w:p>
    <w:p>
      <w:pPr>
        <w:pStyle w:val="LOnormal"/>
        <w:keepNext w:val="true"/>
        <w:keepLines/>
        <w:spacing w:lineRule="auto" w:line="276"/>
        <w:ind w:left="1440" w:hanging="0"/>
        <w:jc w:val="both"/>
        <w:rPr>
          <w:b/>
          <w:b/>
          <w:u w:val="single"/>
        </w:rPr>
      </w:pPr>
      <w:r>
        <w:rPr>
          <w:b/>
          <w:u w:val="single"/>
        </w:rPr>
        <w:t>8.13.1 O procedimento de avaliação dos serviços será realizado periodicamente pelos fiscais do contrato, com base em pontuações atribuídas a cada item conforme especificações constantes no IMR, Anexo I-</w:t>
      </w:r>
      <w:r>
        <w:rPr>
          <w:b/>
          <w:u w:val="single"/>
        </w:rPr>
        <w:t>B</w:t>
      </w:r>
      <w:r>
        <w:rPr>
          <w:b/>
          <w:u w:val="single"/>
        </w:rPr>
        <w:t xml:space="preserve"> deste Termo de Referência, gerando relatórios mensais de prestação de serviços executados.</w:t>
      </w:r>
    </w:p>
    <w:p>
      <w:pPr>
        <w:pStyle w:val="LOnormal"/>
        <w:keepNext w:val="true"/>
        <w:keepLines/>
        <w:spacing w:lineRule="auto" w:line="276"/>
        <w:ind w:left="1440" w:hanging="0"/>
        <w:jc w:val="both"/>
        <w:rPr>
          <w:b/>
          <w:b/>
          <w:u w:val="single"/>
        </w:rPr>
      </w:pPr>
      <w:r>
        <w:rPr>
          <w:b/>
          <w:u w:val="single"/>
        </w:rPr>
      </w:r>
    </w:p>
    <w:p>
      <w:pPr>
        <w:pStyle w:val="LOnormal"/>
        <w:keepNext w:val="true"/>
        <w:keepLines/>
        <w:spacing w:lineRule="auto" w:line="276"/>
        <w:ind w:left="720" w:hanging="0"/>
        <w:jc w:val="both"/>
        <w:rPr>
          <w:b/>
          <w:b/>
          <w:u w:val="single"/>
        </w:rPr>
      </w:pPr>
      <w:r>
        <w:rPr>
          <w:b/>
          <w:u w:val="single"/>
        </w:rPr>
        <w:t>8.14 O encaminhamento de solicitações se dará através de ordens de serviço emitidas pelo fiscal técnico, e poderão ser controladas através de e-mail ou por meio de ferramenta de gerenciamento de projeto.</w:t>
      </w:r>
    </w:p>
    <w:p>
      <w:pPr>
        <w:pStyle w:val="LOnormal"/>
        <w:keepNext w:val="true"/>
        <w:keepLines/>
        <w:spacing w:lineRule="auto" w:line="276"/>
        <w:ind w:left="144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ind w:left="720" w:hanging="0"/>
        <w:jc w:val="both"/>
        <w:rPr/>
      </w:pPr>
      <w:r>
        <w:rPr/>
      </w:r>
    </w:p>
    <w:p>
      <w:pPr>
        <w:pStyle w:val="LOnormal"/>
        <w:keepNext w:val="true"/>
        <w:keepLines/>
        <w:spacing w:lineRule="auto" w:line="276" w:before="480" w:after="0"/>
        <w:ind w:left="720" w:hanging="0"/>
        <w:jc w:val="both"/>
        <w:rPr/>
      </w:pPr>
      <w:r>
        <w:rPr/>
      </w:r>
    </w:p>
    <w:p>
      <w:pPr>
        <w:pStyle w:val="LOnormal"/>
        <w:keepNext w:val="true"/>
        <w:keepLines/>
        <w:spacing w:lineRule="auto" w:line="276" w:before="480" w:after="0"/>
        <w:jc w:val="both"/>
        <w:rPr>
          <w:b/>
          <w:b/>
        </w:rPr>
      </w:pPr>
      <w:r>
        <w:rPr>
          <w:b/>
        </w:rPr>
      </w:r>
    </w:p>
    <w:p>
      <w:pPr>
        <w:pStyle w:val="LOnormal"/>
        <w:keepNext w:val="true"/>
        <w:keepLines/>
        <w:spacing w:lineRule="auto" w:line="276" w:before="480" w:after="0"/>
        <w:jc w:val="both"/>
        <w:rPr>
          <w:b/>
          <w:b/>
        </w:rPr>
      </w:pPr>
      <w:r>
        <w:rPr>
          <w:b/>
        </w:rPr>
      </w:r>
    </w:p>
    <w:p>
      <w:pPr>
        <w:pStyle w:val="LOnormal"/>
        <w:keepNext w:val="true"/>
        <w:keepLines/>
        <w:spacing w:lineRule="auto" w:line="276" w:before="480" w:after="0"/>
        <w:jc w:val="both"/>
        <w:rPr>
          <w:b/>
          <w:b/>
        </w:rPr>
      </w:pPr>
      <w:r>
        <w:rPr>
          <w:b/>
        </w:rPr>
      </w:r>
    </w:p>
    <w:p>
      <w:pPr>
        <w:pStyle w:val="LOnormal"/>
        <w:keepNext w:val="true"/>
        <w:keepLines/>
        <w:spacing w:lineRule="auto" w:line="276" w:before="480" w:after="0"/>
        <w:jc w:val="both"/>
        <w:rPr>
          <w:b/>
          <w:b/>
        </w:rPr>
      </w:pPr>
      <w:r>
        <w:rPr>
          <w:b/>
        </w:rPr>
      </w:r>
    </w:p>
    <w:p>
      <w:pPr>
        <w:pStyle w:val="LOnormal"/>
        <w:keepNext w:val="true"/>
        <w:keepLines/>
        <w:spacing w:lineRule="auto" w:line="276" w:before="480" w:after="0"/>
        <w:jc w:val="both"/>
        <w:rPr>
          <w:b/>
          <w:b/>
        </w:rPr>
      </w:pPr>
      <w:r>
        <w:rPr>
          <w:b/>
        </w:rPr>
      </w:r>
    </w:p>
    <w:p>
      <w:pPr>
        <w:pStyle w:val="LOnormal"/>
        <w:keepNext w:val="true"/>
        <w:keepLines/>
        <w:spacing w:lineRule="auto" w:line="276" w:before="480" w:after="0"/>
        <w:ind w:left="644" w:hanging="0"/>
        <w:jc w:val="both"/>
        <w:rPr>
          <w:b/>
          <w:b/>
        </w:rPr>
      </w:pPr>
      <w:r>
        <w:rPr/>
      </w:r>
    </w:p>
    <w:p>
      <w:pPr>
        <w:pStyle w:val="LOnormal"/>
        <w:keepNext w:val="true"/>
        <w:keepLines/>
        <w:numPr>
          <w:ilvl w:val="0"/>
          <w:numId w:val="3"/>
        </w:numPr>
        <w:spacing w:lineRule="auto" w:line="276" w:before="480" w:after="0"/>
        <w:ind w:left="644" w:hanging="360"/>
        <w:jc w:val="both"/>
        <w:rPr>
          <w:b/>
          <w:b/>
        </w:rPr>
      </w:pPr>
      <w:r>
        <w:rPr>
          <w:b/>
        </w:rPr>
        <w:t>INFORMAÇÕES RELEVANTES PARA O DIMENSIONAMENTO DA PROPOSTA</w:t>
      </w:r>
    </w:p>
    <w:p>
      <w:pPr>
        <w:pStyle w:val="LOnormal"/>
        <w:numPr>
          <w:ilvl w:val="1"/>
          <w:numId w:val="3"/>
        </w:numPr>
        <w:spacing w:lineRule="auto" w:line="276" w:before="120" w:after="120"/>
        <w:ind w:left="425" w:hanging="0"/>
        <w:jc w:val="both"/>
        <w:rPr/>
      </w:pPr>
      <w:r>
        <w:rPr/>
        <w:t>A demanda do órgão tem como base as seguintes características:</w:t>
      </w:r>
    </w:p>
    <w:p>
      <w:pPr>
        <w:pStyle w:val="LOnormal"/>
        <w:widowControl w:val="false"/>
        <w:numPr>
          <w:ilvl w:val="2"/>
          <w:numId w:val="3"/>
        </w:numPr>
        <w:spacing w:lineRule="auto" w:line="276" w:before="0" w:after="120"/>
        <w:jc w:val="both"/>
        <w:rPr>
          <w:b/>
          <w:b/>
          <w:i/>
          <w:i/>
        </w:rPr>
      </w:pPr>
      <w:r>
        <w:rPr>
          <w:b/>
          <w:u w:val="single"/>
        </w:rPr>
        <w:t xml:space="preserve">O Seguro Coletivo de Acidentes Pessoais acobertará os alunos do IF SERTÃO-PE, matriculados e em período de estágio curricular obrigatório e estagiários de outras instituições que desempenhem  atividades nas dependências do IF SERTÃO – PE. </w:t>
      </w:r>
    </w:p>
    <w:p>
      <w:pPr>
        <w:pStyle w:val="LOnormal"/>
        <w:widowControl w:val="false"/>
        <w:numPr>
          <w:ilvl w:val="2"/>
          <w:numId w:val="3"/>
        </w:numPr>
        <w:spacing w:lineRule="auto" w:line="276" w:before="0" w:after="120"/>
        <w:jc w:val="both"/>
        <w:rPr>
          <w:b/>
          <w:b/>
          <w:i/>
          <w:i/>
        </w:rPr>
      </w:pPr>
      <w:r>
        <w:rPr>
          <w:b/>
          <w:u w:val="single"/>
        </w:rPr>
        <w:t xml:space="preserve">O seguro contratado deverá cobrir todo e qualquer sinistro (acidente pessoal) ocorrido aos segurados em território nacional, com cobertura 24 horas por dia, 7 dias por semana. </w:t>
      </w:r>
    </w:p>
    <w:p>
      <w:pPr>
        <w:pStyle w:val="LOnormal"/>
        <w:widowControl w:val="false"/>
        <w:numPr>
          <w:ilvl w:val="2"/>
          <w:numId w:val="3"/>
        </w:numPr>
        <w:spacing w:lineRule="auto" w:line="276" w:before="0" w:after="120"/>
        <w:jc w:val="both"/>
        <w:rPr>
          <w:b/>
          <w:b/>
          <w:i/>
          <w:i/>
        </w:rPr>
      </w:pPr>
      <w:r>
        <w:rPr>
          <w:b/>
          <w:u w:val="single"/>
        </w:rPr>
        <w:t xml:space="preserve">O aluno deverá estar segurado durante o todo o período de estágio, </w:t>
      </w:r>
      <w:r>
        <w:rPr>
          <w:b/>
          <w:highlight w:val="white"/>
          <w:u w:val="single"/>
        </w:rPr>
        <w:t xml:space="preserve">inclusive, nas férias escolares. </w:t>
      </w:r>
    </w:p>
    <w:p>
      <w:pPr>
        <w:pStyle w:val="LOnormal"/>
        <w:widowControl w:val="false"/>
        <w:numPr>
          <w:ilvl w:val="2"/>
          <w:numId w:val="3"/>
        </w:numPr>
        <w:spacing w:lineRule="auto" w:line="276" w:before="0" w:after="120"/>
        <w:jc w:val="both"/>
        <w:rPr>
          <w:b/>
          <w:b/>
          <w:i/>
          <w:i/>
        </w:rPr>
      </w:pPr>
      <w:r>
        <w:rPr>
          <w:b/>
          <w:u w:val="single"/>
        </w:rPr>
        <w:t>O contrato administrativo oriundo desta licitação  terá validade de 24 meses e deverá cobrir alunos estagiários, com rotatividade (inclusão/exclusão) de segurado(s), conforme quantidades estimadas nos subitens 1.1 e 1.1.1 deste Termo.</w:t>
      </w:r>
    </w:p>
    <w:p>
      <w:pPr>
        <w:pStyle w:val="LOnormal"/>
        <w:keepNext w:val="true"/>
        <w:keepLines/>
        <w:numPr>
          <w:ilvl w:val="0"/>
          <w:numId w:val="3"/>
        </w:numPr>
        <w:spacing w:lineRule="auto" w:line="276" w:before="480" w:after="0"/>
        <w:ind w:left="644" w:hanging="360"/>
        <w:jc w:val="both"/>
        <w:rPr>
          <w:b/>
          <w:b/>
          <w:color w:val="000000"/>
        </w:rPr>
      </w:pPr>
      <w:r>
        <w:rPr>
          <w:b/>
          <w:color w:val="000000"/>
        </w:rPr>
        <w:t>OBRIGAÇÕES DA CONTRATANTE</w:t>
      </w:r>
    </w:p>
    <w:p>
      <w:pPr>
        <w:pStyle w:val="LOnormal"/>
        <w:numPr>
          <w:ilvl w:val="1"/>
          <w:numId w:val="3"/>
        </w:numPr>
        <w:spacing w:lineRule="auto" w:line="276" w:before="120" w:after="120"/>
        <w:ind w:left="425" w:hanging="0"/>
        <w:jc w:val="both"/>
        <w:rPr>
          <w:color w:val="000000"/>
        </w:rPr>
      </w:pPr>
      <w:r>
        <w:rPr>
          <w:color w:val="000000"/>
        </w:rPr>
        <w:t>Exigir o cumprimento de todas as obrigações assumidas pela Contratada, de acordo com as cláusulas contratuais e os termos de sua proposta;</w:t>
      </w:r>
    </w:p>
    <w:p>
      <w:pPr>
        <w:pStyle w:val="LOnormal"/>
        <w:numPr>
          <w:ilvl w:val="1"/>
          <w:numId w:val="3"/>
        </w:numPr>
        <w:spacing w:lineRule="auto" w:line="276" w:before="120" w:after="120"/>
        <w:ind w:left="425" w:hanging="0"/>
        <w:jc w:val="both"/>
        <w:rPr>
          <w:color w:val="000000"/>
        </w:rPr>
      </w:pPr>
      <w:r>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LOnormal"/>
        <w:numPr>
          <w:ilvl w:val="1"/>
          <w:numId w:val="3"/>
        </w:numPr>
        <w:spacing w:lineRule="auto" w:line="276" w:before="120" w:after="120"/>
        <w:ind w:left="425" w:hanging="0"/>
        <w:jc w:val="both"/>
        <w:rPr>
          <w:color w:val="000000"/>
        </w:rPr>
      </w:pPr>
      <w:r>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LOnormal"/>
        <w:numPr>
          <w:ilvl w:val="1"/>
          <w:numId w:val="3"/>
        </w:numPr>
        <w:spacing w:lineRule="auto" w:line="276" w:before="120" w:after="120"/>
        <w:ind w:left="425" w:hanging="0"/>
        <w:jc w:val="both"/>
        <w:rPr>
          <w:color w:val="000000"/>
        </w:rPr>
      </w:pPr>
      <w:r>
        <w:rPr>
          <w:color w:val="000000"/>
        </w:rPr>
        <w:t>Pagar à Contratada o valor resultante da prestação do serviço, no prazo e condições estabelecidas neste Termo de Referência;</w:t>
      </w:r>
    </w:p>
    <w:p>
      <w:pPr>
        <w:pStyle w:val="LOnormal"/>
        <w:numPr>
          <w:ilvl w:val="1"/>
          <w:numId w:val="3"/>
        </w:numPr>
        <w:spacing w:lineRule="auto" w:line="276" w:before="120" w:after="120"/>
        <w:ind w:left="425" w:hanging="0"/>
        <w:jc w:val="both"/>
        <w:rPr>
          <w:color w:val="000000"/>
        </w:rPr>
      </w:pPr>
      <w:r>
        <w:rPr>
          <w:color w:val="000000"/>
        </w:rPr>
        <w:t>Efetuar as retenções tributárias devidas sobre o valor da Nota Fiscal/Fatura da contratada, no que couber, em conformidade com o item 6 do Anexo XI da IN SEGES/MP n. 5/2017.</w:t>
      </w:r>
    </w:p>
    <w:p>
      <w:pPr>
        <w:pStyle w:val="LOnormal"/>
        <w:numPr>
          <w:ilvl w:val="1"/>
          <w:numId w:val="3"/>
        </w:numPr>
        <w:spacing w:lineRule="auto" w:line="276" w:before="120" w:after="120"/>
        <w:ind w:left="425" w:hanging="0"/>
        <w:jc w:val="both"/>
        <w:rPr>
          <w:color w:val="000000"/>
        </w:rPr>
      </w:pPr>
      <w:r>
        <w:rPr>
          <w:color w:val="000000"/>
        </w:rPr>
        <w:t>Não praticar atos de ingerência na administração da Contratada, tais como:</w:t>
      </w:r>
    </w:p>
    <w:p>
      <w:pPr>
        <w:pStyle w:val="LOnormal"/>
        <w:numPr>
          <w:ilvl w:val="2"/>
          <w:numId w:val="3"/>
        </w:numPr>
        <w:spacing w:lineRule="auto" w:line="276" w:before="120" w:after="0"/>
        <w:ind w:left="1134" w:hanging="0"/>
        <w:jc w:val="both"/>
        <w:rPr/>
      </w:pPr>
      <w:r>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Onormal"/>
        <w:numPr>
          <w:ilvl w:val="2"/>
          <w:numId w:val="3"/>
        </w:numPr>
        <w:spacing w:lineRule="auto" w:line="276"/>
        <w:ind w:left="1134" w:hanging="0"/>
        <w:jc w:val="both"/>
        <w:rPr/>
      </w:pPr>
      <w:r>
        <w:rPr>
          <w:color w:val="000000"/>
        </w:rPr>
        <w:t>direcionar a contratação de pessoas para trabalhar nas empresas Contratadas;</w:t>
      </w:r>
    </w:p>
    <w:p>
      <w:pPr>
        <w:pStyle w:val="LOnormal"/>
        <w:numPr>
          <w:ilvl w:val="2"/>
          <w:numId w:val="3"/>
        </w:numPr>
        <w:spacing w:lineRule="auto" w:line="276" w:before="0" w:after="120"/>
        <w:ind w:left="1134" w:hanging="0"/>
        <w:jc w:val="both"/>
        <w:rPr/>
      </w:pPr>
      <w:r>
        <w:rPr>
          <w:color w:val="000000"/>
        </w:rPr>
        <w:t>considerar os trabalhadores da Contratada como colaboradores eventuais do próprio órgão ou entidade responsável pela contratação, especialmente para efeito de concessão de diárias e passagens.</w:t>
      </w:r>
    </w:p>
    <w:p>
      <w:pPr>
        <w:pStyle w:val="LOnormal"/>
        <w:numPr>
          <w:ilvl w:val="1"/>
          <w:numId w:val="3"/>
        </w:numPr>
        <w:spacing w:lineRule="auto" w:line="276" w:before="120" w:after="120"/>
        <w:ind w:left="425" w:hanging="0"/>
        <w:jc w:val="both"/>
        <w:rPr>
          <w:color w:val="000000"/>
        </w:rPr>
      </w:pPr>
      <w:r>
        <w:rPr/>
        <w:t xml:space="preserve">Fornecer por escrito as informações necessárias para o desenvolvimento dos serviços objeto </w:t>
      </w:r>
      <w:r>
        <w:rPr>
          <w:color w:val="000000"/>
        </w:rPr>
        <w:t>do contrato;</w:t>
      </w:r>
    </w:p>
    <w:p>
      <w:pPr>
        <w:pStyle w:val="LOnormal"/>
        <w:numPr>
          <w:ilvl w:val="1"/>
          <w:numId w:val="3"/>
        </w:numPr>
        <w:spacing w:lineRule="auto" w:line="276" w:before="120" w:after="120"/>
        <w:ind w:left="425" w:hanging="0"/>
        <w:jc w:val="both"/>
        <w:rPr>
          <w:color w:val="000000"/>
        </w:rPr>
      </w:pPr>
      <w:r>
        <w:rPr>
          <w:color w:val="000000"/>
        </w:rPr>
        <w:t>Realizar avaliações periódicas da qualidade dos serviços, após seu recebimento;</w:t>
      </w:r>
    </w:p>
    <w:p>
      <w:pPr>
        <w:pStyle w:val="LOnormal"/>
        <w:numPr>
          <w:ilvl w:val="1"/>
          <w:numId w:val="3"/>
        </w:numPr>
        <w:spacing w:lineRule="auto" w:line="276" w:before="120" w:after="120"/>
        <w:ind w:left="425" w:hanging="0"/>
        <w:jc w:val="both"/>
        <w:rPr>
          <w:color w:val="000000"/>
        </w:rPr>
      </w:pPr>
      <w:r>
        <w:rPr>
          <w:color w:val="000000"/>
        </w:rPr>
        <w:t xml:space="preserve">Cientificar o órgão de representação judicial da Advocacia-Geral da União para adoção das medidas cabíveis quando do descumprimento das obrigações pela Contratada; </w:t>
      </w:r>
    </w:p>
    <w:p>
      <w:pPr>
        <w:pStyle w:val="LOnormal"/>
        <w:numPr>
          <w:ilvl w:val="1"/>
          <w:numId w:val="3"/>
        </w:numPr>
        <w:spacing w:lineRule="auto" w:line="276" w:before="120" w:after="120"/>
        <w:ind w:left="425" w:hanging="0"/>
        <w:jc w:val="both"/>
        <w:rPr>
          <w:color w:val="000000"/>
        </w:rPr>
      </w:pPr>
      <w:r>
        <w:rPr>
          <w:color w:val="000000"/>
        </w:rPr>
        <w:t>Fiscalizar o cumprimento dos requisitos legais, quando a contratada houver se beneficiado da preferência estabelecida pelo art. 3º, § 5º, da Lei nº 8.666, de 1993.</w:t>
      </w:r>
    </w:p>
    <w:p>
      <w:pPr>
        <w:pStyle w:val="LOnormal"/>
        <w:keepNext w:val="true"/>
        <w:keepLines/>
        <w:numPr>
          <w:ilvl w:val="0"/>
          <w:numId w:val="3"/>
        </w:numPr>
        <w:spacing w:lineRule="auto" w:line="276" w:before="480" w:after="0"/>
        <w:ind w:left="644" w:hanging="360"/>
        <w:jc w:val="both"/>
        <w:rPr>
          <w:b/>
          <w:b/>
          <w:color w:val="000000"/>
        </w:rPr>
      </w:pPr>
      <w:r>
        <w:rPr>
          <w:b/>
          <w:color w:val="000000"/>
        </w:rPr>
        <w:t>OBRIGAÇÕES DA CONTRATADA</w:t>
      </w:r>
    </w:p>
    <w:p>
      <w:pPr>
        <w:pStyle w:val="LOnormal"/>
        <w:numPr>
          <w:ilvl w:val="1"/>
          <w:numId w:val="3"/>
        </w:numPr>
        <w:spacing w:lineRule="auto" w:line="276" w:before="120" w:after="120"/>
        <w:ind w:left="425" w:hanging="0"/>
        <w:jc w:val="both"/>
        <w:rPr>
          <w:color w:val="000000"/>
        </w:rPr>
      </w:pPr>
      <w:r>
        <w:rPr>
          <w:color w:val="000000"/>
        </w:rPr>
        <w:t>Executar os serviços conforme especificações deste Termo de Referência e de sua proposta, com a alocação dos empregados necessários ao perfeito cumprimento das cláusulas contratuais</w:t>
      </w:r>
      <w:r>
        <w:rPr/>
        <w:t xml:space="preserve">. </w:t>
      </w:r>
      <w:r>
        <w:rPr>
          <w:color w:val="000000"/>
        </w:rPr>
        <w:t xml:space="preserve"> </w:t>
      </w:r>
    </w:p>
    <w:p>
      <w:pPr>
        <w:pStyle w:val="LOnormal"/>
        <w:numPr>
          <w:ilvl w:val="1"/>
          <w:numId w:val="3"/>
        </w:numPr>
        <w:spacing w:lineRule="auto" w:line="276" w:before="120" w:after="120"/>
        <w:ind w:left="425" w:hanging="0"/>
        <w:jc w:val="both"/>
        <w:rPr>
          <w:color w:val="000000"/>
        </w:rPr>
      </w:pPr>
      <w:r>
        <w:rPr>
          <w:color w:val="00000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LOnormal"/>
        <w:numPr>
          <w:ilvl w:val="1"/>
          <w:numId w:val="3"/>
        </w:numPr>
        <w:spacing w:lineRule="auto" w:line="276" w:before="120" w:after="120"/>
        <w:ind w:left="425" w:hanging="0"/>
        <w:jc w:val="both"/>
        <w:rPr>
          <w:color w:val="000000"/>
        </w:rPr>
      </w:pPr>
      <w:r>
        <w:rPr>
          <w:color w:val="000000"/>
        </w:rPr>
        <w:t>Utilizar empregados habilitados e com conhecimentos básicos dos serviços a serem executados, em conformidade com as normas e determinações em vigor;</w:t>
      </w:r>
    </w:p>
    <w:p>
      <w:pPr>
        <w:pStyle w:val="LOnormal"/>
        <w:numPr>
          <w:ilvl w:val="1"/>
          <w:numId w:val="3"/>
        </w:numPr>
        <w:spacing w:lineRule="auto" w:line="276" w:before="120" w:after="120"/>
        <w:ind w:left="425" w:hanging="0"/>
        <w:jc w:val="both"/>
        <w:rPr>
          <w:color w:val="000000"/>
        </w:rPr>
      </w:pPr>
      <w:r>
        <w:rPr>
          <w:color w:val="000000"/>
        </w:rPr>
        <w:t>Vedar a utilização, na execução dos serviços, de empregado que seja familiar de agente público ocupante de cargo em comissão ou função de confiança no órgão Contratante, nos termos do artigo 7° do Decreto n° 7.203, de 2010;</w:t>
      </w:r>
    </w:p>
    <w:p>
      <w:pPr>
        <w:pStyle w:val="LOnormal"/>
        <w:numPr>
          <w:ilvl w:val="1"/>
          <w:numId w:val="3"/>
        </w:numPr>
        <w:spacing w:lineRule="auto" w:line="276" w:before="120" w:after="120"/>
        <w:ind w:left="425" w:hanging="0"/>
        <w:jc w:val="both"/>
        <w:rPr/>
      </w:pPr>
      <w:r>
        <w:rPr>
          <w:color w:val="00000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Pr/>
        <w:t xml:space="preserve">perante a Fazenda Municipal ou Distrital do domicílio ou sede do contratado; 4) Certidão de Regularidade do FGTS – CRF; e 5) Certidão Negativa de Débitos Trabalhistas – CNDT, conforme alínea "c" do item 10.2 do Anexo VIII-B da IN SEGES/MP n. 5/2017; </w:t>
        <w:tab/>
      </w:r>
    </w:p>
    <w:p>
      <w:pPr>
        <w:pStyle w:val="LOnormal"/>
        <w:numPr>
          <w:ilvl w:val="0"/>
          <w:numId w:val="0"/>
        </w:numPr>
        <w:spacing w:lineRule="auto" w:line="276" w:before="120" w:after="120"/>
        <w:ind w:left="716" w:hanging="0"/>
        <w:jc w:val="both"/>
        <w:rPr>
          <w:b/>
          <w:b/>
          <w:u w:val="single"/>
        </w:rPr>
      </w:pPr>
      <w:r>
        <w:rPr/>
      </w:r>
    </w:p>
    <w:p>
      <w:pPr>
        <w:pStyle w:val="LOnormal"/>
        <w:numPr>
          <w:ilvl w:val="1"/>
          <w:numId w:val="3"/>
        </w:numPr>
        <w:spacing w:lineRule="auto" w:line="276" w:before="120" w:after="120"/>
        <w:ind w:left="425" w:hanging="0"/>
        <w:jc w:val="both"/>
        <w:rPr>
          <w:color w:val="000000"/>
        </w:rPr>
      </w:pPr>
      <w:r>
        <w:rPr/>
        <w:t>por determinação da Contratante, qualquer atividade que não esteja sendo executada de acordo com a boa técnica ou que ponha em risco a segurança de pessoas ou bens de terceiros.</w:t>
      </w:r>
    </w:p>
    <w:p>
      <w:pPr>
        <w:pStyle w:val="LOnormal"/>
        <w:numPr>
          <w:ilvl w:val="1"/>
          <w:numId w:val="3"/>
        </w:numPr>
        <w:spacing w:lineRule="auto" w:line="276" w:before="120" w:after="120"/>
        <w:ind w:left="425" w:hanging="0"/>
        <w:jc w:val="both"/>
        <w:rPr/>
      </w:pPr>
      <w:r>
        <w:rPr/>
        <w:t>Promover a organização técnica e administrativa dos serviços, de modo a conduzi-los eficaz e eficientemente, de acordo com os documentos e especificações que integram este Termo de Referência, no prazo determinado.</w:t>
      </w:r>
    </w:p>
    <w:p>
      <w:pPr>
        <w:pStyle w:val="LOnormal"/>
        <w:numPr>
          <w:ilvl w:val="1"/>
          <w:numId w:val="3"/>
        </w:numPr>
        <w:spacing w:lineRule="auto" w:line="276" w:before="120" w:after="120"/>
        <w:ind w:left="425" w:hanging="0"/>
        <w:jc w:val="both"/>
        <w:rPr>
          <w:color w:val="000000"/>
        </w:rPr>
      </w:pPr>
      <w:r>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LOnormal"/>
        <w:numPr>
          <w:ilvl w:val="1"/>
          <w:numId w:val="3"/>
        </w:numPr>
        <w:spacing w:lineRule="auto" w:line="276" w:before="120" w:after="120"/>
        <w:ind w:left="425" w:hanging="0"/>
        <w:jc w:val="both"/>
        <w:rPr>
          <w:color w:val="000000"/>
        </w:rPr>
      </w:pPr>
      <w:r>
        <w:rPr>
          <w:color w:val="000000"/>
        </w:rPr>
        <w:t xml:space="preserve"> </w:t>
      </w:r>
      <w:r>
        <w:rPr>
          <w:color w:val="000000"/>
        </w:rPr>
        <w:t>Manter durante toda a vigência do contrato, em compatibilidade com as obrigações assumidas, todas as condições de habilitação e qualificação exigidas na licitação;</w:t>
      </w:r>
    </w:p>
    <w:p>
      <w:pPr>
        <w:pStyle w:val="LOnormal"/>
        <w:numPr>
          <w:ilvl w:val="1"/>
          <w:numId w:val="3"/>
        </w:numPr>
        <w:spacing w:lineRule="auto" w:line="276" w:before="120" w:after="120"/>
        <w:ind w:left="425" w:hanging="0"/>
        <w:jc w:val="both"/>
        <w:rPr>
          <w:color w:val="000000"/>
        </w:rPr>
      </w:pPr>
      <w:r>
        <w:rPr>
          <w:color w:val="00000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i/>
          <w:color w:val="000000"/>
        </w:rPr>
        <w:t>.</w:t>
      </w:r>
    </w:p>
    <w:p>
      <w:pPr>
        <w:pStyle w:val="LOnormal"/>
        <w:numPr>
          <w:ilvl w:val="1"/>
          <w:numId w:val="3"/>
        </w:numPr>
        <w:spacing w:lineRule="auto" w:line="276" w:before="120" w:after="120"/>
        <w:ind w:left="425" w:hanging="0"/>
        <w:jc w:val="both"/>
        <w:rPr>
          <w:color w:val="000000"/>
        </w:rPr>
      </w:pPr>
      <w:r>
        <w:rPr>
          <w:color w:val="000000"/>
        </w:rPr>
        <w:t>Guardar sigilo sobre todas as informações obtidas em decorrência do cumprimento do contrato;</w:t>
      </w:r>
    </w:p>
    <w:p>
      <w:pPr>
        <w:pStyle w:val="LOnormal"/>
        <w:numPr>
          <w:ilvl w:val="1"/>
          <w:numId w:val="3"/>
        </w:numPr>
        <w:spacing w:lineRule="auto" w:line="276" w:before="120" w:after="120"/>
        <w:ind w:left="425" w:hanging="0"/>
        <w:jc w:val="both"/>
        <w:rPr>
          <w:color w:val="000000"/>
        </w:rPr>
      </w:pPr>
      <w:r>
        <w:rPr/>
        <w:t>Cumprir, além dos postulados legais vigentes de âmbito federal, estadual ou municipal, as normas de segurança da Contratante;</w:t>
      </w:r>
    </w:p>
    <w:p>
      <w:pPr>
        <w:pStyle w:val="LOnormal"/>
        <w:numPr>
          <w:ilvl w:val="1"/>
          <w:numId w:val="3"/>
        </w:numPr>
        <w:spacing w:lineRule="auto" w:line="276" w:before="120" w:after="120"/>
        <w:ind w:left="425" w:hanging="0"/>
        <w:jc w:val="both"/>
        <w:rPr/>
      </w:pPr>
      <w:r>
        <w:rPr/>
        <w:t>Assegurar à CONTRATANTE, em conformidade com o previsto no subitem 6.1, “a”e “b”, do Anexo VII – F da Instrução Normativa SEGES/MP nº 5, de 25/05/2017:</w:t>
      </w:r>
    </w:p>
    <w:p>
      <w:pPr>
        <w:pStyle w:val="LOnormal"/>
        <w:numPr>
          <w:ilvl w:val="2"/>
          <w:numId w:val="3"/>
        </w:numPr>
        <w:spacing w:lineRule="auto" w:line="276" w:before="120" w:after="120"/>
        <w:jc w:val="both"/>
        <w:rPr/>
      </w:pPr>
      <w:r>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LOnormal"/>
        <w:numPr>
          <w:ilvl w:val="2"/>
          <w:numId w:val="3"/>
        </w:numPr>
        <w:spacing w:lineRule="auto" w:line="276" w:before="120" w:after="120"/>
        <w:jc w:val="both"/>
        <w:rPr/>
      </w:pPr>
      <w:r>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LOnormal"/>
        <w:keepNext w:val="true"/>
        <w:keepLines/>
        <w:numPr>
          <w:ilvl w:val="0"/>
          <w:numId w:val="3"/>
        </w:numPr>
        <w:spacing w:lineRule="auto" w:line="276" w:before="480" w:after="200"/>
        <w:ind w:left="644" w:hanging="360"/>
        <w:jc w:val="both"/>
        <w:rPr>
          <w:b/>
          <w:b/>
          <w:color w:val="000000"/>
        </w:rPr>
      </w:pPr>
      <w:r>
        <w:rPr>
          <w:b/>
          <w:color w:val="000000"/>
        </w:rPr>
        <w:t xml:space="preserve">DA SUBCONTRATAÇÃO </w:t>
      </w:r>
    </w:p>
    <w:p>
      <w:pPr>
        <w:pStyle w:val="LOnormal"/>
        <w:keepNext w:val="true"/>
        <w:keepLines/>
        <w:numPr>
          <w:ilvl w:val="1"/>
          <w:numId w:val="3"/>
        </w:numPr>
        <w:spacing w:lineRule="auto" w:line="276" w:before="200" w:after="0"/>
        <w:jc w:val="both"/>
        <w:rPr>
          <w:i/>
          <w:i/>
        </w:rPr>
      </w:pPr>
      <w:r>
        <w:rPr>
          <w:i/>
        </w:rPr>
        <w:t>Não será admitida a subcontratação do objeto licitatório.</w:t>
      </w:r>
    </w:p>
    <w:p>
      <w:pPr>
        <w:pStyle w:val="LOnormal"/>
        <w:keepNext w:val="true"/>
        <w:keepLines/>
        <w:spacing w:lineRule="auto" w:line="276" w:before="200" w:after="0"/>
        <w:ind w:left="716" w:hanging="0"/>
        <w:jc w:val="both"/>
        <w:rPr>
          <w:i/>
          <w:i/>
          <w:color w:val="FF0000"/>
        </w:rPr>
      </w:pPr>
      <w:r>
        <w:rPr>
          <w:i/>
          <w:color w:val="FF0000"/>
        </w:rPr>
      </w:r>
    </w:p>
    <w:p>
      <w:pPr>
        <w:pStyle w:val="LOnormal"/>
        <w:keepNext w:val="true"/>
        <w:keepLines/>
        <w:numPr>
          <w:ilvl w:val="0"/>
          <w:numId w:val="3"/>
        </w:numPr>
        <w:spacing w:lineRule="auto" w:line="276"/>
        <w:ind w:left="644" w:hanging="360"/>
        <w:jc w:val="both"/>
        <w:rPr>
          <w:b/>
          <w:b/>
          <w:color w:val="000000"/>
        </w:rPr>
      </w:pPr>
      <w:r>
        <w:rPr>
          <w:b/>
          <w:color w:val="000000"/>
        </w:rPr>
        <w:t>ALTERAÇÃO SUBJETIVA</w:t>
      </w:r>
    </w:p>
    <w:p>
      <w:pPr>
        <w:pStyle w:val="LOnormal"/>
        <w:numPr>
          <w:ilvl w:val="1"/>
          <w:numId w:val="3"/>
        </w:numPr>
        <w:spacing w:lineRule="auto" w:line="276" w:before="120" w:after="120"/>
        <w:ind w:left="425" w:hanging="0"/>
        <w:jc w:val="both"/>
        <w:rPr/>
      </w:pPr>
      <w: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LOnormal"/>
        <w:keepNext w:val="true"/>
        <w:keepLines/>
        <w:numPr>
          <w:ilvl w:val="0"/>
          <w:numId w:val="3"/>
        </w:numPr>
        <w:spacing w:lineRule="auto" w:line="276" w:before="480" w:after="0"/>
        <w:ind w:left="644" w:hanging="360"/>
        <w:jc w:val="both"/>
        <w:rPr>
          <w:b/>
          <w:b/>
          <w:color w:val="000000"/>
        </w:rPr>
      </w:pPr>
      <w:r>
        <w:rPr>
          <w:b/>
          <w:color w:val="000000"/>
        </w:rPr>
        <w:t xml:space="preserve">CONTROLE E FISCALIZAÇÃO DA EXECUÇÃO </w:t>
      </w:r>
    </w:p>
    <w:p>
      <w:pPr>
        <w:pStyle w:val="LOnormal"/>
        <w:numPr>
          <w:ilvl w:val="1"/>
          <w:numId w:val="3"/>
        </w:numPr>
        <w:spacing w:lineRule="auto" w:line="276" w:before="120" w:after="120"/>
        <w:ind w:left="425" w:hanging="0"/>
        <w:jc w:val="both"/>
        <w:rPr/>
      </w:pPr>
      <w:r>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LOnormal"/>
        <w:numPr>
          <w:ilvl w:val="1"/>
          <w:numId w:val="3"/>
        </w:numPr>
        <w:spacing w:lineRule="auto" w:line="276" w:before="120" w:after="120"/>
        <w:ind w:left="425" w:hanging="0"/>
        <w:jc w:val="both"/>
        <w:rPr/>
      </w:pPr>
      <w:r>
        <w:rPr/>
        <w:t>O representante da Contratante deverá ter a qualificação necessária para o acompanhamento e controle da execução dos serviços e do contrato.</w:t>
      </w:r>
    </w:p>
    <w:p>
      <w:pPr>
        <w:pStyle w:val="LOnormal"/>
        <w:numPr>
          <w:ilvl w:val="1"/>
          <w:numId w:val="3"/>
        </w:numPr>
        <w:spacing w:lineRule="auto" w:line="276" w:before="120" w:after="120"/>
        <w:ind w:left="425" w:hanging="0"/>
        <w:jc w:val="both"/>
        <w:rPr/>
      </w:pPr>
      <w:r>
        <w:rPr/>
        <w:t>A verificação da adequação da prestação do serviço deverá ser realizada com base nos critérios previstos neste Termo de Referência.</w:t>
      </w:r>
    </w:p>
    <w:p>
      <w:pPr>
        <w:pStyle w:val="LOnormal"/>
        <w:numPr>
          <w:ilvl w:val="1"/>
          <w:numId w:val="3"/>
        </w:numPr>
        <w:spacing w:lineRule="auto" w:line="276" w:before="120" w:after="120"/>
        <w:ind w:left="425" w:hanging="0"/>
        <w:jc w:val="both"/>
        <w:rPr/>
      </w:pPr>
      <w:r>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LOnormal"/>
        <w:numPr>
          <w:ilvl w:val="1"/>
          <w:numId w:val="3"/>
        </w:numPr>
        <w:spacing w:lineRule="auto" w:line="276" w:before="120" w:after="120"/>
        <w:ind w:left="425" w:hanging="0"/>
        <w:jc w:val="both"/>
        <w:rPr/>
      </w:pPr>
      <w:r>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pPr>
        <w:pStyle w:val="LOnormal"/>
        <w:numPr>
          <w:ilvl w:val="1"/>
          <w:numId w:val="3"/>
        </w:numPr>
        <w:spacing w:lineRule="auto" w:line="276" w:before="120" w:after="120"/>
        <w:ind w:left="425" w:hanging="0"/>
        <w:jc w:val="both"/>
        <w:rPr/>
      </w:pPr>
      <w:r>
        <w:rPr/>
        <w:t>O representante da Contratante deverá promover o registro das ocorrências verificadas, adotando as providências necessárias ao fiel cumprimento das cláusulas contratuais, conforme o disposto nos §§ 1º e 2º do art. 67 da Lei nº 8.666, de 1993.</w:t>
      </w:r>
    </w:p>
    <w:p>
      <w:pPr>
        <w:pStyle w:val="LOnormal"/>
        <w:numPr>
          <w:ilvl w:val="1"/>
          <w:numId w:val="3"/>
        </w:numPr>
        <w:spacing w:lineRule="auto" w:line="276" w:before="120" w:after="120"/>
        <w:ind w:left="425" w:hanging="0"/>
        <w:jc w:val="both"/>
        <w:rPr/>
      </w:pPr>
      <w:r>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pPr>
        <w:pStyle w:val="LOnormal"/>
        <w:numPr>
          <w:ilvl w:val="1"/>
          <w:numId w:val="3"/>
        </w:numPr>
        <w:spacing w:lineRule="auto" w:line="276" w:before="120" w:after="120"/>
        <w:ind w:left="425" w:hanging="0"/>
        <w:jc w:val="both"/>
        <w:rPr/>
      </w:pPr>
      <w:r>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LOnormal"/>
        <w:numPr>
          <w:ilvl w:val="1"/>
          <w:numId w:val="3"/>
        </w:numPr>
        <w:spacing w:lineRule="auto" w:line="276" w:before="120" w:after="120"/>
        <w:ind w:left="425" w:hanging="0"/>
        <w:jc w:val="both"/>
        <w:rPr/>
      </w:pPr>
      <w:r>
        <w:rPr/>
        <w:t xml:space="preserve">A fiscalização técnica dos contratos avaliará constantemente a execução do objeto e utilizará </w:t>
      </w:r>
      <w:r>
        <w:rPr>
          <w:highlight w:val="white"/>
        </w:rPr>
        <w:t xml:space="preserve">o </w:t>
      </w:r>
      <w:r>
        <w:rPr>
          <w:highlight w:val="white"/>
          <w:u w:val="single"/>
        </w:rPr>
        <w:t>Instrumento de Medição de Resultado (IMR)</w:t>
      </w:r>
      <w:r>
        <w:rPr>
          <w:highlight w:val="white"/>
        </w:rPr>
        <w:t xml:space="preserve">, conforme modelo previsto no </w:t>
      </w:r>
      <w:r>
        <w:rPr>
          <w:highlight w:val="white"/>
          <w:u w:val="single"/>
        </w:rPr>
        <w:t>Anexo I-</w:t>
      </w:r>
      <w:r>
        <w:rPr>
          <w:highlight w:val="white"/>
          <w:u w:val="single"/>
        </w:rPr>
        <w:t>B</w:t>
      </w:r>
      <w:r>
        <w:rPr>
          <w:highlight w:val="white"/>
          <w:u w:val="single"/>
        </w:rPr>
        <w:t>,</w:t>
      </w:r>
      <w:r>
        <w:rPr>
          <w:i/>
        </w:rPr>
        <w:t xml:space="preserve"> ou outro instrumento substituto para aferição da qualidade da prestação dos serviços</w:t>
      </w:r>
      <w:r>
        <w:rPr/>
        <w:t>, devendo haver o redimensionamento no pagamento com base nos indicadores estabelecidos, sempre que a CONTRATADA:</w:t>
      </w:r>
    </w:p>
    <w:p>
      <w:pPr>
        <w:pStyle w:val="LOnormal"/>
        <w:spacing w:lineRule="auto" w:line="276" w:before="120" w:after="120"/>
        <w:ind w:left="1416" w:hanging="0"/>
        <w:jc w:val="both"/>
        <w:rPr/>
      </w:pPr>
      <w:r>
        <w:rPr/>
        <w:t>a) não produzir os resultados, deixar de executar, ou não executar com a qualidade mínima exigida as atividades contratadas; ou</w:t>
      </w:r>
    </w:p>
    <w:p>
      <w:pPr>
        <w:pStyle w:val="LOnormal"/>
        <w:spacing w:lineRule="auto" w:line="276" w:before="120" w:after="120"/>
        <w:ind w:left="1416" w:hanging="0"/>
        <w:jc w:val="both"/>
        <w:rPr/>
      </w:pPr>
      <w:r>
        <w:rPr/>
        <w:t>b) deixar de utilizar materiais e recursos humanos exigidos para a execução do serviço, ou utilizá-los com qualidade ou quantidade inferior à demandada.</w:t>
      </w:r>
    </w:p>
    <w:p>
      <w:pPr>
        <w:pStyle w:val="LOnormal"/>
        <w:numPr>
          <w:ilvl w:val="2"/>
          <w:numId w:val="3"/>
        </w:numPr>
        <w:spacing w:lineRule="auto" w:line="276" w:before="120" w:after="120"/>
        <w:jc w:val="both"/>
        <w:rPr/>
      </w:pPr>
      <w:r>
        <w:rPr/>
        <w:t>A utilização do IMR não impede a aplicação concomitante de outros mecanismos para a avaliação da prestação dos serviços.</w:t>
      </w:r>
    </w:p>
    <w:p>
      <w:pPr>
        <w:pStyle w:val="LOnormal"/>
        <w:numPr>
          <w:ilvl w:val="1"/>
          <w:numId w:val="3"/>
        </w:numPr>
        <w:spacing w:lineRule="auto" w:line="276" w:before="120" w:after="120"/>
        <w:ind w:left="425" w:hanging="0"/>
        <w:jc w:val="both"/>
        <w:rPr/>
      </w:pPr>
      <w:r>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LOnormal"/>
        <w:numPr>
          <w:ilvl w:val="1"/>
          <w:numId w:val="3"/>
        </w:numPr>
        <w:spacing w:lineRule="auto" w:line="276" w:before="120" w:after="120"/>
        <w:ind w:left="425" w:hanging="0"/>
        <w:jc w:val="both"/>
        <w:rPr/>
      </w:pPr>
      <w:r>
        <w:rPr/>
        <w:t xml:space="preserve">O fiscal técnico deverá apresentar ao preposto da CONTRATADA a avaliação da execução do objeto ou, se for o caso, a avaliação de desempenho e qualidade da prestação dos serviços realizada. </w:t>
      </w:r>
    </w:p>
    <w:p>
      <w:pPr>
        <w:pStyle w:val="LOnormal"/>
        <w:numPr>
          <w:ilvl w:val="1"/>
          <w:numId w:val="3"/>
        </w:numPr>
        <w:spacing w:lineRule="auto" w:line="276" w:before="120" w:after="120"/>
        <w:ind w:left="425" w:hanging="0"/>
        <w:jc w:val="both"/>
        <w:rPr/>
      </w:pPr>
      <w:r>
        <w:rPr/>
        <w:t xml:space="preserve">Em hipótese alguma, será admitido que a própria CONTRATADA materialize a avaliação de desempenho e qualidade da prestação dos serviços realizada. </w:t>
      </w:r>
    </w:p>
    <w:p>
      <w:pPr>
        <w:pStyle w:val="LOnormal"/>
        <w:numPr>
          <w:ilvl w:val="1"/>
          <w:numId w:val="3"/>
        </w:numPr>
        <w:spacing w:lineRule="auto" w:line="276" w:before="120" w:after="120"/>
        <w:ind w:left="425" w:hanging="0"/>
        <w:jc w:val="both"/>
        <w:rPr/>
      </w:pPr>
      <w:r>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LOnormal"/>
        <w:numPr>
          <w:ilvl w:val="1"/>
          <w:numId w:val="3"/>
        </w:numPr>
        <w:spacing w:lineRule="auto" w:line="276" w:before="120" w:after="120"/>
        <w:ind w:left="425" w:hanging="0"/>
        <w:jc w:val="both"/>
        <w:rPr/>
      </w:pPr>
      <w:r>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pPr>
        <w:pStyle w:val="LOnormal"/>
        <w:numPr>
          <w:ilvl w:val="1"/>
          <w:numId w:val="3"/>
        </w:numPr>
        <w:spacing w:lineRule="auto" w:line="276" w:before="120" w:after="120"/>
        <w:ind w:left="425" w:hanging="0"/>
        <w:jc w:val="both"/>
        <w:rPr/>
      </w:pPr>
      <w:r>
        <w:rPr/>
        <w:t xml:space="preserve">O fiscal técnico poderá realizar avaliação diária, semanal ou mensal, desde que o período escolhido seja suficiente para avaliar ou, se for o caso, aferir o desempenho e qualidade da prestação dos serviços. </w:t>
      </w:r>
    </w:p>
    <w:p>
      <w:pPr>
        <w:pStyle w:val="LOnormal"/>
        <w:numPr>
          <w:ilvl w:val="1"/>
          <w:numId w:val="3"/>
        </w:numPr>
        <w:spacing w:lineRule="auto" w:line="276" w:before="120" w:after="120"/>
        <w:ind w:left="425" w:hanging="0"/>
        <w:jc w:val="both"/>
        <w:rPr>
          <w:color w:val="000000"/>
        </w:rPr>
      </w:pPr>
      <w:r>
        <w:rPr>
          <w:color w:val="000000"/>
        </w:rPr>
        <w:t>As disposições previstas nesta cláusula não excluem o disposto no Anexo VIII da Instrução Normativa SLTI/MP nº 05, de 2017, aplicável no que for pertinente à contratação.</w:t>
      </w:r>
    </w:p>
    <w:p>
      <w:pPr>
        <w:pStyle w:val="LOnormal"/>
        <w:numPr>
          <w:ilvl w:val="1"/>
          <w:numId w:val="3"/>
        </w:numPr>
        <w:spacing w:lineRule="auto" w:line="276" w:before="120" w:after="120"/>
        <w:ind w:left="425" w:hanging="0"/>
        <w:jc w:val="both"/>
        <w:rPr/>
      </w:pPr>
      <w:r>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LOnormal"/>
        <w:keepNext w:val="true"/>
        <w:keepLines/>
        <w:numPr>
          <w:ilvl w:val="0"/>
          <w:numId w:val="3"/>
        </w:numPr>
        <w:spacing w:lineRule="auto" w:line="276" w:before="480" w:after="0"/>
        <w:ind w:left="644" w:hanging="360"/>
        <w:jc w:val="both"/>
        <w:rPr>
          <w:b/>
          <w:b/>
          <w:color w:val="000000"/>
        </w:rPr>
      </w:pPr>
      <w:r>
        <w:rPr>
          <w:b/>
          <w:color w:val="000000"/>
        </w:rPr>
        <w:t xml:space="preserve">DO RECEBIMENTO E ACEITAÇÃO DO OBJETO  </w:t>
      </w:r>
    </w:p>
    <w:p>
      <w:pPr>
        <w:pStyle w:val="LOnormal"/>
        <w:numPr>
          <w:ilvl w:val="1"/>
          <w:numId w:val="3"/>
        </w:numPr>
        <w:spacing w:lineRule="auto" w:line="276" w:before="120" w:after="120"/>
        <w:ind w:left="425" w:hanging="0"/>
        <w:jc w:val="both"/>
        <w:rPr>
          <w:color w:val="000000"/>
        </w:rPr>
      </w:pPr>
      <w:r>
        <w:rPr/>
        <w:t xml:space="preserve">A emissão da Nota Fiscal/Fatura deve ser precedida do recebimento definitivo dos serviços, nos termos abaixo. </w:t>
      </w:r>
    </w:p>
    <w:p>
      <w:pPr>
        <w:pStyle w:val="LOnormal"/>
        <w:numPr>
          <w:ilvl w:val="1"/>
          <w:numId w:val="3"/>
        </w:numPr>
        <w:spacing w:lineRule="auto" w:line="276" w:before="120" w:after="120"/>
        <w:ind w:left="425" w:hanging="0"/>
        <w:jc w:val="both"/>
        <w:rPr>
          <w:color w:val="000000"/>
        </w:rPr>
      </w:pPr>
      <w:r>
        <w:rPr>
          <w:color w:val="000000"/>
        </w:rPr>
        <w:t xml:space="preserve">No prazo de até </w:t>
      </w:r>
      <w:r>
        <w:rPr>
          <w:i/>
          <w:color w:val="000000"/>
        </w:rPr>
        <w:t>5 dias corridos</w:t>
      </w:r>
      <w:r>
        <w:rPr>
          <w:color w:val="000000"/>
        </w:rPr>
        <w:t xml:space="preserve"> do adimplemento da parcela, a CONTRATADA deverá entregar toda a documentação comprobatória do cumprimento da obrigação contratual;  </w:t>
      </w:r>
    </w:p>
    <w:p>
      <w:pPr>
        <w:pStyle w:val="LOnormal"/>
        <w:numPr>
          <w:ilvl w:val="1"/>
          <w:numId w:val="3"/>
        </w:numPr>
        <w:spacing w:lineRule="auto" w:line="276" w:before="120" w:after="120"/>
        <w:ind w:left="425" w:hanging="0"/>
        <w:jc w:val="both"/>
        <w:rPr>
          <w:color w:val="000000"/>
        </w:rPr>
      </w:pPr>
      <w:r>
        <w:rPr>
          <w:color w:val="000000"/>
        </w:rPr>
        <w:t>O recebimento provisório será realizado pelo fiscal técnico ou pela equipe de fiscalização após a entrega da documentação acima, da seguinte forma:</w:t>
      </w:r>
    </w:p>
    <w:p>
      <w:pPr>
        <w:pStyle w:val="LOnormal"/>
        <w:numPr>
          <w:ilvl w:val="2"/>
          <w:numId w:val="3"/>
        </w:numPr>
        <w:spacing w:lineRule="auto" w:line="276" w:before="120" w:after="120"/>
        <w:jc w:val="both"/>
        <w:rPr>
          <w:color w:val="000000"/>
        </w:rPr>
      </w:pPr>
      <w:r>
        <w:rPr>
          <w:color w:val="00000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LOnormal"/>
        <w:numPr>
          <w:ilvl w:val="3"/>
          <w:numId w:val="3"/>
        </w:numPr>
        <w:spacing w:lineRule="auto" w:line="276" w:before="120" w:after="120"/>
        <w:ind w:left="2491" w:hanging="647"/>
        <w:jc w:val="both"/>
        <w:rPr>
          <w:color w:val="000000"/>
        </w:rPr>
      </w:pPr>
      <w:r>
        <w:rPr>
          <w:color w:val="000000"/>
        </w:rPr>
        <w:t>Para efeito de recebimento provis</w:t>
      </w:r>
      <w:r>
        <w:rPr/>
        <w:t>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LOnormal"/>
        <w:numPr>
          <w:ilvl w:val="3"/>
          <w:numId w:val="3"/>
        </w:numPr>
        <w:spacing w:lineRule="auto" w:line="276" w:before="120" w:after="120"/>
        <w:ind w:left="2491" w:hanging="647"/>
        <w:jc w:val="both"/>
        <w:rPr>
          <w:color w:val="000000"/>
        </w:rPr>
      </w:pPr>
      <w:r>
        <w:rPr>
          <w:color w:val="000000"/>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Onormal"/>
        <w:numPr>
          <w:ilvl w:val="3"/>
          <w:numId w:val="3"/>
        </w:numPr>
        <w:spacing w:lineRule="auto" w:line="276" w:before="120" w:after="120"/>
        <w:ind w:left="2491" w:hanging="647"/>
        <w:jc w:val="both"/>
        <w:rPr>
          <w:color w:val="000000"/>
        </w:rPr>
      </w:pPr>
      <w:r>
        <w:rPr>
          <w:color w:val="000000"/>
        </w:rPr>
        <w:t>O recebimento provisório também ficará sujeito, quando cabível, à conclusão de todos os testes de campo e à entrega dos Manuais e Instruções exigíveis.</w:t>
      </w:r>
    </w:p>
    <w:p>
      <w:pPr>
        <w:pStyle w:val="LOnormal"/>
        <w:numPr>
          <w:ilvl w:val="2"/>
          <w:numId w:val="3"/>
        </w:numPr>
        <w:spacing w:lineRule="auto" w:line="276" w:before="120" w:after="120"/>
        <w:jc w:val="both"/>
        <w:rPr>
          <w:color w:val="000000"/>
        </w:rPr>
      </w:pPr>
      <w:r>
        <w:rPr>
          <w:color w:val="000000"/>
        </w:rPr>
        <w:t xml:space="preserve">No prazo de até </w:t>
      </w:r>
      <w:r>
        <w:rPr>
          <w:i/>
          <w:color w:val="000000"/>
        </w:rPr>
        <w:t>10 dias corridos</w:t>
      </w:r>
      <w:r>
        <w:rPr>
          <w:color w:val="000000"/>
        </w:rPr>
        <w:t xml:space="preserve"> a partir do recebimento dos documentos da CONTRATADA, cada fiscal ou a equipe de fiscalização deverá elaborar Relatório Circunstanciado em consonância com suas atribuições, e encaminhá-lo ao gestor do contrato. </w:t>
      </w:r>
    </w:p>
    <w:p>
      <w:pPr>
        <w:pStyle w:val="LOnormal"/>
        <w:numPr>
          <w:ilvl w:val="3"/>
          <w:numId w:val="3"/>
        </w:numPr>
        <w:spacing w:lineRule="auto" w:line="276" w:before="120" w:after="120"/>
        <w:ind w:left="2491" w:hanging="647"/>
        <w:jc w:val="both"/>
        <w:rPr>
          <w:color w:val="000000"/>
        </w:rPr>
      </w:pPr>
      <w:r>
        <w:rPr>
          <w:color w:val="000000"/>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w:t>
      </w:r>
      <w:r>
        <w:rPr/>
        <w:t xml:space="preserve"> para recebimento definitivo.</w:t>
      </w:r>
    </w:p>
    <w:p>
      <w:pPr>
        <w:pStyle w:val="LOnormal"/>
        <w:numPr>
          <w:ilvl w:val="3"/>
          <w:numId w:val="3"/>
        </w:numPr>
        <w:spacing w:lineRule="auto" w:line="276" w:before="120" w:after="120"/>
        <w:ind w:left="2491" w:hanging="647"/>
        <w:jc w:val="both"/>
        <w:rPr>
          <w:color w:val="000000"/>
        </w:rPr>
      </w:pPr>
      <w:r>
        <w:rPr/>
        <w:t xml:space="preserve">Será considerado como ocorrido o recebimento provisório com a entrega do relatório circunstanciado ou, em havendo mais de um a ser feito, com a entrega do último. </w:t>
      </w:r>
    </w:p>
    <w:p>
      <w:pPr>
        <w:pStyle w:val="LOnormal"/>
        <w:numPr>
          <w:ilvl w:val="4"/>
          <w:numId w:val="3"/>
        </w:numPr>
        <w:spacing w:lineRule="auto" w:line="276" w:before="120" w:after="120"/>
        <w:ind w:left="3485" w:hanging="791"/>
        <w:jc w:val="both"/>
        <w:rPr>
          <w:color w:val="000000"/>
        </w:rPr>
      </w:pPr>
      <w:r>
        <w:rPr>
          <w:color w:val="000000"/>
        </w:rPr>
        <w:t>Na hipótese de a verificação a que se refere o parágrafo anterior não ser procedida tempestivamente, reputar-se-á como realizada, consumando-se o recebimento provisório no dia do esgotamento do prazo.</w:t>
      </w:r>
    </w:p>
    <w:p>
      <w:pPr>
        <w:pStyle w:val="LOnormal"/>
        <w:numPr>
          <w:ilvl w:val="1"/>
          <w:numId w:val="3"/>
        </w:numPr>
        <w:spacing w:lineRule="auto" w:line="276" w:before="120" w:after="120"/>
        <w:ind w:left="425" w:hanging="0"/>
        <w:jc w:val="both"/>
        <w:rPr>
          <w:color w:val="000000"/>
        </w:rPr>
      </w:pPr>
      <w:r>
        <w:rPr>
          <w:color w:val="000000"/>
        </w:rPr>
        <w:t xml:space="preserve">No </w:t>
      </w:r>
      <w:r>
        <w:rPr/>
        <w:t>prazo</w:t>
      </w:r>
      <w:r>
        <w:rPr>
          <w:color w:val="000000"/>
        </w:rPr>
        <w:t xml:space="preserve"> de até </w:t>
      </w:r>
      <w:r>
        <w:rPr>
          <w:i/>
          <w:color w:val="000000"/>
        </w:rPr>
        <w:t>10 (dez) dias corridos</w:t>
      </w:r>
      <w:r>
        <w:rPr>
          <w:color w:val="000000"/>
        </w:rPr>
        <w:t xml:space="preserve"> a partir do recebimento provisório dos serviços, o Gestor do Contrato deverá providenciar o recebimento definitivo, ato que concretiza o ateste da execução dos serviços, obedecendo </w:t>
      </w:r>
      <w:r>
        <w:rPr/>
        <w:t>às seguintes</w:t>
      </w:r>
      <w:r>
        <w:rPr>
          <w:color w:val="000000"/>
        </w:rPr>
        <w:t xml:space="preserve"> diretrizes: </w:t>
      </w:r>
    </w:p>
    <w:p>
      <w:pPr>
        <w:pStyle w:val="LOnormal"/>
        <w:numPr>
          <w:ilvl w:val="2"/>
          <w:numId w:val="3"/>
        </w:numPr>
        <w:spacing w:lineRule="auto" w:line="276" w:before="120" w:after="120"/>
        <w:jc w:val="both"/>
        <w:rPr/>
      </w:pPr>
      <w:r>
        <w:rPr>
          <w:color w:val="00000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LOnormal"/>
        <w:numPr>
          <w:ilvl w:val="2"/>
          <w:numId w:val="3"/>
        </w:numPr>
        <w:spacing w:lineRule="auto" w:line="276" w:before="120" w:after="120"/>
        <w:jc w:val="both"/>
        <w:rPr/>
      </w:pPr>
      <w:r>
        <w:rPr>
          <w:color w:val="000000"/>
        </w:rPr>
        <w:t xml:space="preserve">Emitir Termo Circunstanciado para efeito de recebimento definitivo dos serviços prestados, com base nos relatórios e documentações apresentadas; e </w:t>
      </w:r>
    </w:p>
    <w:p>
      <w:pPr>
        <w:pStyle w:val="LOnormal"/>
        <w:numPr>
          <w:ilvl w:val="2"/>
          <w:numId w:val="3"/>
        </w:numPr>
        <w:spacing w:lineRule="auto" w:line="276" w:before="120" w:after="120"/>
        <w:jc w:val="both"/>
        <w:rPr/>
      </w:pPr>
      <w:r>
        <w:rPr>
          <w:color w:val="000000"/>
        </w:rPr>
        <w:t xml:space="preserve">Comunicar </w:t>
      </w:r>
      <w:r>
        <w:rPr/>
        <w:t>à empresa</w:t>
      </w:r>
      <w:r>
        <w:rPr>
          <w:color w:val="000000"/>
        </w:rPr>
        <w:t xml:space="preserve"> para que emita a Nota Fiscal ou Fatura, com o valor exato dimensionado pela fiscalização, </w:t>
      </w:r>
      <w:r>
        <w:rPr/>
        <w:t>com base no Instrumento de Medição de Resultado (IMR), ou instrumento substituto.</w:t>
      </w:r>
      <w:r>
        <w:rPr>
          <w:color w:val="000000"/>
        </w:rPr>
        <w:t xml:space="preserve"> </w:t>
      </w:r>
    </w:p>
    <w:p>
      <w:pPr>
        <w:pStyle w:val="LOnormal"/>
        <w:rPr/>
      </w:pPr>
      <w:r>
        <w:rPr/>
      </w:r>
    </w:p>
    <w:p>
      <w:pPr>
        <w:pStyle w:val="LOnormal"/>
        <w:numPr>
          <w:ilvl w:val="1"/>
          <w:numId w:val="3"/>
        </w:numPr>
        <w:spacing w:lineRule="auto" w:line="276" w:before="120" w:after="120"/>
        <w:ind w:left="425" w:hanging="0"/>
        <w:jc w:val="both"/>
        <w:rPr/>
      </w:pPr>
      <w:r>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pPr>
        <w:pStyle w:val="LOnormal"/>
        <w:numPr>
          <w:ilvl w:val="1"/>
          <w:numId w:val="3"/>
        </w:numPr>
        <w:spacing w:lineRule="auto" w:line="276" w:before="120" w:after="120"/>
        <w:ind w:left="425" w:hanging="0"/>
        <w:jc w:val="both"/>
        <w:rPr/>
      </w:pPr>
      <w:r>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Onormal"/>
        <w:keepNext w:val="true"/>
        <w:keepLines/>
        <w:numPr>
          <w:ilvl w:val="0"/>
          <w:numId w:val="3"/>
        </w:numPr>
        <w:spacing w:lineRule="auto" w:line="276" w:before="480" w:after="0"/>
        <w:ind w:left="644" w:hanging="360"/>
        <w:jc w:val="both"/>
        <w:rPr>
          <w:b/>
          <w:b/>
          <w:color w:val="000000"/>
        </w:rPr>
      </w:pPr>
      <w:r>
        <w:rPr>
          <w:b/>
          <w:color w:val="000000"/>
        </w:rPr>
        <w:t>DO PAGAMENTO</w:t>
      </w:r>
    </w:p>
    <w:p>
      <w:pPr>
        <w:pStyle w:val="LOnormal"/>
        <w:numPr>
          <w:ilvl w:val="1"/>
          <w:numId w:val="3"/>
        </w:numPr>
        <w:spacing w:lineRule="auto" w:line="276" w:before="120" w:after="120"/>
        <w:ind w:left="425" w:hanging="0"/>
        <w:jc w:val="both"/>
        <w:rPr/>
      </w:pPr>
      <w:r>
        <w:rPr>
          <w:color w:val="000000"/>
        </w:rPr>
        <w:t xml:space="preserve">O </w:t>
      </w:r>
      <w:r>
        <w:rPr/>
        <w:t>pagamento</w:t>
      </w:r>
      <w:r>
        <w:rPr>
          <w:color w:val="000000"/>
        </w:rPr>
        <w:t xml:space="preserve"> será efetuado pela Contratante no prazo de </w:t>
      </w:r>
      <w:r>
        <w:rPr/>
        <w:t>30</w:t>
      </w:r>
      <w:r>
        <w:rPr>
          <w:color w:val="000000"/>
        </w:rPr>
        <w:t xml:space="preserve">(trinta) dias, contados do recebimento da Nota Fiscal/Fatura. </w:t>
      </w:r>
    </w:p>
    <w:p>
      <w:pPr>
        <w:pStyle w:val="LOnormal"/>
        <w:numPr>
          <w:ilvl w:val="2"/>
          <w:numId w:val="3"/>
        </w:numPr>
        <w:spacing w:lineRule="auto" w:line="276" w:before="120" w:after="120"/>
        <w:jc w:val="both"/>
        <w:rPr/>
      </w:pPr>
      <w:r>
        <w:rPr>
          <w:color w:val="000000"/>
        </w:rPr>
        <w:t xml:space="preserve">Os </w:t>
      </w:r>
      <w:r>
        <w:rPr/>
        <w:t xml:space="preserve">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w:t>
      </w:r>
      <w:r>
        <w:rPr>
          <w:color w:val="000000"/>
        </w:rPr>
        <w:t>de 1993.</w:t>
      </w:r>
    </w:p>
    <w:p>
      <w:pPr>
        <w:pStyle w:val="LOnormal"/>
        <w:numPr>
          <w:ilvl w:val="1"/>
          <w:numId w:val="3"/>
        </w:numPr>
        <w:spacing w:lineRule="auto" w:line="276" w:before="120" w:after="120"/>
        <w:ind w:left="425" w:hanging="0"/>
        <w:jc w:val="both"/>
        <w:rPr/>
      </w:pPr>
      <w:r>
        <w:rPr/>
        <w:t>A emissão da Nota Fiscal/Fatura será precedida do recebimento definitivo do serviço, conforme este Termo de Referência</w:t>
      </w:r>
    </w:p>
    <w:p>
      <w:pPr>
        <w:pStyle w:val="LOnormal"/>
        <w:numPr>
          <w:ilvl w:val="1"/>
          <w:numId w:val="3"/>
        </w:numPr>
        <w:spacing w:lineRule="auto" w:line="276" w:before="120" w:after="120"/>
        <w:ind w:left="425" w:hanging="0"/>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LOnormal"/>
        <w:numPr>
          <w:ilvl w:val="2"/>
          <w:numId w:val="3"/>
        </w:numPr>
        <w:spacing w:lineRule="auto" w:line="276" w:before="120" w:after="120"/>
        <w:jc w:val="both"/>
        <w:rPr/>
      </w:pPr>
      <w:r>
        <w:rPr>
          <w:color w:val="000000"/>
        </w:rPr>
        <w:t>Constatando-se, junto ao SICAF, a situação de irregularidade do fornecedor contratado, deverão ser tomadas as providências previstas no art. 31 da Instrução Normativa nº 3, de 26 de abril de 2018.</w:t>
      </w:r>
    </w:p>
    <w:p>
      <w:pPr>
        <w:pStyle w:val="LOnormal"/>
        <w:numPr>
          <w:ilvl w:val="1"/>
          <w:numId w:val="3"/>
        </w:numPr>
        <w:spacing w:lineRule="auto" w:line="276" w:before="120" w:after="120"/>
        <w:ind w:left="425" w:hanging="0"/>
        <w:jc w:val="both"/>
        <w:rPr>
          <w:color w:val="000000"/>
        </w:rPr>
      </w:pPr>
      <w:r>
        <w:rPr>
          <w:color w:val="000000"/>
        </w:rPr>
        <w:t xml:space="preserve">O setor competente para proceder o pagamento deve verificar se a Nota Fiscal ou Fatura apresentada expressa os elementos necessários e essenciais do documento, tais como: </w:t>
      </w:r>
    </w:p>
    <w:p>
      <w:pPr>
        <w:pStyle w:val="LOnormal"/>
        <w:numPr>
          <w:ilvl w:val="2"/>
          <w:numId w:val="3"/>
        </w:numPr>
        <w:spacing w:lineRule="auto" w:line="276" w:before="120" w:after="120"/>
        <w:jc w:val="both"/>
        <w:rPr/>
      </w:pPr>
      <w:r>
        <w:rPr>
          <w:color w:val="000000"/>
        </w:rPr>
        <w:t xml:space="preserve">o prazo de validade; </w:t>
      </w:r>
    </w:p>
    <w:p>
      <w:pPr>
        <w:pStyle w:val="LOnormal"/>
        <w:numPr>
          <w:ilvl w:val="2"/>
          <w:numId w:val="3"/>
        </w:numPr>
        <w:spacing w:lineRule="auto" w:line="276" w:before="120" w:after="120"/>
        <w:jc w:val="both"/>
        <w:rPr/>
      </w:pPr>
      <w:r>
        <w:rPr>
          <w:color w:val="000000"/>
        </w:rPr>
        <w:t xml:space="preserve">a data da emissão; </w:t>
      </w:r>
    </w:p>
    <w:p>
      <w:pPr>
        <w:pStyle w:val="LOnormal"/>
        <w:numPr>
          <w:ilvl w:val="2"/>
          <w:numId w:val="3"/>
        </w:numPr>
        <w:spacing w:lineRule="auto" w:line="276" w:before="120" w:after="120"/>
        <w:jc w:val="both"/>
        <w:rPr/>
      </w:pPr>
      <w:r>
        <w:rPr>
          <w:color w:val="000000"/>
        </w:rPr>
        <w:t xml:space="preserve">os dados do contrato e do órgão contratante; </w:t>
      </w:r>
    </w:p>
    <w:p>
      <w:pPr>
        <w:pStyle w:val="LOnormal"/>
        <w:numPr>
          <w:ilvl w:val="2"/>
          <w:numId w:val="3"/>
        </w:numPr>
        <w:spacing w:lineRule="auto" w:line="276" w:before="120" w:after="120"/>
        <w:jc w:val="both"/>
        <w:rPr/>
      </w:pPr>
      <w:r>
        <w:rPr>
          <w:color w:val="000000"/>
        </w:rPr>
        <w:t xml:space="preserve">o período de prestação dos serviços; </w:t>
      </w:r>
    </w:p>
    <w:p>
      <w:pPr>
        <w:pStyle w:val="LOnormal"/>
        <w:numPr>
          <w:ilvl w:val="2"/>
          <w:numId w:val="3"/>
        </w:numPr>
        <w:spacing w:lineRule="auto" w:line="276" w:before="120" w:after="120"/>
        <w:jc w:val="both"/>
        <w:rPr/>
      </w:pPr>
      <w:r>
        <w:rPr>
          <w:color w:val="000000"/>
        </w:rPr>
        <w:t xml:space="preserve">o valor a pagar; e </w:t>
      </w:r>
    </w:p>
    <w:p>
      <w:pPr>
        <w:pStyle w:val="LOnormal"/>
        <w:numPr>
          <w:ilvl w:val="2"/>
          <w:numId w:val="3"/>
        </w:numPr>
        <w:spacing w:lineRule="auto" w:line="276" w:before="120" w:after="120"/>
        <w:jc w:val="both"/>
        <w:rPr/>
      </w:pPr>
      <w:r>
        <w:rPr>
          <w:color w:val="000000"/>
        </w:rPr>
        <w:t>eventual destaque do valor de retenções tributárias cabíveis.</w:t>
      </w:r>
    </w:p>
    <w:p>
      <w:pPr>
        <w:pStyle w:val="LOnormal"/>
        <w:numPr>
          <w:ilvl w:val="1"/>
          <w:numId w:val="3"/>
        </w:numPr>
        <w:spacing w:lineRule="auto" w:line="276" w:before="120" w:after="120"/>
        <w:ind w:left="425" w:hanging="0"/>
        <w:jc w:val="both"/>
        <w:rPr/>
      </w:pPr>
      <w:r>
        <w:rPr/>
        <w:t xml:space="preserve">Havendo erro </w:t>
      </w:r>
      <w:r>
        <w:rPr>
          <w:color w:val="000000"/>
        </w:rPr>
        <w:t>na</w:t>
      </w:r>
      <w:r>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LOnormal"/>
        <w:numPr>
          <w:ilvl w:val="1"/>
          <w:numId w:val="3"/>
        </w:numPr>
        <w:spacing w:lineRule="auto" w:line="276" w:before="120" w:after="120"/>
        <w:ind w:left="425" w:hanging="0"/>
        <w:jc w:val="both"/>
        <w:rPr/>
      </w:pPr>
      <w:r>
        <w:rPr/>
        <w:t xml:space="preserve">Nos termos do item 1, do Anexo VIII-A da Instrução Normativa SEGES/MP nº 05, de 2017, será </w:t>
      </w:r>
      <w:r>
        <w:rPr>
          <w:color w:val="000000"/>
        </w:rPr>
        <w:t>efetuada</w:t>
      </w:r>
      <w:r>
        <w:rPr/>
        <w:t xml:space="preserve"> a retenção ou glosa no pagamento, proporcional à irregularidade verificada, sem prejuízo das sanções cabíveis, caso se constate que a Contratada:</w:t>
      </w:r>
    </w:p>
    <w:p>
      <w:pPr>
        <w:pStyle w:val="LOnormal"/>
        <w:numPr>
          <w:ilvl w:val="2"/>
          <w:numId w:val="3"/>
        </w:numPr>
        <w:spacing w:lineRule="auto" w:line="276" w:before="120" w:after="120"/>
        <w:jc w:val="both"/>
        <w:rPr/>
      </w:pPr>
      <w:r>
        <w:rPr>
          <w:color w:val="000000"/>
        </w:rPr>
        <w:t>não produziu os resultados acordados;</w:t>
      </w:r>
    </w:p>
    <w:p>
      <w:pPr>
        <w:pStyle w:val="LOnormal"/>
        <w:numPr>
          <w:ilvl w:val="2"/>
          <w:numId w:val="3"/>
        </w:numPr>
        <w:spacing w:lineRule="auto" w:line="276" w:before="120" w:after="120"/>
        <w:jc w:val="both"/>
        <w:rPr/>
      </w:pPr>
      <w:r>
        <w:rPr>
          <w:color w:val="000000"/>
        </w:rPr>
        <w:t>deixou de executar as atividades contratadas, ou não as executou com a qualidade mínima exigida;</w:t>
      </w:r>
    </w:p>
    <w:p>
      <w:pPr>
        <w:pStyle w:val="LOnormal"/>
        <w:numPr>
          <w:ilvl w:val="2"/>
          <w:numId w:val="3"/>
        </w:numPr>
        <w:spacing w:lineRule="auto" w:line="276" w:before="120" w:after="120"/>
        <w:jc w:val="both"/>
        <w:rPr/>
      </w:pPr>
      <w:r>
        <w:rPr>
          <w:color w:val="000000"/>
        </w:rPr>
        <w:t>deixou de utilizar os materiais e recursos humanos exigidos para a execução do serviço, ou utilizou-os com qualidade ou quantidade inferior à demandada.</w:t>
      </w:r>
    </w:p>
    <w:p>
      <w:pPr>
        <w:pStyle w:val="LOnormal"/>
        <w:numPr>
          <w:ilvl w:val="1"/>
          <w:numId w:val="3"/>
        </w:numPr>
        <w:spacing w:lineRule="auto" w:line="276" w:before="120" w:after="120"/>
        <w:ind w:left="425" w:hanging="0"/>
        <w:jc w:val="both"/>
        <w:rPr/>
      </w:pPr>
      <w:r>
        <w:rPr/>
        <w:t>Será considerada data do pagamento o dia em que constar como emitida a ordem bancária para pagamento.</w:t>
      </w:r>
    </w:p>
    <w:p>
      <w:pPr>
        <w:pStyle w:val="LOnormal"/>
        <w:numPr>
          <w:ilvl w:val="1"/>
          <w:numId w:val="3"/>
        </w:numPr>
        <w:spacing w:lineRule="auto" w:line="276" w:before="120" w:after="120"/>
        <w:ind w:left="425" w:hanging="0"/>
        <w:jc w:val="both"/>
        <w:rPr/>
      </w:pPr>
      <w:r>
        <w:rPr/>
        <w:t xml:space="preserve">Antes de cada pagamento à contratada, será realizada consulta ao SICAF para verificar a manutenção das condições de habilitação exigidas no edital. </w:t>
      </w:r>
    </w:p>
    <w:p>
      <w:pPr>
        <w:pStyle w:val="LOnormal"/>
        <w:numPr>
          <w:ilvl w:val="1"/>
          <w:numId w:val="3"/>
        </w:numPr>
        <w:spacing w:lineRule="auto" w:line="276" w:before="120" w:after="120"/>
        <w:ind w:left="425" w:hanging="0"/>
        <w:jc w:val="both"/>
        <w:rPr/>
      </w:pPr>
      <w:r>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Onormal"/>
        <w:numPr>
          <w:ilvl w:val="1"/>
          <w:numId w:val="3"/>
        </w:numPr>
        <w:spacing w:lineRule="auto" w:line="276" w:before="120" w:after="120"/>
        <w:ind w:left="425" w:hanging="0"/>
        <w:jc w:val="both"/>
        <w:rPr/>
      </w:pPr>
      <w:r>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Onormal"/>
        <w:numPr>
          <w:ilvl w:val="1"/>
          <w:numId w:val="3"/>
        </w:numPr>
        <w:spacing w:lineRule="auto" w:line="276" w:before="120" w:after="120"/>
        <w:ind w:left="425" w:hanging="0"/>
        <w:jc w:val="both"/>
        <w:rPr/>
      </w:pPr>
      <w: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Onormal"/>
        <w:numPr>
          <w:ilvl w:val="1"/>
          <w:numId w:val="3"/>
        </w:numPr>
        <w:spacing w:lineRule="auto" w:line="276" w:before="120" w:after="120"/>
        <w:ind w:left="425" w:hanging="0"/>
        <w:jc w:val="both"/>
        <w:rPr/>
      </w:pPr>
      <w:r>
        <w:rPr/>
        <w:t xml:space="preserve">Persistindo a irregularidade, a contratante deverá adotar as medidas necessárias à rescisão contratual nos autos do processo administrativo correspondente, assegurada à contratada a ampla defesa. </w:t>
      </w:r>
    </w:p>
    <w:p>
      <w:pPr>
        <w:pStyle w:val="LOnormal"/>
        <w:numPr>
          <w:ilvl w:val="1"/>
          <w:numId w:val="3"/>
        </w:numPr>
        <w:spacing w:lineRule="auto" w:line="276" w:before="120" w:after="120"/>
        <w:ind w:left="425" w:hanging="0"/>
        <w:jc w:val="both"/>
        <w:rPr/>
      </w:pPr>
      <w:r>
        <w:rPr/>
        <w:t xml:space="preserve">Havendo a efetiva execução do objeto, os pagamentos serão realizados normalmente, até que se decida pela rescisão do contrato, caso a contratada não regularize sua situação junto ao SICAF.  </w:t>
      </w:r>
    </w:p>
    <w:p>
      <w:pPr>
        <w:pStyle w:val="LOnormal"/>
        <w:numPr>
          <w:ilvl w:val="2"/>
          <w:numId w:val="3"/>
        </w:numPr>
        <w:spacing w:lineRule="auto" w:line="276" w:before="120" w:after="120"/>
        <w:jc w:val="both"/>
        <w:rPr/>
      </w:pPr>
      <w:r>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LOnormal"/>
        <w:numPr>
          <w:ilvl w:val="1"/>
          <w:numId w:val="3"/>
        </w:numPr>
        <w:spacing w:lineRule="auto" w:line="276" w:before="120" w:after="120"/>
        <w:ind w:left="425" w:hanging="0"/>
        <w:jc w:val="both"/>
        <w:rPr/>
      </w:pPr>
      <w:r>
        <w:rPr/>
        <w:t>Quando do pagamento, será efetuada a retenção tributária prevista na legislação aplicável, em especial a prevista no artigo 31 da Lei 8.212, de 1993, nos termos do item 6 do Anexo XI da IN SEGES/MP n. 5/2017, quando couber.</w:t>
      </w:r>
    </w:p>
    <w:p>
      <w:pPr>
        <w:pStyle w:val="LOnormal"/>
        <w:numPr>
          <w:ilvl w:val="1"/>
          <w:numId w:val="3"/>
        </w:numPr>
        <w:spacing w:lineRule="auto" w:line="276" w:before="120" w:after="120"/>
        <w:ind w:left="425" w:hanging="0"/>
        <w:jc w:val="both"/>
        <w:rPr/>
      </w:pPr>
      <w:r>
        <w:rPr/>
        <w:t>É vedado o pagamento, a qualquer título, por serviços prestados, à empresa privada que tenha em seu quadro societário servidor público da ativa do órgão contratante, com fundamento na Lei de Diretrizes Orçamentárias vigente.</w:t>
      </w:r>
    </w:p>
    <w:p>
      <w:pPr>
        <w:pStyle w:val="LOnormal"/>
        <w:numPr>
          <w:ilvl w:val="1"/>
          <w:numId w:val="3"/>
        </w:numPr>
        <w:spacing w:lineRule="auto" w:line="276" w:before="120" w:after="120"/>
        <w:ind w:left="425" w:hanging="0"/>
        <w:jc w:val="both"/>
        <w:rPr/>
      </w:pPr>
      <w:r>
        <w:rPr/>
        <w:t xml:space="preserve">  </w:t>
      </w:r>
      <w: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LOnormal"/>
        <w:spacing w:lineRule="auto" w:line="276"/>
        <w:ind w:left="426" w:firstLine="708"/>
        <w:jc w:val="both"/>
        <w:rPr/>
      </w:pPr>
      <w:r>
        <w:rPr/>
        <w:t>EM = I x N x VP, sendo:</w:t>
      </w:r>
    </w:p>
    <w:p>
      <w:pPr>
        <w:pStyle w:val="LOnormal"/>
        <w:tabs>
          <w:tab w:val="clear" w:pos="720"/>
          <w:tab w:val="left" w:pos="1701" w:leader="none"/>
        </w:tabs>
        <w:spacing w:lineRule="auto" w:line="276"/>
        <w:ind w:firstLine="1134"/>
        <w:jc w:val="both"/>
        <w:rPr>
          <w:color w:val="000000"/>
        </w:rPr>
      </w:pPr>
      <w:r>
        <w:rPr>
          <w:color w:val="000000"/>
        </w:rPr>
        <w:t>EM = Encargos moratórios;</w:t>
      </w:r>
    </w:p>
    <w:p>
      <w:pPr>
        <w:pStyle w:val="LOnormal"/>
        <w:tabs>
          <w:tab w:val="clear" w:pos="720"/>
          <w:tab w:val="left" w:pos="1701" w:leader="none"/>
        </w:tabs>
        <w:spacing w:lineRule="auto" w:line="276"/>
        <w:ind w:firstLine="1134"/>
        <w:jc w:val="both"/>
        <w:rPr>
          <w:color w:val="000000"/>
        </w:rPr>
      </w:pPr>
      <w:r>
        <w:rPr>
          <w:color w:val="000000"/>
        </w:rPr>
        <w:t>N = Número de dias entre a data prevista para o pagamento e a do efetivo pagamento;</w:t>
      </w:r>
    </w:p>
    <w:p>
      <w:pPr>
        <w:pStyle w:val="LOnormal"/>
        <w:tabs>
          <w:tab w:val="clear" w:pos="720"/>
          <w:tab w:val="left" w:pos="1701" w:leader="none"/>
        </w:tabs>
        <w:spacing w:lineRule="auto" w:line="276"/>
        <w:ind w:firstLine="1134"/>
        <w:jc w:val="both"/>
        <w:rPr>
          <w:color w:val="000000"/>
        </w:rPr>
      </w:pPr>
      <w:r>
        <w:rPr>
          <w:color w:val="000000"/>
        </w:rPr>
        <w:t>VP = Valor da parcela a ser paga.</w:t>
      </w:r>
    </w:p>
    <w:p>
      <w:pPr>
        <w:pStyle w:val="LOnormal"/>
        <w:tabs>
          <w:tab w:val="clear" w:pos="720"/>
          <w:tab w:val="left" w:pos="1701" w:leader="none"/>
        </w:tabs>
        <w:spacing w:lineRule="auto" w:line="276"/>
        <w:ind w:firstLine="1134"/>
        <w:jc w:val="both"/>
        <w:rPr>
          <w:color w:val="000000"/>
        </w:rPr>
      </w:pPr>
      <w:r>
        <w:rPr>
          <w:color w:val="000000"/>
        </w:rPr>
        <w:t>I = Índice de compensação financeira = 0,00016438, assim apurado:</w:t>
      </w:r>
    </w:p>
    <w:tbl>
      <w:tblPr>
        <w:tblW w:w="8646" w:type="dxa"/>
        <w:jc w:val="left"/>
        <w:tblInd w:w="425" w:type="dxa"/>
        <w:tblCellMar>
          <w:top w:w="0" w:type="dxa"/>
          <w:left w:w="108" w:type="dxa"/>
          <w:bottom w:w="0" w:type="dxa"/>
          <w:right w:w="108" w:type="dxa"/>
        </w:tblCellMar>
        <w:tblLook w:firstRow="0" w:noVBand="1" w:lastRow="0" w:firstColumn="0" w:lastColumn="0" w:noHBand="0" w:val="0400"/>
      </w:tblPr>
      <w:tblGrid>
        <w:gridCol w:w="2145"/>
        <w:gridCol w:w="443"/>
        <w:gridCol w:w="1248"/>
        <w:gridCol w:w="4809"/>
      </w:tblGrid>
      <w:tr>
        <w:trPr/>
        <w:tc>
          <w:tcPr>
            <w:tcW w:w="2145" w:type="dxa"/>
            <w:vMerge w:val="restart"/>
            <w:tcBorders/>
            <w:shd w:color="auto" w:fill="auto" w:val="clear"/>
            <w:vAlign w:val="center"/>
          </w:tcPr>
          <w:p>
            <w:pPr>
              <w:pStyle w:val="LOnormal"/>
              <w:tabs>
                <w:tab w:val="clear" w:pos="720"/>
                <w:tab w:val="left" w:pos="1701" w:leader="none"/>
              </w:tabs>
              <w:spacing w:lineRule="auto" w:line="276"/>
              <w:jc w:val="both"/>
              <w:rPr>
                <w:color w:val="000000"/>
              </w:rPr>
            </w:pPr>
            <w:r>
              <w:rPr>
                <w:color w:val="000000"/>
              </w:rPr>
              <w:t>I = (TX)</w:t>
            </w:r>
          </w:p>
        </w:tc>
        <w:tc>
          <w:tcPr>
            <w:tcW w:w="443" w:type="dxa"/>
            <w:vMerge w:val="restart"/>
            <w:tcBorders/>
            <w:shd w:color="auto" w:fill="auto" w:val="clear"/>
            <w:vAlign w:val="center"/>
          </w:tcPr>
          <w:p>
            <w:pPr>
              <w:pStyle w:val="LOnormal"/>
              <w:tabs>
                <w:tab w:val="clear" w:pos="720"/>
                <w:tab w:val="left" w:pos="1701" w:leader="none"/>
              </w:tabs>
              <w:spacing w:lineRule="auto" w:line="276"/>
              <w:jc w:val="both"/>
              <w:rPr>
                <w:color w:val="000000"/>
              </w:rPr>
            </w:pPr>
            <w:r>
              <w:rPr>
                <w:color w:val="000000"/>
              </w:rPr>
              <w:t xml:space="preserve">I = </w:t>
            </w:r>
          </w:p>
        </w:tc>
        <w:tc>
          <w:tcPr>
            <w:tcW w:w="1248" w:type="dxa"/>
            <w:tcBorders>
              <w:bottom w:val="single" w:sz="4" w:space="0" w:color="000000"/>
            </w:tcBorders>
            <w:shd w:color="auto" w:fill="auto" w:val="clear"/>
          </w:tcPr>
          <w:p>
            <w:pPr>
              <w:pStyle w:val="LOnormal"/>
              <w:tabs>
                <w:tab w:val="clear" w:pos="720"/>
                <w:tab w:val="left" w:pos="1701" w:leader="none"/>
              </w:tabs>
              <w:spacing w:lineRule="auto" w:line="276"/>
              <w:jc w:val="both"/>
              <w:rPr>
                <w:color w:val="000000"/>
              </w:rPr>
            </w:pPr>
            <w:r>
              <w:rPr>
                <w:color w:val="000000"/>
              </w:rPr>
              <w:t>( 6 / 100 )</w:t>
            </w:r>
          </w:p>
        </w:tc>
        <w:tc>
          <w:tcPr>
            <w:tcW w:w="4809" w:type="dxa"/>
            <w:vMerge w:val="restart"/>
            <w:tcBorders/>
            <w:shd w:color="auto" w:fill="auto" w:val="clear"/>
            <w:vAlign w:val="center"/>
          </w:tcPr>
          <w:p>
            <w:pPr>
              <w:pStyle w:val="LOnormal"/>
              <w:tabs>
                <w:tab w:val="clear" w:pos="720"/>
                <w:tab w:val="left" w:pos="1701" w:leader="none"/>
              </w:tabs>
              <w:spacing w:lineRule="auto" w:line="276"/>
              <w:ind w:left="742" w:hanging="0"/>
              <w:jc w:val="both"/>
              <w:rPr>
                <w:color w:val="000000"/>
              </w:rPr>
            </w:pPr>
            <w:r>
              <w:rPr>
                <w:color w:val="000000"/>
              </w:rPr>
              <w:t>I = 0,00016438</w:t>
            </w:r>
          </w:p>
          <w:p>
            <w:pPr>
              <w:pStyle w:val="LOnormal"/>
              <w:tabs>
                <w:tab w:val="clear" w:pos="720"/>
                <w:tab w:val="left" w:pos="1701" w:leader="none"/>
              </w:tabs>
              <w:spacing w:lineRule="auto" w:line="276"/>
              <w:ind w:left="742" w:hanging="0"/>
              <w:jc w:val="both"/>
              <w:rPr>
                <w:color w:val="000000"/>
              </w:rPr>
            </w:pPr>
            <w:r>
              <w:rPr>
                <w:color w:val="000000"/>
              </w:rPr>
              <w:t>TX = Percentual da taxa anual = 6%</w:t>
            </w:r>
          </w:p>
          <w:p>
            <w:pPr>
              <w:pStyle w:val="LOnormal"/>
              <w:tabs>
                <w:tab w:val="clear" w:pos="720"/>
                <w:tab w:val="left" w:pos="1701" w:leader="none"/>
              </w:tabs>
              <w:spacing w:lineRule="auto" w:line="276"/>
              <w:ind w:left="742" w:hanging="0"/>
              <w:jc w:val="both"/>
              <w:rPr>
                <w:color w:val="000000"/>
              </w:rPr>
            </w:pPr>
            <w:r>
              <w:rPr>
                <w:color w:val="000000"/>
              </w:rPr>
            </w:r>
          </w:p>
        </w:tc>
      </w:tr>
      <w:tr>
        <w:trPr/>
        <w:tc>
          <w:tcPr>
            <w:tcW w:w="2145" w:type="dxa"/>
            <w:vMerge w:val="continue"/>
            <w:tcBorders/>
            <w:shd w:color="auto" w:fill="auto" w:val="clear"/>
            <w:vAlign w:val="center"/>
          </w:tcPr>
          <w:p>
            <w:pPr>
              <w:pStyle w:val="LOnormal"/>
              <w:widowControl w:val="false"/>
              <w:spacing w:lineRule="auto" w:line="276"/>
              <w:rPr>
                <w:color w:val="000000"/>
              </w:rPr>
            </w:pPr>
            <w:r>
              <w:rPr>
                <w:color w:val="000000"/>
              </w:rPr>
            </w:r>
          </w:p>
        </w:tc>
        <w:tc>
          <w:tcPr>
            <w:tcW w:w="443" w:type="dxa"/>
            <w:vMerge w:val="continue"/>
            <w:tcBorders/>
            <w:shd w:color="auto" w:fill="auto" w:val="clear"/>
            <w:vAlign w:val="center"/>
          </w:tcPr>
          <w:p>
            <w:pPr>
              <w:pStyle w:val="LOnormal"/>
              <w:widowControl w:val="false"/>
              <w:spacing w:lineRule="auto" w:line="276"/>
              <w:rPr>
                <w:color w:val="000000"/>
              </w:rPr>
            </w:pPr>
            <w:r>
              <w:rPr>
                <w:color w:val="000000"/>
              </w:rPr>
            </w:r>
          </w:p>
        </w:tc>
        <w:tc>
          <w:tcPr>
            <w:tcW w:w="1248" w:type="dxa"/>
            <w:tcBorders>
              <w:top w:val="single" w:sz="4" w:space="0" w:color="000000"/>
            </w:tcBorders>
            <w:shd w:color="auto" w:fill="auto" w:val="clear"/>
          </w:tcPr>
          <w:p>
            <w:pPr>
              <w:pStyle w:val="LOnormal"/>
              <w:tabs>
                <w:tab w:val="clear" w:pos="720"/>
                <w:tab w:val="left" w:pos="1701" w:leader="none"/>
              </w:tabs>
              <w:spacing w:lineRule="auto" w:line="276"/>
              <w:jc w:val="both"/>
              <w:rPr>
                <w:color w:val="000000"/>
              </w:rPr>
            </w:pPr>
            <w:r>
              <w:rPr>
                <w:color w:val="000000"/>
              </w:rPr>
              <w:t>365</w:t>
            </w:r>
          </w:p>
        </w:tc>
        <w:tc>
          <w:tcPr>
            <w:tcW w:w="4809" w:type="dxa"/>
            <w:vMerge w:val="continue"/>
            <w:tcBorders/>
            <w:shd w:color="auto" w:fill="auto" w:val="clear"/>
            <w:vAlign w:val="center"/>
          </w:tcPr>
          <w:p>
            <w:pPr>
              <w:pStyle w:val="LOnormal"/>
              <w:widowControl w:val="false"/>
              <w:spacing w:lineRule="auto" w:line="276"/>
              <w:rPr>
                <w:color w:val="000000"/>
              </w:rPr>
            </w:pPr>
            <w:r>
              <w:rPr>
                <w:color w:val="000000"/>
              </w:rPr>
            </w:r>
          </w:p>
        </w:tc>
      </w:tr>
    </w:tbl>
    <w:p>
      <w:pPr>
        <w:pStyle w:val="LOnormal"/>
        <w:keepNext w:val="true"/>
        <w:keepLines/>
        <w:numPr>
          <w:ilvl w:val="0"/>
          <w:numId w:val="3"/>
        </w:numPr>
        <w:spacing w:lineRule="auto" w:line="276" w:before="480" w:after="0"/>
        <w:ind w:left="644" w:hanging="360"/>
        <w:jc w:val="both"/>
        <w:rPr>
          <w:b/>
          <w:b/>
          <w:color w:val="000000"/>
        </w:rPr>
      </w:pPr>
      <w:r>
        <w:rPr>
          <w:b/>
          <w:color w:val="000000"/>
        </w:rPr>
        <w:t>REAJUSTE</w:t>
      </w:r>
    </w:p>
    <w:p>
      <w:pPr>
        <w:pStyle w:val="LOnormal"/>
        <w:spacing w:lineRule="auto" w:line="276" w:before="120" w:after="0"/>
        <w:ind w:left="792" w:hanging="0"/>
        <w:jc w:val="both"/>
        <w:rPr>
          <w:color w:val="000000"/>
        </w:rPr>
      </w:pPr>
      <w:r>
        <w:rPr>
          <w:color w:val="000000"/>
        </w:rPr>
      </w:r>
    </w:p>
    <w:p>
      <w:pPr>
        <w:pStyle w:val="LOnormal"/>
        <w:numPr>
          <w:ilvl w:val="0"/>
          <w:numId w:val="0"/>
        </w:numPr>
        <w:spacing w:lineRule="auto" w:line="276"/>
        <w:ind w:left="792" w:hanging="0"/>
        <w:jc w:val="both"/>
        <w:rPr>
          <w:color w:val="000000"/>
        </w:rPr>
      </w:pPr>
      <w:r>
        <w:rPr>
          <w:color w:val="000000"/>
        </w:rPr>
        <w:t xml:space="preserve">17.1 </w:t>
      </w:r>
      <w:r>
        <w:rPr>
          <w:color w:val="000000"/>
        </w:rPr>
        <w:t>Os preços são fixos e irreajustáveis no prazo de um ano contado da data limite para a apresentação das propostas.</w:t>
      </w:r>
    </w:p>
    <w:p>
      <w:pPr>
        <w:pStyle w:val="LOnormal"/>
        <w:spacing w:lineRule="auto" w:line="276"/>
        <w:ind w:left="792" w:hanging="0"/>
        <w:jc w:val="both"/>
        <w:rPr>
          <w:color w:val="000000"/>
        </w:rPr>
      </w:pPr>
      <w:r>
        <w:rPr>
          <w:color w:val="000000"/>
        </w:rPr>
      </w:r>
    </w:p>
    <w:p>
      <w:pPr>
        <w:pStyle w:val="LOnormal"/>
        <w:numPr>
          <w:ilvl w:val="0"/>
          <w:numId w:val="0"/>
        </w:numPr>
        <w:spacing w:lineRule="auto" w:line="276" w:before="0" w:after="120"/>
        <w:ind w:left="1224" w:hanging="0"/>
        <w:jc w:val="both"/>
        <w:rPr>
          <w:color w:val="000000"/>
        </w:rPr>
      </w:pPr>
      <w:r>
        <w:rPr>
          <w:color w:val="000000"/>
        </w:rPr>
        <w:t xml:space="preserve">17.1.1 </w:t>
      </w:r>
      <w:r>
        <w:rPr>
          <w:color w:val="000000"/>
        </w:rPr>
        <w:t xml:space="preserve">Dentro do prazo de vigência do contrato e mediante solicitação da contratada, os preços contratados poderão sofrer reajuste após o interregno de um ano, aplicando-se o </w:t>
      </w:r>
      <w:r>
        <w:rPr/>
        <w:t>Índice de Preços ao Consumidor Amplo (IPCA)</w:t>
      </w:r>
      <w:r>
        <w:rPr>
          <w:color w:val="FF0000"/>
        </w:rPr>
        <w:t xml:space="preserve"> </w:t>
      </w:r>
      <w:r>
        <w:rPr>
          <w:color w:val="000000"/>
        </w:rPr>
        <w:t>exclusivamente para as obrigações iniciadas e concluídas após a ocorrência da anualidade.</w:t>
      </w:r>
    </w:p>
    <w:p>
      <w:pPr>
        <w:pStyle w:val="LOnormal"/>
        <w:numPr>
          <w:ilvl w:val="0"/>
          <w:numId w:val="0"/>
        </w:numPr>
        <w:spacing w:lineRule="auto" w:line="276" w:before="120" w:after="0"/>
        <w:ind w:left="792" w:hanging="0"/>
        <w:jc w:val="both"/>
        <w:rPr>
          <w:color w:val="000000"/>
        </w:rPr>
      </w:pPr>
      <w:r>
        <w:rPr>
          <w:color w:val="000000"/>
        </w:rPr>
        <w:t xml:space="preserve">17.2 </w:t>
      </w:r>
      <w:r>
        <w:rPr>
          <w:color w:val="000000"/>
        </w:rPr>
        <w:t>Nos reajustes subsequentes ao primeiro, o interregno mínimo de um ano será contado a partir dos efeitos financeiros do último reajuste.</w:t>
      </w:r>
    </w:p>
    <w:p>
      <w:pPr>
        <w:pStyle w:val="LOnormal"/>
        <w:numPr>
          <w:ilvl w:val="0"/>
          <w:numId w:val="0"/>
        </w:numPr>
        <w:spacing w:lineRule="auto" w:line="276"/>
        <w:ind w:left="792" w:hanging="0"/>
        <w:jc w:val="both"/>
        <w:rPr>
          <w:color w:val="000000"/>
        </w:rPr>
      </w:pPr>
      <w:r>
        <w:rPr>
          <w:color w:val="000000"/>
        </w:rPr>
        <w:t xml:space="preserve">17.3 </w:t>
      </w:r>
      <w:r>
        <w:rPr>
          <w:color w:val="00000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Onormal"/>
        <w:numPr>
          <w:ilvl w:val="0"/>
          <w:numId w:val="0"/>
        </w:numPr>
        <w:spacing w:lineRule="auto" w:line="276"/>
        <w:ind w:left="792" w:hanging="0"/>
        <w:jc w:val="both"/>
        <w:rPr>
          <w:color w:val="000000"/>
        </w:rPr>
      </w:pPr>
      <w:r>
        <w:rPr>
          <w:color w:val="000000"/>
        </w:rPr>
        <w:t xml:space="preserve">17.4 </w:t>
      </w:r>
      <w:r>
        <w:rPr>
          <w:color w:val="000000"/>
        </w:rPr>
        <w:t>Nas aferições finais, o índice utilizado para reajuste será, obrigatoriamente, o definitivo.</w:t>
      </w:r>
    </w:p>
    <w:p>
      <w:pPr>
        <w:pStyle w:val="LOnormal"/>
        <w:numPr>
          <w:ilvl w:val="0"/>
          <w:numId w:val="0"/>
        </w:numPr>
        <w:spacing w:lineRule="auto" w:line="276"/>
        <w:ind w:left="792" w:hanging="0"/>
        <w:jc w:val="both"/>
        <w:rPr>
          <w:color w:val="000000"/>
        </w:rPr>
      </w:pPr>
      <w:r>
        <w:rPr>
          <w:color w:val="000000"/>
        </w:rPr>
        <w:t xml:space="preserve">17.5 </w:t>
      </w:r>
      <w:r>
        <w:rPr>
          <w:color w:val="000000"/>
        </w:rPr>
        <w:t>Caso o índice estabelecido para reajustamento venha a ser extinto ou de qualquer forma não possa mais ser utilizado, será adotado, em substituição, o que vier a ser determinado pela legislação então em vigor.</w:t>
      </w:r>
    </w:p>
    <w:p>
      <w:pPr>
        <w:pStyle w:val="LOnormal"/>
        <w:numPr>
          <w:ilvl w:val="0"/>
          <w:numId w:val="0"/>
        </w:numPr>
        <w:spacing w:lineRule="auto" w:line="276"/>
        <w:ind w:left="792" w:hanging="0"/>
        <w:jc w:val="both"/>
        <w:rPr>
          <w:color w:val="000000"/>
        </w:rPr>
      </w:pPr>
      <w:r>
        <w:rPr>
          <w:color w:val="000000"/>
        </w:rPr>
        <w:t xml:space="preserve">17.6 </w:t>
      </w:r>
      <w:r>
        <w:rPr>
          <w:color w:val="000000"/>
        </w:rPr>
        <w:t xml:space="preserve">Na ausência de previsão legal quanto ao índice substituto, as partes elegerão novo índice oficial, para reajustamento do preço do valor remanescente, por meio de termo aditivo. </w:t>
      </w:r>
    </w:p>
    <w:p>
      <w:pPr>
        <w:pStyle w:val="LOnormal"/>
        <w:numPr>
          <w:ilvl w:val="0"/>
          <w:numId w:val="0"/>
        </w:numPr>
        <w:spacing w:lineRule="auto" w:line="276" w:before="0" w:after="120"/>
        <w:ind w:left="792" w:hanging="0"/>
        <w:jc w:val="both"/>
        <w:rPr>
          <w:color w:val="000000"/>
        </w:rPr>
      </w:pPr>
      <w:r>
        <w:rPr>
          <w:color w:val="000000"/>
        </w:rPr>
        <w:t xml:space="preserve">17.7 </w:t>
      </w:r>
      <w:r>
        <w:rPr>
          <w:color w:val="000000"/>
        </w:rPr>
        <w:t>O reajuste será realizado por apostilamento.</w:t>
      </w:r>
    </w:p>
    <w:p>
      <w:pPr>
        <w:pStyle w:val="LOnormal"/>
        <w:keepNext w:val="true"/>
        <w:keepLines/>
        <w:numPr>
          <w:ilvl w:val="0"/>
          <w:numId w:val="0"/>
        </w:numPr>
        <w:spacing w:lineRule="auto" w:line="276" w:before="480" w:after="0"/>
        <w:ind w:left="360" w:hanging="0"/>
        <w:jc w:val="both"/>
        <w:rPr>
          <w:b/>
          <w:b/>
          <w:color w:val="000000"/>
        </w:rPr>
      </w:pPr>
      <w:r>
        <w:rPr>
          <w:b/>
          <w:color w:val="000000"/>
        </w:rPr>
        <w:t xml:space="preserve">18 </w:t>
      </w:r>
      <w:r>
        <w:rPr>
          <w:b/>
          <w:color w:val="000000"/>
        </w:rPr>
        <w:t>GARANTIA DA EXECUÇÃO</w:t>
      </w:r>
    </w:p>
    <w:p>
      <w:pPr>
        <w:pStyle w:val="LOnormal"/>
        <w:keepNext w:val="true"/>
        <w:keepLines/>
        <w:numPr>
          <w:ilvl w:val="1"/>
          <w:numId w:val="2"/>
        </w:numPr>
        <w:spacing w:lineRule="auto" w:line="276" w:before="480" w:after="0"/>
        <w:jc w:val="both"/>
        <w:rPr>
          <w:rFonts w:ascii="Arial" w:hAnsi="Arial" w:eastAsia="Arial" w:cs="Arial"/>
          <w:i w:val="false"/>
          <w:i w:val="false"/>
          <w:iCs w:val="false"/>
          <w:color w:val="auto"/>
          <w:kern w:val="0"/>
          <w:sz w:val="20"/>
          <w:szCs w:val="20"/>
          <w:lang w:val="pt-BR" w:eastAsia="zh-CN" w:bidi="hi-IN"/>
        </w:rPr>
      </w:pPr>
      <w:r>
        <w:rPr>
          <w:rFonts w:eastAsia="Arial" w:cs="Arial"/>
          <w:i w:val="false"/>
          <w:iCs w:val="false"/>
          <w:color w:val="auto"/>
          <w:kern w:val="0"/>
          <w:sz w:val="20"/>
          <w:szCs w:val="20"/>
          <w:lang w:val="pt-BR" w:eastAsia="zh-CN" w:bidi="hi-IN"/>
        </w:rPr>
        <w:t>Não haverá exigência de garantia contratual da execução, pelas razões abaixo justificadas:</w:t>
      </w:r>
    </w:p>
    <w:p>
      <w:pPr>
        <w:pStyle w:val="LOnormal"/>
        <w:keepNext w:val="true"/>
        <w:keepLines/>
        <w:spacing w:lineRule="auto" w:line="276" w:before="120" w:after="120"/>
        <w:ind w:left="1140" w:hanging="0"/>
        <w:jc w:val="both"/>
        <w:rPr>
          <w:rFonts w:ascii="Arial" w:hAnsi="Arial" w:eastAsia="Arial" w:cs="Arial"/>
          <w:color w:val="auto"/>
          <w:kern w:val="0"/>
          <w:sz w:val="20"/>
          <w:szCs w:val="20"/>
          <w:lang w:val="pt-BR" w:eastAsia="zh-CN" w:bidi="hi-IN"/>
        </w:rPr>
      </w:pPr>
      <w:r>
        <w:rPr>
          <w:rFonts w:eastAsia="Arial" w:cs="Arial"/>
          <w:color w:val="auto"/>
          <w:kern w:val="0"/>
          <w:sz w:val="20"/>
          <w:szCs w:val="20"/>
          <w:lang w:val="pt-BR" w:eastAsia="zh-CN" w:bidi="hi-IN"/>
        </w:rPr>
        <w:t>18</w:t>
      </w:r>
      <w:r>
        <w:rPr>
          <w:rFonts w:eastAsia="Arial" w:cs="Arial"/>
          <w:color w:val="auto"/>
          <w:kern w:val="0"/>
          <w:sz w:val="20"/>
          <w:szCs w:val="20"/>
          <w:lang w:val="pt-BR" w:eastAsia="zh-CN" w:bidi="hi-IN"/>
        </w:rPr>
        <w:t>.1.1 Os serviços objeto desta contratação tem um valor baixo, o que não implicará em risco de prejuízos considerados para administração, que terá outras formas de rever os prejuízos perante a inexecução do contrato, como por exemplos a convocação de outras empresas e aplicação de penalidades como a multa.</w:t>
      </w:r>
    </w:p>
    <w:p>
      <w:pPr>
        <w:pStyle w:val="LOnormal"/>
        <w:keepNext w:val="true"/>
        <w:keepLines/>
        <w:numPr>
          <w:ilvl w:val="0"/>
          <w:numId w:val="2"/>
        </w:numPr>
        <w:spacing w:lineRule="auto" w:line="276" w:before="480" w:after="0"/>
        <w:jc w:val="both"/>
        <w:rPr>
          <w:b/>
          <w:b/>
          <w:color w:val="000000"/>
        </w:rPr>
      </w:pPr>
      <w:r>
        <w:rPr>
          <w:rFonts w:eastAsia="Arial" w:cs="Arial"/>
          <w:b/>
          <w:color w:val="auto"/>
          <w:kern w:val="0"/>
          <w:sz w:val="20"/>
          <w:szCs w:val="20"/>
          <w:lang w:val="pt-BR" w:eastAsia="zh-CN" w:bidi="hi-IN"/>
        </w:rPr>
        <w:t>DAS SANÇÕES ADMINISTRATIVA</w:t>
      </w:r>
      <w:r>
        <w:rPr>
          <w:b/>
          <w:color w:val="000000"/>
        </w:rPr>
        <w:t>S</w:t>
      </w:r>
    </w:p>
    <w:p>
      <w:pPr>
        <w:pStyle w:val="LOnormal"/>
        <w:numPr>
          <w:ilvl w:val="1"/>
          <w:numId w:val="2"/>
        </w:numPr>
        <w:spacing w:lineRule="auto" w:line="276" w:before="120" w:after="120"/>
        <w:ind w:left="792" w:right="-30" w:hanging="432"/>
        <w:jc w:val="both"/>
        <w:rPr/>
      </w:pPr>
      <w:r>
        <w:rPr/>
        <w:t>Comete infração administrativa nos termos da Lei nº 10.520, de 2002, a CONTRATADA que:</w:t>
      </w:r>
    </w:p>
    <w:p>
      <w:pPr>
        <w:pStyle w:val="LOnormal"/>
        <w:numPr>
          <w:ilvl w:val="2"/>
          <w:numId w:val="2"/>
        </w:numPr>
        <w:spacing w:lineRule="auto" w:line="276" w:before="120" w:after="120"/>
        <w:ind w:left="1224" w:right="-30" w:hanging="504"/>
        <w:jc w:val="both"/>
        <w:rPr>
          <w:color w:val="000000"/>
        </w:rPr>
      </w:pPr>
      <w:r>
        <w:rPr>
          <w:color w:val="000000"/>
        </w:rPr>
        <w:t>inexecutar total ou parcialmente qualquer das obrigações assumidas em decorrência da contratação;</w:t>
      </w:r>
    </w:p>
    <w:p>
      <w:pPr>
        <w:pStyle w:val="LOnormal"/>
        <w:numPr>
          <w:ilvl w:val="2"/>
          <w:numId w:val="2"/>
        </w:numPr>
        <w:spacing w:lineRule="auto" w:line="276" w:before="120" w:after="120"/>
        <w:ind w:left="1224" w:right="-30" w:hanging="504"/>
        <w:jc w:val="both"/>
        <w:rPr>
          <w:color w:val="000000"/>
        </w:rPr>
      </w:pPr>
      <w:r>
        <w:rPr>
          <w:color w:val="000000"/>
        </w:rPr>
        <w:t>ensejar o retardamento da execução do objeto;</w:t>
      </w:r>
    </w:p>
    <w:p>
      <w:pPr>
        <w:pStyle w:val="LOnormal"/>
        <w:numPr>
          <w:ilvl w:val="2"/>
          <w:numId w:val="2"/>
        </w:numPr>
        <w:spacing w:lineRule="auto" w:line="276" w:before="120" w:after="120"/>
        <w:ind w:left="1224" w:right="-30" w:hanging="504"/>
        <w:jc w:val="both"/>
        <w:rPr>
          <w:color w:val="000000"/>
        </w:rPr>
      </w:pPr>
      <w:r>
        <w:rPr>
          <w:color w:val="000000"/>
        </w:rPr>
        <w:t>falhar ou fraudar na execução do contrato;</w:t>
      </w:r>
    </w:p>
    <w:p>
      <w:pPr>
        <w:pStyle w:val="LOnormal"/>
        <w:numPr>
          <w:ilvl w:val="2"/>
          <w:numId w:val="2"/>
        </w:numPr>
        <w:spacing w:lineRule="auto" w:line="276" w:before="120" w:after="120"/>
        <w:ind w:left="1224" w:right="-30" w:hanging="504"/>
        <w:jc w:val="both"/>
        <w:rPr>
          <w:color w:val="000000"/>
        </w:rPr>
      </w:pPr>
      <w:r>
        <w:rPr>
          <w:color w:val="000000"/>
        </w:rPr>
        <w:t>comportar-se de modo inidôneo; ou</w:t>
      </w:r>
    </w:p>
    <w:p>
      <w:pPr>
        <w:pStyle w:val="LOnormal"/>
        <w:numPr>
          <w:ilvl w:val="2"/>
          <w:numId w:val="2"/>
        </w:numPr>
        <w:spacing w:lineRule="auto" w:line="276" w:before="120" w:after="120"/>
        <w:ind w:left="1224" w:right="-30" w:hanging="504"/>
        <w:jc w:val="both"/>
        <w:rPr>
          <w:color w:val="000000"/>
        </w:rPr>
      </w:pPr>
      <w:r>
        <w:rPr>
          <w:color w:val="000000"/>
        </w:rPr>
        <w:t>cometer fraude fiscal.</w:t>
      </w:r>
    </w:p>
    <w:p>
      <w:pPr>
        <w:pStyle w:val="LOnormal"/>
        <w:numPr>
          <w:ilvl w:val="1"/>
          <w:numId w:val="2"/>
        </w:numPr>
        <w:spacing w:lineRule="auto" w:line="276" w:before="120" w:after="120"/>
        <w:ind w:left="792" w:right="-30" w:hanging="432"/>
        <w:jc w:val="both"/>
        <w:rPr/>
      </w:pPr>
      <w:r>
        <w:rPr/>
        <w:t xml:space="preserve">Pela inexecução </w:t>
      </w:r>
      <w:r>
        <w:rPr>
          <w:u w:val="single"/>
        </w:rPr>
        <w:t>total ou parcial</w:t>
      </w:r>
      <w:r>
        <w:rPr/>
        <w:t xml:space="preserve"> do objeto deste contrato, a Administração pode aplicar à CONTRATADA as seguintes sanções:</w:t>
      </w:r>
    </w:p>
    <w:p>
      <w:pPr>
        <w:pStyle w:val="LOnormal"/>
        <w:numPr>
          <w:ilvl w:val="2"/>
          <w:numId w:val="2"/>
        </w:numPr>
        <w:spacing w:lineRule="auto" w:line="276" w:before="120" w:after="120"/>
        <w:ind w:left="1224" w:right="-30" w:hanging="504"/>
        <w:jc w:val="both"/>
        <w:rPr>
          <w:color w:val="000000"/>
        </w:rPr>
      </w:pPr>
      <w:r>
        <w:rPr>
          <w:b/>
          <w:color w:val="000000"/>
        </w:rPr>
        <w:t>Advertência por escrito</w:t>
      </w:r>
      <w:r>
        <w:rPr>
          <w:color w:val="000000"/>
        </w:rPr>
        <w:t>, quando do não cumprimento de quaisquer das obrigações contratuais consideradas faltas leves, assim entendidas aquelas que não acarretam prejuízos significativos para o serviço contratado;</w:t>
      </w:r>
    </w:p>
    <w:p>
      <w:pPr>
        <w:pStyle w:val="LOnormal"/>
        <w:numPr>
          <w:ilvl w:val="2"/>
          <w:numId w:val="2"/>
        </w:numPr>
        <w:spacing w:lineRule="auto" w:line="276" w:before="120" w:after="120"/>
        <w:ind w:left="1224" w:right="-30" w:hanging="504"/>
        <w:jc w:val="both"/>
        <w:rPr>
          <w:color w:val="000000"/>
        </w:rPr>
      </w:pPr>
      <w:r>
        <w:rPr>
          <w:b/>
          <w:color w:val="000000"/>
        </w:rPr>
        <w:t>Multa de</w:t>
      </w:r>
      <w:r>
        <w:rPr>
          <w:color w:val="000000"/>
        </w:rPr>
        <w:t xml:space="preserve">: </w:t>
      </w:r>
    </w:p>
    <w:p>
      <w:pPr>
        <w:pStyle w:val="LOnormal"/>
        <w:numPr>
          <w:ilvl w:val="3"/>
          <w:numId w:val="2"/>
        </w:numPr>
        <w:spacing w:lineRule="auto" w:line="276" w:before="120" w:after="120"/>
        <w:ind w:left="1728" w:right="-30" w:hanging="648"/>
        <w:jc w:val="both"/>
        <w:rPr>
          <w:color w:val="000000"/>
        </w:rPr>
      </w:pPr>
      <w:r>
        <w:rPr>
          <w:color w:val="000000"/>
        </w:rPr>
        <w:t xml:space="preserve">0,1% (um décimo por cento) até 0,2% (dois décimos por cento) por dia sobre o valor adjudicado em caso de atraso na execução dos serviços, limitada a incidência a </w:t>
      </w:r>
      <w:r>
        <w:rPr/>
        <w:t>15 (quinze)</w:t>
      </w:r>
      <w:r>
        <w:rPr>
          <w:color w:val="00000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LOnormal"/>
        <w:numPr>
          <w:ilvl w:val="3"/>
          <w:numId w:val="2"/>
        </w:numPr>
        <w:spacing w:lineRule="auto" w:line="276" w:before="120" w:after="120"/>
        <w:ind w:left="1728" w:right="-30" w:hanging="648"/>
        <w:jc w:val="both"/>
        <w:rPr>
          <w:color w:val="000000"/>
        </w:rPr>
      </w:pPr>
      <w:r>
        <w:rPr>
          <w:color w:val="000000"/>
        </w:rPr>
        <w:t>0,1% (um décimo por cento) até 10% (dez por cento) sobre o valor adjudicado, em caso de atraso na execução do objeto, por período superior ao previsto no subitem acima, ou de inexecução parcial da obrigação assumida;</w:t>
      </w:r>
    </w:p>
    <w:p>
      <w:pPr>
        <w:pStyle w:val="LOnormal"/>
        <w:numPr>
          <w:ilvl w:val="3"/>
          <w:numId w:val="2"/>
        </w:numPr>
        <w:spacing w:lineRule="auto" w:line="276" w:before="120" w:after="120"/>
        <w:ind w:left="1728" w:right="-30" w:hanging="648"/>
        <w:jc w:val="both"/>
        <w:rPr>
          <w:color w:val="000000"/>
        </w:rPr>
      </w:pPr>
      <w:r>
        <w:rPr>
          <w:color w:val="000000"/>
        </w:rPr>
        <w:t>0,1% (um décimo por cento) até 15% (quinze por cento) sobre o valor adjudicado, em caso de inexecução total da obrigação assumida;</w:t>
      </w:r>
    </w:p>
    <w:p>
      <w:pPr>
        <w:pStyle w:val="LOnormal"/>
        <w:numPr>
          <w:ilvl w:val="3"/>
          <w:numId w:val="2"/>
        </w:numPr>
        <w:spacing w:lineRule="auto" w:line="276" w:before="120" w:after="120"/>
        <w:ind w:left="1728" w:right="-30" w:hanging="648"/>
        <w:jc w:val="both"/>
        <w:rPr>
          <w:color w:val="000000"/>
        </w:rPr>
      </w:pPr>
      <w:r>
        <w:rPr>
          <w:color w:val="000000"/>
        </w:rPr>
        <w:t xml:space="preserve">0,2% a 3,2% por dia sobre o valor mensal do contrato, conforme detalhamento constante das </w:t>
      </w:r>
      <w:r>
        <w:rPr>
          <w:b/>
          <w:color w:val="000000"/>
        </w:rPr>
        <w:t>tabelas 1 e 2</w:t>
      </w:r>
      <w:r>
        <w:rPr>
          <w:color w:val="000000"/>
        </w:rPr>
        <w:t>, abaixo; e</w:t>
      </w:r>
    </w:p>
    <w:p>
      <w:pPr>
        <w:pStyle w:val="LOnormal"/>
        <w:numPr>
          <w:ilvl w:val="3"/>
          <w:numId w:val="2"/>
        </w:numPr>
        <w:spacing w:lineRule="auto" w:line="276" w:before="120" w:after="120"/>
        <w:ind w:left="1728" w:right="-30" w:hanging="648"/>
        <w:jc w:val="both"/>
        <w:rPr>
          <w:color w:val="000000"/>
        </w:rPr>
      </w:pPr>
      <w:r>
        <w:rPr>
          <w:color w:val="00000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Onormal"/>
        <w:numPr>
          <w:ilvl w:val="3"/>
          <w:numId w:val="2"/>
        </w:numPr>
        <w:spacing w:lineRule="auto" w:line="276" w:before="120" w:after="120"/>
        <w:ind w:left="1728" w:right="-30" w:hanging="648"/>
        <w:jc w:val="both"/>
        <w:rPr>
          <w:color w:val="000000"/>
        </w:rPr>
      </w:pPr>
      <w:r>
        <w:rPr/>
        <w:t>As penalidades</w:t>
      </w:r>
      <w:r>
        <w:rPr>
          <w:color w:val="000000"/>
        </w:rPr>
        <w:t xml:space="preserve"> de multa decorrentes de fatos diversos serão consideradas independentes entre si.</w:t>
      </w:r>
    </w:p>
    <w:p>
      <w:pPr>
        <w:pStyle w:val="LOnormal"/>
        <w:numPr>
          <w:ilvl w:val="2"/>
          <w:numId w:val="2"/>
        </w:numPr>
        <w:spacing w:lineRule="auto" w:line="276" w:before="120" w:after="120"/>
        <w:ind w:left="1224" w:right="-30" w:hanging="504"/>
        <w:jc w:val="both"/>
        <w:rPr>
          <w:color w:val="000000"/>
        </w:rPr>
      </w:pPr>
      <w:r>
        <w:rPr>
          <w:color w:val="000000"/>
        </w:rPr>
        <w:t>Suspensão de licitar e impedimento de contratar com o órgão, entidade ou unidade administrativa pela qual a Administração Pública opera e atua concretamente, pelo prazo de até dois anos;</w:t>
      </w:r>
    </w:p>
    <w:p>
      <w:pPr>
        <w:pStyle w:val="LOnormal"/>
        <w:numPr>
          <w:ilvl w:val="2"/>
          <w:numId w:val="2"/>
        </w:numPr>
        <w:spacing w:lineRule="auto" w:line="276" w:before="120" w:after="120"/>
        <w:ind w:left="1224" w:right="-30" w:hanging="504"/>
        <w:jc w:val="both"/>
        <w:rPr>
          <w:color w:val="000000"/>
        </w:rPr>
      </w:pPr>
      <w:r>
        <w:rPr>
          <w:color w:val="000000"/>
        </w:rPr>
        <w:t>Sanção de impedimento de licitar e contratar com órgãos e entidades da União, com o consequente descredenciamento no SICAF pelo prazo de até cinco anos</w:t>
      </w:r>
    </w:p>
    <w:p>
      <w:pPr>
        <w:pStyle w:val="LOnormal"/>
        <w:numPr>
          <w:ilvl w:val="3"/>
          <w:numId w:val="2"/>
        </w:numPr>
        <w:spacing w:lineRule="auto" w:line="276" w:before="120" w:after="120"/>
        <w:ind w:left="1728" w:right="-30" w:hanging="648"/>
        <w:jc w:val="both"/>
        <w:rPr>
          <w:color w:val="000000"/>
        </w:rPr>
      </w:pPr>
      <w:r>
        <w:rPr>
          <w:color w:val="000000"/>
        </w:rPr>
        <w:t xml:space="preserve">A </w:t>
      </w:r>
      <w:r>
        <w:rPr/>
        <w:t>sanção</w:t>
      </w:r>
      <w:r>
        <w:rPr>
          <w:color w:val="000000"/>
        </w:rPr>
        <w:t xml:space="preserve"> de impedimento de licitar e contratar prevista neste subitem também é aplicável em quaisquer das hipóteses previstas como infração administrativa no subitem 19.1 deste Termo de Referência.</w:t>
      </w:r>
    </w:p>
    <w:p>
      <w:pPr>
        <w:pStyle w:val="LOnormal"/>
        <w:numPr>
          <w:ilvl w:val="2"/>
          <w:numId w:val="2"/>
        </w:numPr>
        <w:spacing w:lineRule="auto" w:line="276" w:before="120" w:after="120"/>
        <w:ind w:left="1224" w:right="-30" w:hanging="504"/>
        <w:jc w:val="both"/>
        <w:rPr>
          <w:color w:val="000000"/>
        </w:rPr>
      </w:pPr>
      <w:r>
        <w:rPr>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LOnormal"/>
        <w:numPr>
          <w:ilvl w:val="1"/>
          <w:numId w:val="2"/>
        </w:numPr>
        <w:spacing w:lineRule="auto" w:line="276" w:before="120" w:after="120"/>
        <w:ind w:left="792" w:right="-30" w:hanging="432"/>
        <w:jc w:val="both"/>
        <w:rPr/>
      </w:pPr>
      <w:r>
        <w:rPr/>
        <w:t>As sanções previstas nos subitens 19.2.1, 19.2.3, 19.2.4 e 19.2.5 poderão ser aplicadas à CONTRATADA juntamente com as de multa, descontando-a dos pagamentos a serem efetuados.</w:t>
      </w:r>
    </w:p>
    <w:p>
      <w:pPr>
        <w:pStyle w:val="LOnormal"/>
        <w:numPr>
          <w:ilvl w:val="1"/>
          <w:numId w:val="2"/>
        </w:numPr>
        <w:spacing w:lineRule="auto" w:line="276" w:before="120" w:after="120"/>
        <w:ind w:left="792" w:right="-30" w:hanging="432"/>
        <w:jc w:val="both"/>
        <w:rPr/>
      </w:pPr>
      <w:r>
        <w:rPr/>
        <w:t>Para efeito de aplicação de multas, às infrações são atribuídos graus, de acordo com as tabelas 1 e 2:</w:t>
      </w:r>
    </w:p>
    <w:p>
      <w:pPr>
        <w:pStyle w:val="LOnormal"/>
        <w:spacing w:lineRule="auto" w:line="276" w:before="120" w:after="120"/>
        <w:ind w:right="-30" w:hanging="0"/>
        <w:jc w:val="center"/>
        <w:rPr>
          <w:b/>
          <w:b/>
        </w:rPr>
      </w:pPr>
      <w:r>
        <w:rPr>
          <w:b/>
        </w:rPr>
        <w:t>Tabela 1</w:t>
      </w:r>
    </w:p>
    <w:tbl>
      <w:tblPr>
        <w:tblW w:w="9179" w:type="dxa"/>
        <w:jc w:val="left"/>
        <w:tblInd w:w="90" w:type="dxa"/>
        <w:tblCellMar>
          <w:top w:w="0" w:type="dxa"/>
          <w:left w:w="108" w:type="dxa"/>
          <w:bottom w:w="0" w:type="dxa"/>
          <w:right w:w="108" w:type="dxa"/>
        </w:tblCellMar>
        <w:tblLook w:firstRow="0" w:noVBand="0" w:lastRow="0" w:firstColumn="0" w:lastColumn="0" w:noHBand="0" w:val="0000"/>
      </w:tblPr>
      <w:tblGrid>
        <w:gridCol w:w="3575"/>
        <w:gridCol w:w="5603"/>
      </w:tblGrid>
      <w:tr>
        <w:trPr>
          <w:trHeight w:val="180" w:hRule="atLeast"/>
        </w:trPr>
        <w:tc>
          <w:tcPr>
            <w:tcW w:w="357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b/>
              </w:rPr>
              <w:t>GRAU</w:t>
            </w:r>
          </w:p>
        </w:tc>
        <w:tc>
          <w:tcPr>
            <w:tcW w:w="56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b/>
              </w:rPr>
              <w:t>CORRESPONDÊNCIA</w:t>
            </w:r>
          </w:p>
        </w:tc>
      </w:tr>
      <w:tr>
        <w:trPr/>
        <w:tc>
          <w:tcPr>
            <w:tcW w:w="3575"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1</w:t>
            </w:r>
          </w:p>
        </w:tc>
        <w:tc>
          <w:tcPr>
            <w:tcW w:w="5603"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0,2% ao dia sobre o valor mensal do contrato</w:t>
            </w:r>
          </w:p>
        </w:tc>
      </w:tr>
      <w:tr>
        <w:trPr/>
        <w:tc>
          <w:tcPr>
            <w:tcW w:w="3575"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2</w:t>
            </w:r>
          </w:p>
        </w:tc>
        <w:tc>
          <w:tcPr>
            <w:tcW w:w="5603"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0,4% ao dia sobre o valor mensal do contrato</w:t>
            </w:r>
          </w:p>
        </w:tc>
      </w:tr>
      <w:tr>
        <w:trPr/>
        <w:tc>
          <w:tcPr>
            <w:tcW w:w="3575"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3</w:t>
            </w:r>
          </w:p>
        </w:tc>
        <w:tc>
          <w:tcPr>
            <w:tcW w:w="5603"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0,8% ao dia sobre o valor mensal do contrato</w:t>
            </w:r>
          </w:p>
        </w:tc>
      </w:tr>
      <w:tr>
        <w:trPr/>
        <w:tc>
          <w:tcPr>
            <w:tcW w:w="3575"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4</w:t>
            </w:r>
          </w:p>
        </w:tc>
        <w:tc>
          <w:tcPr>
            <w:tcW w:w="5603"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1,6% ao dia sobre o valor mensal do contrato</w:t>
            </w:r>
          </w:p>
        </w:tc>
      </w:tr>
      <w:tr>
        <w:trPr/>
        <w:tc>
          <w:tcPr>
            <w:tcW w:w="3575"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5</w:t>
            </w:r>
          </w:p>
        </w:tc>
        <w:tc>
          <w:tcPr>
            <w:tcW w:w="5603"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3,2% ao dia sobre o valor mensal do contrato</w:t>
            </w:r>
          </w:p>
        </w:tc>
      </w:tr>
    </w:tbl>
    <w:p>
      <w:pPr>
        <w:pStyle w:val="LOnormal"/>
        <w:spacing w:lineRule="auto" w:line="276" w:before="120" w:after="120"/>
        <w:ind w:right="-30" w:hanging="0"/>
        <w:jc w:val="center"/>
        <w:rPr/>
      </w:pPr>
      <w:r>
        <w:rPr>
          <w:b/>
        </w:rPr>
        <w:t>Tabela 2</w:t>
      </w:r>
    </w:p>
    <w:tbl>
      <w:tblPr>
        <w:tblW w:w="9180" w:type="dxa"/>
        <w:jc w:val="left"/>
        <w:tblInd w:w="90" w:type="dxa"/>
        <w:tblCellMar>
          <w:top w:w="0" w:type="dxa"/>
          <w:left w:w="108" w:type="dxa"/>
          <w:bottom w:w="0" w:type="dxa"/>
          <w:right w:w="108" w:type="dxa"/>
        </w:tblCellMar>
        <w:tblLook w:firstRow="0" w:noVBand="0" w:lastRow="0" w:firstColumn="0" w:lastColumn="0" w:noHBand="0" w:val="0000"/>
      </w:tblPr>
      <w:tblGrid>
        <w:gridCol w:w="2238"/>
        <w:gridCol w:w="4982"/>
        <w:gridCol w:w="1960"/>
      </w:tblGrid>
      <w:tr>
        <w:trPr>
          <w:trHeight w:val="60" w:hRule="atLeast"/>
        </w:trPr>
        <w:tc>
          <w:tcPr>
            <w:tcW w:w="9180"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b/>
              </w:rPr>
              <w:t>INFRAÇÃO</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b/>
              </w:rPr>
              <w:t>ITEM</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b/>
              </w:rPr>
              <w:t>DESCRIÇÃO</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b/>
              </w:rPr>
              <w:t>GRAU</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1</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Permitir situação que crie a possibilidade de causar dano físico, lesão corporal ou conseqüências letais, por ocorrência;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05</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2</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Suspender ou interromper, salvo motivo de força maior ou caso fortuito, os serviços contratuais por dia e por unidade de atendimento;</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04</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3</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Manter funcionário sem qualificação para executar os serviços contratados, por empregado e por dia;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03</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4</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Recusar-se a executar serviço determinado pela fiscalização, por serviço e por dia;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02</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5</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Retirar funcionários ou encarregados do serviço durante o expediente, sem a anuência prévia do CONTRATANTE, por empregado e por dia;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03</w:t>
            </w:r>
          </w:p>
        </w:tc>
      </w:tr>
      <w:tr>
        <w:trPr>
          <w:trHeight w:val="225" w:hRule="atLeast"/>
        </w:trPr>
        <w:tc>
          <w:tcPr>
            <w:tcW w:w="9180" w:type="dxa"/>
            <w:gridSpan w:val="3"/>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b/>
              </w:rPr>
              <w:t>Para os itens a seguir, deixar de:</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6</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Registrar e controlar, diariamente, a assiduidade e a pontualidade de seu pessoal, por funcionário e por dia;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01</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7</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Cumprir determinação formal ou instrução complementar do órgão fiscalizador, por ocorrência;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02</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8</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Substituir empregado que se conduza de modo inconveniente ou não atenda às necessidades do serviço, por funcionário e por dia;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01</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9</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Cumprir quaisquer dos itens do Edital e seus Anexos não previstos nesta tabela de multas, após reincidência formalmente notificada pelo órgão fiscalizador, por item e por ocorrência;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03</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10</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Indicar e manter durante a execução do contrato os prepostos previstos no edital/contrato;</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01</w:t>
            </w:r>
          </w:p>
        </w:tc>
      </w:tr>
      <w:tr>
        <w:trPr/>
        <w:tc>
          <w:tcPr>
            <w:tcW w:w="22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11</w:t>
            </w:r>
          </w:p>
        </w:tc>
        <w:tc>
          <w:tcPr>
            <w:tcW w:w="4982" w:type="dxa"/>
            <w:tcBorders>
              <w:top w:val="single" w:sz="6" w:space="0" w:color="000000"/>
              <w:left w:val="single" w:sz="6" w:space="0" w:color="000000"/>
              <w:bottom w:val="single" w:sz="6" w:space="0" w:color="000000"/>
              <w:right w:val="single" w:sz="6" w:space="0" w:color="000000"/>
            </w:tcBorders>
            <w:shd w:color="auto" w:fill="auto" w:val="clear"/>
          </w:tcPr>
          <w:p>
            <w:pPr>
              <w:pStyle w:val="LOnormal"/>
              <w:spacing w:lineRule="auto" w:line="276" w:before="120" w:after="120"/>
              <w:ind w:right="-30" w:hanging="0"/>
              <w:jc w:val="center"/>
              <w:rPr/>
            </w:pPr>
            <w:r>
              <w:rPr/>
              <w:t>Providenciar treinamento para seus funcionários conforme previsto na relação de obrigações da CONTRATADA</w:t>
            </w:r>
          </w:p>
        </w:tc>
        <w:tc>
          <w:tcPr>
            <w:tcW w:w="1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LOnormal"/>
              <w:spacing w:lineRule="auto" w:line="276" w:before="120" w:after="120"/>
              <w:ind w:right="-30" w:hanging="0"/>
              <w:jc w:val="center"/>
              <w:rPr/>
            </w:pPr>
            <w:r>
              <w:rPr/>
              <w:t>01</w:t>
            </w:r>
          </w:p>
        </w:tc>
      </w:tr>
    </w:tbl>
    <w:p>
      <w:pPr>
        <w:pStyle w:val="LOnormal"/>
        <w:numPr>
          <w:ilvl w:val="1"/>
          <w:numId w:val="2"/>
        </w:numPr>
        <w:spacing w:lineRule="auto" w:line="276" w:before="120" w:after="120"/>
        <w:ind w:left="792" w:right="-30" w:hanging="432"/>
        <w:jc w:val="both"/>
        <w:rPr/>
      </w:pPr>
      <w:r>
        <w:rPr/>
        <w:t>Também ficam sujeitas às penalidades do art. 87, III e IV da Lei nº 8.666, de 1993, as empresas ou profissionais que:</w:t>
      </w:r>
    </w:p>
    <w:p>
      <w:pPr>
        <w:pStyle w:val="LOnormal"/>
        <w:numPr>
          <w:ilvl w:val="2"/>
          <w:numId w:val="2"/>
        </w:numPr>
        <w:spacing w:lineRule="auto" w:line="276" w:before="120" w:after="120"/>
        <w:ind w:left="1224" w:right="-30" w:hanging="504"/>
        <w:jc w:val="both"/>
        <w:rPr/>
      </w:pPr>
      <w:r>
        <w:rPr/>
        <w:t>tenham sofrido condenação definitiva por praticar, por meio dolosos, fraude fiscal no recolhimento de quaisquer tributos;</w:t>
      </w:r>
    </w:p>
    <w:p>
      <w:pPr>
        <w:pStyle w:val="LOnormal"/>
        <w:numPr>
          <w:ilvl w:val="2"/>
          <w:numId w:val="2"/>
        </w:numPr>
        <w:spacing w:lineRule="auto" w:line="276" w:before="120" w:after="120"/>
        <w:ind w:left="1224" w:right="-30" w:hanging="504"/>
        <w:jc w:val="both"/>
        <w:rPr/>
      </w:pPr>
      <w:r>
        <w:rPr/>
        <w:t>tenham praticado atos ilícitos visando a frustrar os objetivos da licitação;</w:t>
      </w:r>
    </w:p>
    <w:p>
      <w:pPr>
        <w:pStyle w:val="LOnormal"/>
        <w:numPr>
          <w:ilvl w:val="2"/>
          <w:numId w:val="2"/>
        </w:numPr>
        <w:spacing w:lineRule="auto" w:line="276" w:before="120" w:after="120"/>
        <w:ind w:left="1224" w:right="-30" w:hanging="504"/>
        <w:jc w:val="both"/>
        <w:rPr/>
      </w:pPr>
      <w:r>
        <w:rPr/>
        <w:t xml:space="preserve">demonstrem não possuir idoneidade para contratar com a Administração em virtude de atos ilícitos praticados. </w:t>
      </w:r>
    </w:p>
    <w:p>
      <w:pPr>
        <w:pStyle w:val="LOnormal"/>
        <w:numPr>
          <w:ilvl w:val="1"/>
          <w:numId w:val="2"/>
        </w:numPr>
        <w:spacing w:lineRule="auto" w:line="276" w:before="120" w:after="120"/>
        <w:ind w:left="792" w:right="-30" w:hanging="432"/>
        <w:jc w:val="both"/>
        <w:rPr/>
      </w:pPr>
      <w: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Onormal"/>
        <w:numPr>
          <w:ilvl w:val="1"/>
          <w:numId w:val="2"/>
        </w:numPr>
        <w:spacing w:lineRule="auto" w:line="276" w:before="120" w:after="120"/>
        <w:ind w:left="792" w:right="-30" w:hanging="432"/>
        <w:jc w:val="both"/>
        <w:rPr/>
      </w:pPr>
      <w:r>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LOnormal"/>
        <w:numPr>
          <w:ilvl w:val="2"/>
          <w:numId w:val="2"/>
        </w:numPr>
        <w:spacing w:lineRule="auto" w:line="276" w:before="120" w:after="120"/>
        <w:ind w:left="1224" w:right="-30" w:hanging="504"/>
        <w:jc w:val="both"/>
        <w:rPr/>
      </w:pPr>
      <w:r>
        <w:rPr/>
        <w:t>Caso a Contratante determine, a multa deverá ser recolhida no prazo máximo de 10 (dez) dias, a contar da data do recebimento da comunicação enviada pela autoridade competente.</w:t>
      </w:r>
    </w:p>
    <w:p>
      <w:pPr>
        <w:pStyle w:val="LOnormal"/>
        <w:numPr>
          <w:ilvl w:val="1"/>
          <w:numId w:val="2"/>
        </w:numPr>
        <w:spacing w:lineRule="auto" w:line="276" w:before="120" w:after="120"/>
        <w:ind w:left="792" w:right="-30" w:hanging="432"/>
        <w:jc w:val="both"/>
        <w:rPr/>
      </w:pPr>
      <w:r>
        <w:rPr/>
        <w:t>Caso o valor da multa não seja suficiente para cobrir os prejuízos causados pela conduta do licitante, a União ou Entidade poderá cobrar o valor remanescente judicialmente, conforme artigo 419 do Código Civil.</w:t>
      </w:r>
    </w:p>
    <w:p>
      <w:pPr>
        <w:pStyle w:val="LOnormal"/>
        <w:numPr>
          <w:ilvl w:val="1"/>
          <w:numId w:val="2"/>
        </w:numPr>
        <w:spacing w:lineRule="auto" w:line="276" w:before="120" w:after="120"/>
        <w:ind w:left="792" w:right="-30" w:hanging="432"/>
        <w:jc w:val="both"/>
        <w:rPr/>
      </w:pPr>
      <w:r>
        <w:rPr/>
        <w:t>A autoridade competente, na aplicação das sanções, levará em consideração a gravidade da conduta do infrator, o caráter educativo da pena, bem como o dano causado à Administração, observado o princípio da proporcionalidade.</w:t>
      </w:r>
    </w:p>
    <w:p>
      <w:pPr>
        <w:pStyle w:val="LOnormal"/>
        <w:numPr>
          <w:ilvl w:val="1"/>
          <w:numId w:val="2"/>
        </w:numPr>
        <w:spacing w:lineRule="auto" w:line="276" w:before="120" w:after="120"/>
        <w:jc w:val="both"/>
        <w:rPr>
          <w:color w:val="000000"/>
        </w:rPr>
      </w:pPr>
      <w:r>
        <w:rPr>
          <w:color w:val="00000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Onormal"/>
        <w:numPr>
          <w:ilvl w:val="1"/>
          <w:numId w:val="2"/>
        </w:numPr>
        <w:spacing w:lineRule="auto" w:line="276" w:before="120" w:after="12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LOnormal"/>
        <w:numPr>
          <w:ilvl w:val="1"/>
          <w:numId w:val="2"/>
        </w:numPr>
        <w:spacing w:lineRule="auto" w:line="276" w:before="120" w:after="12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Onormal"/>
        <w:numPr>
          <w:ilvl w:val="1"/>
          <w:numId w:val="2"/>
        </w:numPr>
        <w:spacing w:lineRule="auto" w:line="276" w:before="120" w:after="120"/>
        <w:ind w:left="792" w:right="-30" w:hanging="432"/>
        <w:jc w:val="both"/>
        <w:rPr/>
      </w:pPr>
      <w:r>
        <w:rPr/>
        <w:t>As penalidades serão obrigatoriamente registradas no SICAF.</w:t>
      </w:r>
    </w:p>
    <w:p>
      <w:pPr>
        <w:pStyle w:val="LOnormal"/>
        <w:spacing w:lineRule="auto" w:line="276" w:before="120" w:after="120"/>
        <w:jc w:val="both"/>
        <w:rPr>
          <w:i/>
          <w:i/>
        </w:rPr>
      </w:pPr>
      <w:r>
        <w:rPr>
          <w:i/>
        </w:rPr>
      </w:r>
    </w:p>
    <w:p>
      <w:pPr>
        <w:pStyle w:val="LOnormal"/>
        <w:numPr>
          <w:ilvl w:val="0"/>
          <w:numId w:val="2"/>
        </w:numPr>
        <w:spacing w:lineRule="auto" w:line="276" w:before="120" w:after="120"/>
        <w:ind w:left="360" w:right="-30" w:hanging="360"/>
        <w:jc w:val="both"/>
        <w:rPr>
          <w:b/>
          <w:b/>
          <w:color w:val="000000"/>
        </w:rPr>
      </w:pPr>
      <w:r>
        <w:rPr>
          <w:b/>
          <w:color w:val="000000"/>
        </w:rPr>
        <w:t>CRITÉRIOS DE SELEÇÃO DO FORNECEDOR.</w:t>
      </w:r>
    </w:p>
    <w:p>
      <w:pPr>
        <w:pStyle w:val="LOnormal"/>
        <w:numPr>
          <w:ilvl w:val="1"/>
          <w:numId w:val="2"/>
        </w:numPr>
        <w:spacing w:lineRule="auto" w:line="276" w:before="120" w:after="120"/>
        <w:ind w:left="792" w:right="-30" w:hanging="432"/>
        <w:jc w:val="both"/>
        <w:rPr/>
      </w:pPr>
      <w:r>
        <w:rPr/>
        <w:t>As exigências de habilitação jurídica e de regularidade fiscal e trabalhista são as usuais para a generalidade dos objetos, conforme disciplinado no edital.</w:t>
      </w:r>
    </w:p>
    <w:p>
      <w:pPr>
        <w:pStyle w:val="LOnormal"/>
        <w:numPr>
          <w:ilvl w:val="1"/>
          <w:numId w:val="2"/>
        </w:numPr>
        <w:spacing w:lineRule="auto" w:line="276" w:before="120" w:after="120"/>
        <w:ind w:left="792" w:right="-30" w:hanging="432"/>
        <w:jc w:val="both"/>
        <w:rPr/>
      </w:pPr>
      <w:r>
        <w:rPr/>
        <w:t>Os critérios de qualificação econômica a serem atendidos pelo fornecedor estão previstos no edital.</w:t>
      </w:r>
    </w:p>
    <w:p>
      <w:pPr>
        <w:pStyle w:val="LOnormal"/>
        <w:numPr>
          <w:ilvl w:val="1"/>
          <w:numId w:val="2"/>
        </w:numPr>
        <w:spacing w:lineRule="auto" w:line="276" w:before="120" w:after="120"/>
        <w:ind w:left="792" w:right="-30" w:hanging="432"/>
        <w:jc w:val="both"/>
        <w:rPr/>
      </w:pPr>
      <w:r>
        <w:rPr/>
        <w:t>Os critérios de qualificação técnica a serem atendidos pelo fornecedor serão:</w:t>
      </w:r>
    </w:p>
    <w:p>
      <w:pPr>
        <w:pStyle w:val="LOnormal"/>
        <w:numPr>
          <w:ilvl w:val="2"/>
          <w:numId w:val="2"/>
        </w:numPr>
        <w:spacing w:lineRule="auto" w:line="276" w:before="120" w:after="120"/>
        <w:ind w:left="1224" w:right="-30" w:hanging="504"/>
        <w:jc w:val="both"/>
        <w:rPr>
          <w:b/>
          <w:b/>
        </w:rPr>
      </w:pPr>
      <w:r>
        <w:rPr>
          <w:b/>
          <w:u w:val="single"/>
        </w:rPr>
        <w:t>A empresa a ser contratada deverá ter qualificação técnica para prestação do serviço de seguro de vida conforme características, quantidades e prazos compatíveis com a solução a ser contratada, por meio da apresentação de atestados fornecidos por pessoas jurídicas de direito público ou privado.</w:t>
      </w:r>
    </w:p>
    <w:p>
      <w:pPr>
        <w:pStyle w:val="LOnormal"/>
        <w:numPr>
          <w:ilvl w:val="2"/>
          <w:numId w:val="2"/>
        </w:numPr>
        <w:spacing w:lineRule="auto" w:line="276" w:before="120" w:after="120"/>
        <w:ind w:left="1224" w:right="-30" w:hanging="504"/>
        <w:jc w:val="both"/>
        <w:rPr>
          <w:b/>
          <w:b/>
        </w:rPr>
      </w:pPr>
      <w:r>
        <w:rPr>
          <w:b/>
          <w:u w:val="single"/>
        </w:rPr>
        <w:t>Os atestados referir-se-ão a contratos já concluídos ou já decorrido no mínimo um ano do início de sua execução, exceto se houver sido firmado para ser executado em prazo inferior, apenas aceito mediante a apresentação do contrato.</w:t>
      </w:r>
    </w:p>
    <w:p>
      <w:pPr>
        <w:pStyle w:val="LOnormal"/>
        <w:numPr>
          <w:ilvl w:val="2"/>
          <w:numId w:val="2"/>
        </w:numPr>
        <w:spacing w:lineRule="auto" w:line="276" w:before="120" w:after="120"/>
        <w:ind w:left="1224" w:right="-30" w:hanging="504"/>
        <w:jc w:val="both"/>
        <w:rPr>
          <w:b/>
          <w:b/>
        </w:rPr>
      </w:pPr>
      <w:r>
        <w:rPr>
          <w:b/>
          <w:u w:val="single"/>
        </w:rPr>
        <w:t>Deverão ser disponibilizadas todas as informações necessárias à comprovação da legitimidade dos atestados apresentados.</w:t>
      </w:r>
    </w:p>
    <w:p>
      <w:pPr>
        <w:pStyle w:val="LOnormal"/>
        <w:numPr>
          <w:ilvl w:val="2"/>
          <w:numId w:val="2"/>
        </w:numPr>
        <w:spacing w:lineRule="auto" w:line="276" w:before="120" w:after="120"/>
        <w:ind w:left="1224" w:right="-30" w:hanging="504"/>
        <w:jc w:val="both"/>
        <w:rPr>
          <w:b/>
          <w:b/>
        </w:rPr>
      </w:pPr>
      <w:r>
        <w:rPr>
          <w:b/>
          <w:u w:val="single"/>
        </w:rPr>
        <w:t>Deverá ser apresentado regularidade perante a Superintendência de Seguros Privados - SUSEP (número de registro na SUSEP).</w:t>
      </w:r>
    </w:p>
    <w:p>
      <w:pPr>
        <w:pStyle w:val="LOnormal"/>
        <w:numPr>
          <w:ilvl w:val="2"/>
          <w:numId w:val="2"/>
        </w:numPr>
        <w:spacing w:lineRule="auto" w:line="276" w:before="120" w:after="120"/>
        <w:ind w:left="1224" w:right="-30" w:hanging="504"/>
        <w:jc w:val="both"/>
        <w:rPr>
          <w:b/>
          <w:b/>
        </w:rPr>
      </w:pPr>
      <w:r>
        <w:rPr>
          <w:b/>
          <w:u w:val="single"/>
        </w:rPr>
        <w:t>Outros critérios de qualificação técnica que devem ser atendidos pela fornecedora estão previstos no edital.</w:t>
      </w:r>
    </w:p>
    <w:p>
      <w:pPr>
        <w:pStyle w:val="LOnormal"/>
        <w:spacing w:lineRule="auto" w:line="276" w:before="120" w:after="120"/>
        <w:ind w:left="720" w:right="-30" w:hanging="0"/>
        <w:jc w:val="both"/>
        <w:rPr>
          <w:color w:val="000000"/>
        </w:rPr>
      </w:pPr>
      <w:r>
        <w:rPr>
          <w:color w:val="000000"/>
        </w:rPr>
        <w:t>22.4 Os critérios de aceitabilidade de preços serão:</w:t>
      </w:r>
    </w:p>
    <w:p>
      <w:pPr>
        <w:pStyle w:val="LOnormal"/>
        <w:spacing w:lineRule="auto" w:line="276" w:before="120" w:after="120"/>
        <w:ind w:left="1224" w:right="-30" w:hanging="0"/>
        <w:jc w:val="both"/>
        <w:rPr>
          <w:b/>
          <w:b/>
          <w:bCs/>
          <w:color w:val="000000"/>
        </w:rPr>
      </w:pPr>
      <w:r>
        <w:rPr>
          <w:b w:val="false"/>
          <w:bCs w:val="false"/>
          <w:color w:val="000000"/>
        </w:rPr>
        <w:t>22.4.1</w:t>
      </w:r>
      <w:r>
        <w:rPr>
          <w:b/>
          <w:bCs/>
          <w:color w:val="000000"/>
        </w:rPr>
        <w:t xml:space="preserve"> Valor Global: </w:t>
      </w:r>
      <w:r>
        <w:rPr>
          <w:rFonts w:eastAsia="Garamond" w:cs="Garamond"/>
          <w:b w:val="false"/>
          <w:bCs w:val="false"/>
          <w:color w:val="000000"/>
          <w:sz w:val="20"/>
          <w:szCs w:val="20"/>
        </w:rPr>
        <w:t xml:space="preserve">R$ </w:t>
      </w:r>
      <w:r>
        <w:rPr>
          <w:rFonts w:eastAsia="Arial" w:cs="Arial"/>
          <w:b w:val="false"/>
          <w:bCs w:val="false"/>
          <w:color w:val="000000"/>
          <w:sz w:val="20"/>
          <w:szCs w:val="20"/>
        </w:rPr>
        <w:t>45.844,32</w:t>
      </w:r>
      <w:r>
        <w:rPr>
          <w:rFonts w:eastAsia="Garamond" w:cs="Garamond"/>
          <w:b w:val="false"/>
          <w:bCs w:val="false"/>
          <w:color w:val="000000"/>
          <w:sz w:val="20"/>
          <w:szCs w:val="20"/>
        </w:rPr>
        <w:t xml:space="preserve"> </w:t>
      </w:r>
      <w:r>
        <w:rPr>
          <w:rFonts w:eastAsia="Garamond" w:cs="Garamond"/>
          <w:b w:val="false"/>
          <w:bCs w:val="false"/>
          <w:color w:val="000000"/>
          <w:sz w:val="20"/>
          <w:szCs w:val="20"/>
        </w:rPr>
        <w:t>(Quarenta e cinco mil oitocentos e quarenta e quatro reais e trinta e dois centavos</w:t>
      </w:r>
      <w:r>
        <w:rPr>
          <w:rFonts w:eastAsia="Garamond" w:cs="Garamond"/>
          <w:b w:val="false"/>
          <w:bCs w:val="false"/>
          <w:color w:val="000000"/>
          <w:sz w:val="20"/>
          <w:szCs w:val="20"/>
        </w:rPr>
        <w:t xml:space="preserve">) </w:t>
      </w:r>
      <w:r>
        <w:rPr>
          <w:rFonts w:eastAsia="Garamond" w:cs="Garamond"/>
          <w:b w:val="false"/>
          <w:bCs w:val="false"/>
          <w:color w:val="000000"/>
          <w:sz w:val="20"/>
          <w:szCs w:val="20"/>
        </w:rPr>
        <w:t>em 24 meses.</w:t>
      </w:r>
      <w:r>
        <w:rPr>
          <w:rFonts w:eastAsia="Garamond" w:cs="Garamond"/>
          <w:b w:val="false"/>
          <w:bCs w:val="false"/>
          <w:color w:val="000000"/>
          <w:sz w:val="21"/>
          <w:szCs w:val="21"/>
        </w:rPr>
        <w:t xml:space="preserve"> </w:t>
      </w:r>
    </w:p>
    <w:p>
      <w:pPr>
        <w:pStyle w:val="LOnormal"/>
        <w:spacing w:lineRule="auto" w:line="276" w:before="120" w:after="120"/>
        <w:ind w:left="720" w:right="-30" w:hanging="0"/>
        <w:jc w:val="both"/>
        <w:rPr/>
      </w:pPr>
      <w:r>
        <w:rPr/>
        <w:t>22.4.3 O critério de julgamento da proposta é o menor preço global.</w:t>
      </w:r>
    </w:p>
    <w:p>
      <w:pPr>
        <w:pStyle w:val="LOnormal"/>
        <w:spacing w:lineRule="auto" w:line="276" w:before="120" w:after="120"/>
        <w:ind w:left="720" w:right="-30" w:hanging="0"/>
        <w:jc w:val="both"/>
        <w:rPr>
          <w:i/>
          <w:i/>
          <w:color w:val="000000"/>
          <w:highlight w:val="yellow"/>
        </w:rPr>
      </w:pPr>
      <w:r>
        <w:rPr/>
        <w:t>22.4.4 As regras de desempate entre propostas são as discriminadas no edital.</w:t>
      </w:r>
    </w:p>
    <w:p>
      <w:pPr>
        <w:pStyle w:val="LOnormal"/>
        <w:spacing w:lineRule="auto" w:line="276" w:before="120" w:after="120"/>
        <w:ind w:right="-30" w:hanging="0"/>
        <w:jc w:val="both"/>
        <w:rPr>
          <w:b/>
          <w:b/>
          <w:i/>
          <w:i/>
          <w:color w:val="FF0000"/>
        </w:rPr>
      </w:pPr>
      <w:r>
        <w:rPr>
          <w:b/>
        </w:rPr>
        <w:t xml:space="preserve">23. </w:t>
      </w:r>
      <w:r>
        <w:rPr>
          <w:b/>
          <w:color w:val="000000"/>
        </w:rPr>
        <w:t>ESTIMATIVA DE PREÇOS E PREÇOS REFERENCIAIS.</w:t>
      </w:r>
    </w:p>
    <w:p>
      <w:pPr>
        <w:pStyle w:val="LOnormal"/>
        <w:spacing w:lineRule="auto" w:line="276" w:before="120" w:after="120"/>
        <w:ind w:left="720" w:right="-30" w:hanging="0"/>
        <w:jc w:val="both"/>
        <w:rPr>
          <w:b/>
          <w:b/>
          <w:bCs/>
          <w:color w:val="000000"/>
        </w:rPr>
      </w:pPr>
      <w:r>
        <w:rPr>
          <w:rFonts w:eastAsia="Arial" w:cs="Arial"/>
          <w:b w:val="false"/>
          <w:bCs w:val="false"/>
          <w:i/>
          <w:color w:val="000000"/>
          <w:kern w:val="0"/>
          <w:sz w:val="20"/>
          <w:szCs w:val="20"/>
          <w:lang w:val="pt-BR" w:eastAsia="zh-CN" w:bidi="hi-IN"/>
        </w:rPr>
        <w:t xml:space="preserve">23.1 </w:t>
      </w:r>
      <w:r>
        <w:rPr>
          <w:rFonts w:eastAsia="Arial" w:cs="Arial"/>
          <w:b w:val="false"/>
          <w:bCs w:val="false"/>
          <w:i w:val="false"/>
          <w:iCs w:val="false"/>
          <w:color w:val="000000"/>
          <w:kern w:val="0"/>
          <w:sz w:val="20"/>
          <w:szCs w:val="20"/>
          <w:lang w:val="pt-BR" w:eastAsia="zh-CN" w:bidi="hi-IN"/>
        </w:rPr>
        <w:t>O custo estimado da contratação é de</w:t>
      </w:r>
      <w:r>
        <w:rPr>
          <w:rFonts w:eastAsia="Arial" w:cs="Arial"/>
          <w:b/>
          <w:bCs/>
          <w:i w:val="false"/>
          <w:iCs w:val="false"/>
          <w:color w:val="000000"/>
          <w:kern w:val="0"/>
          <w:sz w:val="20"/>
          <w:szCs w:val="20"/>
          <w:lang w:val="pt-BR" w:eastAsia="zh-CN" w:bidi="hi-IN"/>
        </w:rPr>
        <w:t xml:space="preserve"> R$ 45.844,32 </w:t>
      </w:r>
      <w:r>
        <w:rPr>
          <w:rFonts w:eastAsia="Arial" w:cs="Arial"/>
          <w:b/>
          <w:bCs/>
          <w:i w:val="false"/>
          <w:iCs w:val="false"/>
          <w:color w:val="000000"/>
          <w:kern w:val="0"/>
          <w:sz w:val="20"/>
          <w:szCs w:val="20"/>
          <w:lang w:val="pt-BR" w:eastAsia="zh-CN" w:bidi="hi-IN"/>
        </w:rPr>
        <w:t>(Quarenta e cinco mil oitocentos e quarenta e quatro reais e trinta e dois centavos</w:t>
      </w:r>
      <w:r>
        <w:rPr>
          <w:rFonts w:eastAsia="Arial" w:cs="Arial"/>
          <w:b/>
          <w:bCs/>
          <w:i w:val="false"/>
          <w:iCs w:val="false"/>
          <w:color w:val="000000"/>
          <w:kern w:val="0"/>
          <w:sz w:val="20"/>
          <w:szCs w:val="20"/>
          <w:lang w:val="pt-BR" w:eastAsia="zh-CN" w:bidi="hi-IN"/>
        </w:rPr>
        <w:t xml:space="preserve">) </w:t>
      </w:r>
      <w:r>
        <w:rPr>
          <w:rFonts w:eastAsia="Arial" w:cs="Arial"/>
          <w:b/>
          <w:bCs/>
          <w:i w:val="false"/>
          <w:iCs w:val="false"/>
          <w:color w:val="000000"/>
          <w:kern w:val="0"/>
          <w:sz w:val="20"/>
          <w:szCs w:val="20"/>
          <w:lang w:val="pt-BR" w:eastAsia="zh-CN" w:bidi="hi-IN"/>
        </w:rPr>
        <w:t>em 24 meses.</w:t>
      </w:r>
      <w:r>
        <w:rPr>
          <w:rFonts w:eastAsia="Garamond" w:cs="Garamond"/>
          <w:b w:val="false"/>
          <w:bCs w:val="false"/>
          <w:i w:val="false"/>
          <w:iCs w:val="false"/>
          <w:color w:val="000000"/>
          <w:sz w:val="21"/>
          <w:szCs w:val="21"/>
        </w:rPr>
        <w:t xml:space="preserve"> </w:t>
      </w:r>
    </w:p>
    <w:p>
      <w:pPr>
        <w:pStyle w:val="LOnormal"/>
        <w:spacing w:lineRule="auto" w:line="276" w:before="0" w:after="120"/>
        <w:ind w:left="432" w:right="-17" w:hanging="0"/>
        <w:jc w:val="both"/>
        <w:rPr>
          <w:b/>
          <w:b/>
        </w:rPr>
      </w:pPr>
      <w:r>
        <w:rPr>
          <w:b/>
        </w:rPr>
      </w:r>
    </w:p>
    <w:p>
      <w:pPr>
        <w:pStyle w:val="LOnormal"/>
        <w:spacing w:lineRule="auto" w:line="276" w:before="120" w:after="120"/>
        <w:ind w:right="-30" w:hanging="0"/>
        <w:jc w:val="both"/>
        <w:rPr>
          <w:b/>
          <w:b/>
          <w:color w:val="000000"/>
        </w:rPr>
      </w:pPr>
      <w:r>
        <w:rPr>
          <w:b/>
        </w:rPr>
        <w:t xml:space="preserve">24 </w:t>
      </w:r>
      <w:r>
        <w:rPr>
          <w:b/>
          <w:color w:val="000000"/>
        </w:rPr>
        <w:t>DOS RECURSOS ORÇAMENTÁRIOS.</w:t>
      </w:r>
    </w:p>
    <w:p>
      <w:pPr>
        <w:pStyle w:val="LOnormal"/>
        <w:spacing w:lineRule="auto" w:line="276" w:before="120" w:after="120"/>
        <w:ind w:right="-30" w:hanging="0"/>
        <w:jc w:val="both"/>
        <w:rPr>
          <w:b/>
          <w:b/>
          <w:color w:val="000000"/>
        </w:rPr>
      </w:pPr>
      <w:r>
        <w:rPr/>
        <w:t>24.1</w:t>
      </w:r>
      <w:r>
        <w:rPr/>
        <w:t xml:space="preserve"> </w:t>
      </w:r>
      <w:r>
        <w:rPr/>
        <w:t>A licitação será através do formato de SRP, não sendo obrigatório a Administração atestar dotação orçamentária antes da contratação dos serviços.</w:t>
      </w:r>
    </w:p>
    <w:p>
      <w:pPr>
        <w:pStyle w:val="Normal"/>
        <w:numPr>
          <w:ilvl w:val="0"/>
          <w:numId w:val="0"/>
        </w:numPr>
        <w:spacing w:lineRule="auto" w:line="276" w:before="120" w:after="120"/>
        <w:ind w:left="785" w:hanging="0"/>
        <w:jc w:val="both"/>
        <w:rPr>
          <w:rFonts w:cs="Arial"/>
          <w:color w:val="000000"/>
          <w:szCs w:val="20"/>
        </w:rPr>
      </w:pPr>
      <w:r>
        <w:rPr>
          <w:rFonts w:cs="Arial"/>
          <w:color w:val="000000"/>
          <w:szCs w:val="20"/>
        </w:rPr>
        <w:t>2</w:t>
      </w:r>
      <w:r>
        <w:rPr>
          <w:rFonts w:cs="Arial"/>
          <w:color w:val="000000"/>
          <w:szCs w:val="20"/>
        </w:rPr>
        <w:t>5</w:t>
      </w:r>
      <w:r>
        <w:rPr>
          <w:rFonts w:cs="Arial"/>
          <w:color w:val="000000"/>
          <w:szCs w:val="20"/>
        </w:rPr>
        <w:t xml:space="preserve">.12 </w:t>
      </w:r>
      <w:r>
        <w:rPr>
          <w:rFonts w:cs="Arial"/>
          <w:color w:val="000000"/>
          <w:szCs w:val="20"/>
        </w:rPr>
        <w:t>Integram este Edital, para todos os fins e efeitos, os seguintes anexos:</w:t>
      </w:r>
    </w:p>
    <w:p>
      <w:pPr>
        <w:pStyle w:val="Normal"/>
        <w:numPr>
          <w:ilvl w:val="0"/>
          <w:numId w:val="0"/>
        </w:numPr>
        <w:spacing w:lineRule="auto" w:line="276" w:before="120" w:after="120"/>
        <w:ind w:left="785" w:hanging="0"/>
        <w:jc w:val="both"/>
        <w:rPr>
          <w:rFonts w:cs="Arial"/>
          <w:color w:val="000000"/>
          <w:szCs w:val="20"/>
        </w:rPr>
      </w:pPr>
      <w:r>
        <w:rPr>
          <w:rFonts w:cs="Arial"/>
          <w:color w:val="000000"/>
          <w:szCs w:val="20"/>
        </w:rPr>
        <w:t>2</w:t>
      </w:r>
      <w:r>
        <w:rPr>
          <w:rFonts w:cs="Arial"/>
          <w:color w:val="000000"/>
          <w:szCs w:val="20"/>
        </w:rPr>
        <w:t>5</w:t>
      </w:r>
      <w:r>
        <w:rPr>
          <w:rFonts w:cs="Arial"/>
          <w:color w:val="000000"/>
          <w:szCs w:val="20"/>
        </w:rPr>
        <w:t xml:space="preserve">.12.1 </w:t>
      </w:r>
      <w:r>
        <w:rPr>
          <w:rFonts w:cs="Arial"/>
          <w:color w:val="000000"/>
          <w:szCs w:val="20"/>
        </w:rPr>
        <w:t>ANEXO I</w:t>
      </w:r>
      <w:r>
        <w:rPr>
          <w:rFonts w:cs="Arial"/>
          <w:color w:val="000000"/>
          <w:szCs w:val="20"/>
        </w:rPr>
        <w:t xml:space="preserve"> – </w:t>
      </w:r>
      <w:r>
        <w:rPr>
          <w:rFonts w:cs="Arial"/>
          <w:color w:val="000000"/>
          <w:szCs w:val="20"/>
        </w:rPr>
        <w:t>Termo de Referência;</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w:t>
      </w:r>
      <w:r>
        <w:rPr>
          <w:rFonts w:cs="Arial"/>
          <w:color w:val="000000"/>
          <w:szCs w:val="20"/>
        </w:rPr>
        <w:t>5</w:t>
      </w:r>
      <w:r>
        <w:rPr>
          <w:rFonts w:cs="Arial"/>
          <w:color w:val="000000"/>
          <w:szCs w:val="20"/>
        </w:rPr>
        <w:t>.12.1.1 ANEXO  I/A</w:t>
      </w:r>
      <w:r>
        <w:rPr>
          <w:rFonts w:cs="Arial"/>
          <w:color w:val="000000"/>
          <w:szCs w:val="20"/>
        </w:rPr>
        <w:t xml:space="preserve"> – </w:t>
      </w:r>
      <w:r>
        <w:rPr>
          <w:rFonts w:cs="Arial"/>
          <w:color w:val="000000"/>
          <w:szCs w:val="20"/>
        </w:rPr>
        <w:t>Estudo Técnico Preliminar</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w:t>
      </w:r>
      <w:r>
        <w:rPr>
          <w:rFonts w:cs="Arial"/>
          <w:color w:val="000000"/>
          <w:szCs w:val="20"/>
        </w:rPr>
        <w:t>5</w:t>
      </w:r>
      <w:r>
        <w:rPr>
          <w:rFonts w:cs="Arial"/>
          <w:color w:val="000000"/>
          <w:szCs w:val="20"/>
        </w:rPr>
        <w:t xml:space="preserve">.12.1.2 </w:t>
      </w:r>
      <w:r>
        <w:rPr>
          <w:rFonts w:eastAsia="Times New Roman" w:cs="Arial"/>
          <w:color w:val="000000"/>
          <w:kern w:val="0"/>
          <w:sz w:val="20"/>
          <w:szCs w:val="20"/>
          <w:lang w:val="pt-BR" w:eastAsia="pt-BR" w:bidi="ar-SA"/>
        </w:rPr>
        <w:t xml:space="preserve">ANEXO </w:t>
      </w:r>
      <w:r>
        <w:rPr>
          <w:rFonts w:cs="Arial"/>
          <w:color w:val="000000"/>
          <w:szCs w:val="20"/>
        </w:rPr>
        <w:t xml:space="preserve"> I/B</w:t>
      </w:r>
      <w:r>
        <w:rPr>
          <w:rFonts w:cs="Arial"/>
          <w:color w:val="000000"/>
          <w:szCs w:val="20"/>
        </w:rPr>
        <w:t xml:space="preserve"> – </w:t>
      </w:r>
      <w:r>
        <w:rPr>
          <w:rFonts w:cs="Arial"/>
          <w:color w:val="000000"/>
          <w:szCs w:val="20"/>
        </w:rPr>
        <w:t>Índice de Medição de Resultado - IMR</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w:t>
      </w:r>
      <w:r>
        <w:rPr>
          <w:rFonts w:cs="Arial"/>
          <w:color w:val="000000"/>
          <w:szCs w:val="20"/>
        </w:rPr>
        <w:t>5</w:t>
      </w:r>
      <w:r>
        <w:rPr>
          <w:rFonts w:cs="Arial"/>
          <w:color w:val="000000"/>
          <w:szCs w:val="20"/>
        </w:rPr>
        <w:t>.12.1.3</w:t>
      </w:r>
      <w:r>
        <w:rPr>
          <w:rFonts w:eastAsia="Times New Roman" w:cs="Arial"/>
          <w:color w:val="000000"/>
          <w:kern w:val="0"/>
          <w:sz w:val="20"/>
          <w:szCs w:val="20"/>
          <w:lang w:val="pt-BR" w:eastAsia="pt-BR" w:bidi="ar-SA"/>
        </w:rPr>
        <w:t xml:space="preserve"> ANEXO I</w:t>
      </w:r>
      <w:r>
        <w:rPr>
          <w:rFonts w:cs="Arial"/>
          <w:color w:val="000000"/>
          <w:szCs w:val="20"/>
        </w:rPr>
        <w:t>/C</w:t>
      </w:r>
      <w:r>
        <w:rPr>
          <w:rFonts w:cs="Arial"/>
          <w:color w:val="000000"/>
          <w:szCs w:val="20"/>
        </w:rPr>
        <w:t xml:space="preserve"> – </w:t>
      </w:r>
      <w:r>
        <w:rPr>
          <w:rFonts w:cs="Arial"/>
          <w:color w:val="000000"/>
          <w:szCs w:val="20"/>
        </w:rPr>
        <w:t>Planilha de Preço Máximo E</w:t>
      </w:r>
      <w:r>
        <w:rPr>
          <w:rFonts w:eastAsia="Times New Roman" w:cs="Arial"/>
          <w:color w:val="000000"/>
          <w:kern w:val="0"/>
          <w:sz w:val="20"/>
          <w:szCs w:val="20"/>
          <w:lang w:val="pt-BR" w:eastAsia="pt-BR" w:bidi="ar-SA"/>
        </w:rPr>
        <w:t>stimado</w:t>
      </w:r>
      <w:r>
        <w:rPr>
          <w:rFonts w:cs="Arial"/>
          <w:color w:val="000000"/>
          <w:szCs w:val="20"/>
        </w:rPr>
        <w:t xml:space="preserve"> pela Administração  </w:t>
      </w:r>
    </w:p>
    <w:p>
      <w:pPr>
        <w:pStyle w:val="LOnormal"/>
        <w:spacing w:lineRule="auto" w:line="276" w:before="120" w:after="120"/>
        <w:ind w:left="425" w:hanging="0"/>
        <w:jc w:val="both"/>
        <w:rPr>
          <w:i/>
          <w:i/>
        </w:rPr>
      </w:pPr>
      <w:r>
        <w:rPr>
          <w:i/>
        </w:rPr>
      </w:r>
    </w:p>
    <w:p>
      <w:pPr>
        <w:pStyle w:val="LOnormal"/>
        <w:spacing w:before="0" w:after="360"/>
        <w:ind w:left="360" w:hanging="0"/>
        <w:jc w:val="right"/>
        <w:rPr>
          <w:color w:val="FF0000"/>
        </w:rPr>
      </w:pPr>
      <w:r>
        <w:rPr/>
        <w:t xml:space="preserve"> </w:t>
      </w:r>
      <w:r>
        <w:rPr/>
        <w:t>Petrolina-P</w:t>
      </w:r>
      <w:r>
        <w:rPr>
          <w:color w:val="000000"/>
        </w:rPr>
        <w:t xml:space="preserve">E,  </w:t>
      </w:r>
      <w:r>
        <w:rPr>
          <w:color w:val="000000"/>
        </w:rPr>
        <w:t>.......</w:t>
      </w:r>
      <w:r>
        <w:rPr>
          <w:color w:val="000000"/>
        </w:rPr>
        <w:t xml:space="preserve"> de ……..…..</w:t>
      </w:r>
      <w:r>
        <w:rPr>
          <w:color w:val="000000"/>
        </w:rPr>
        <w:t>.........</w:t>
      </w:r>
      <w:r>
        <w:rPr>
          <w:color w:val="000000"/>
        </w:rPr>
        <w:t xml:space="preserve"> de 2021</w:t>
      </w:r>
      <w:r>
        <w:rPr>
          <w:color w:val="FF0000"/>
        </w:rPr>
        <w:t xml:space="preserve"> </w:t>
      </w:r>
    </w:p>
    <w:p>
      <w:pPr>
        <w:pStyle w:val="LOnormal"/>
        <w:spacing w:before="0" w:after="360"/>
        <w:rPr>
          <w:color w:val="FF0000"/>
        </w:rPr>
      </w:pPr>
      <w:r>
        <w:rPr>
          <w:color w:val="FF0000"/>
        </w:rPr>
      </w:r>
    </w:p>
    <w:p>
      <w:pPr>
        <w:pStyle w:val="LOnormal"/>
        <w:spacing w:lineRule="auto" w:line="240" w:before="0" w:after="132"/>
        <w:jc w:val="center"/>
        <w:rPr>
          <w:color w:val="000000"/>
        </w:rPr>
      </w:pPr>
      <w:r>
        <w:rPr>
          <w:color w:val="000000"/>
        </w:rPr>
        <w:t>_________________________________________________</w:t>
      </w:r>
    </w:p>
    <w:p>
      <w:pPr>
        <w:pStyle w:val="LOnormal"/>
        <w:spacing w:lineRule="auto" w:line="240" w:before="0" w:after="0"/>
        <w:ind w:left="360" w:hanging="0"/>
        <w:jc w:val="center"/>
        <w:rPr>
          <w:rFonts w:ascii="Arial" w:hAnsi="Arial" w:eastAsia="Arial" w:cs="Arial"/>
          <w:b/>
          <w:b/>
          <w:bCs/>
          <w:color w:val="000000"/>
          <w:kern w:val="0"/>
          <w:sz w:val="20"/>
          <w:szCs w:val="20"/>
          <w:lang w:val="pt-BR" w:eastAsia="zh-CN" w:bidi="hi-IN"/>
        </w:rPr>
      </w:pPr>
      <w:r>
        <w:rPr>
          <w:rFonts w:eastAsia="Arial" w:cs="Arial"/>
          <w:b/>
          <w:bCs/>
          <w:color w:val="000000"/>
          <w:kern w:val="0"/>
          <w:sz w:val="20"/>
          <w:szCs w:val="20"/>
          <w:lang w:val="pt-BR" w:eastAsia="zh-CN" w:bidi="hi-IN"/>
        </w:rPr>
        <w:t xml:space="preserve">Vitor </w:t>
      </w:r>
      <w:r>
        <w:rPr>
          <w:rFonts w:eastAsia="Arial" w:cs="Arial"/>
          <w:b/>
          <w:bCs/>
          <w:color w:val="000000"/>
          <w:kern w:val="0"/>
          <w:sz w:val="20"/>
          <w:szCs w:val="20"/>
          <w:lang w:val="pt-BR" w:eastAsia="zh-CN" w:bidi="hi-IN"/>
        </w:rPr>
        <w:t>Prates Lorenzo</w:t>
      </w:r>
    </w:p>
    <w:p>
      <w:pPr>
        <w:pStyle w:val="LOnormal"/>
        <w:spacing w:lineRule="auto" w:line="240" w:before="0" w:after="18"/>
        <w:ind w:left="360" w:hanging="0"/>
        <w:jc w:val="center"/>
        <w:rPr>
          <w:rFonts w:ascii="Arial" w:hAnsi="Arial" w:eastAsia="Arial" w:cs="Arial"/>
          <w:b/>
          <w:b/>
          <w:bCs/>
          <w:color w:val="000000"/>
          <w:kern w:val="0"/>
          <w:sz w:val="20"/>
          <w:szCs w:val="20"/>
          <w:lang w:val="pt-BR" w:eastAsia="zh-CN" w:bidi="hi-IN"/>
        </w:rPr>
      </w:pPr>
      <w:r>
        <w:rPr>
          <w:rFonts w:eastAsia="Arial" w:cs="Arial"/>
          <w:b/>
          <w:bCs/>
          <w:color w:val="000000"/>
          <w:kern w:val="0"/>
          <w:sz w:val="20"/>
          <w:szCs w:val="20"/>
          <w:lang w:val="pt-BR" w:eastAsia="zh-CN" w:bidi="hi-IN"/>
        </w:rPr>
        <w:t>Requisitante</w:t>
      </w:r>
    </w:p>
    <w:p>
      <w:pPr>
        <w:pStyle w:val="LOnormal"/>
        <w:spacing w:before="0" w:after="360"/>
        <w:rPr>
          <w:b/>
          <w:b/>
          <w:sz w:val="22"/>
          <w:szCs w:val="22"/>
        </w:rPr>
      </w:pPr>
      <w:r>
        <w:rPr>
          <w:b/>
          <w:sz w:val="22"/>
          <w:szCs w:val="22"/>
        </w:rPr>
      </w:r>
    </w:p>
    <w:p>
      <w:pPr>
        <w:pStyle w:val="LOnormal"/>
        <w:spacing w:before="0" w:after="120"/>
        <w:rPr>
          <w:b/>
          <w:b/>
          <w:sz w:val="22"/>
          <w:szCs w:val="22"/>
        </w:rPr>
      </w:pPr>
      <w:r>
        <w:rPr>
          <w:b/>
          <w:sz w:val="22"/>
          <w:szCs w:val="22"/>
        </w:rPr>
        <w:t>APROVO</w:t>
      </w:r>
    </w:p>
    <w:p>
      <w:pPr>
        <w:pStyle w:val="LOnormal"/>
        <w:jc w:val="both"/>
        <w:rPr>
          <w:color w:val="00000A"/>
        </w:rPr>
      </w:pPr>
      <w:r>
        <w:rPr>
          <w:color w:val="00000A"/>
        </w:rPr>
        <w:t xml:space="preserve">O presente Termo de Referência de acordo com o inciso II do Artigo 14º do Decreto 10.024/2019, cuja finalidade é subsidiar os licitantes de todas as informações necessárias à participação no certame de Pregão Eletrônico para </w:t>
      </w:r>
      <w:r>
        <w:rPr>
          <w:b/>
        </w:rPr>
        <w:t>Contratação de empresa especializada para prestação de serviços de Seguro Coletivo de Acidentes Pessoais para os alunos do IF S</w:t>
      </w:r>
      <w:r>
        <w:rPr>
          <w:b/>
        </w:rPr>
        <w:t>ertão</w:t>
      </w:r>
      <w:r>
        <w:rPr>
          <w:b/>
        </w:rPr>
        <w:t>-PE, matriculados e em período de estágio curricular obrigatório e estagiários que desempenhe atividades na Reitoria e nos campi do IF S</w:t>
      </w:r>
      <w:r>
        <w:rPr>
          <w:b/>
        </w:rPr>
        <w:t xml:space="preserve">ertão </w:t>
      </w:r>
      <w:r>
        <w:rPr>
          <w:b/>
        </w:rPr>
        <w:t>– PE</w:t>
      </w:r>
      <w:r>
        <w:rPr>
          <w:color w:val="00000A"/>
        </w:rPr>
        <w:t>, estando presentes os elementos necessários à identificação do objeto, seu</w:t>
      </w:r>
      <w:bookmarkStart w:id="3" w:name="_GoBack"/>
      <w:bookmarkEnd w:id="3"/>
      <w:r>
        <w:rPr>
          <w:color w:val="00000A"/>
        </w:rPr>
        <w:t xml:space="preserve"> custo e todos os critérios para participação de forma clara e concisa.</w:t>
      </w:r>
    </w:p>
    <w:p>
      <w:pPr>
        <w:pStyle w:val="LOnormal"/>
        <w:spacing w:before="0" w:after="360"/>
        <w:ind w:left="360" w:hanging="0"/>
        <w:rPr/>
      </w:pPr>
      <w:r>
        <w:rPr/>
      </w:r>
    </w:p>
    <w:p>
      <w:pPr>
        <w:pStyle w:val="LOnormal"/>
        <w:spacing w:before="0" w:after="360"/>
        <w:jc w:val="right"/>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rPr>
        <w:t>Petrolina-PE, ______ de____________2021_</w:t>
      </w:r>
    </w:p>
    <w:p>
      <w:pPr>
        <w:pStyle w:val="LOnormal"/>
        <w:spacing w:before="240" w:after="0"/>
        <w:jc w:val="center"/>
        <w:rPr/>
      </w:pPr>
      <w:r>
        <w:rPr/>
      </w:r>
    </w:p>
    <w:p>
      <w:pPr>
        <w:pStyle w:val="LOnormal"/>
        <w:spacing w:lineRule="auto" w:line="276" w:before="120" w:after="120"/>
        <w:rPr/>
      </w:pPr>
      <w:r>
        <w:rPr/>
      </w:r>
    </w:p>
    <w:p>
      <w:pPr>
        <w:pStyle w:val="LOnormal"/>
        <w:spacing w:lineRule="auto" w:line="276" w:before="120" w:after="120"/>
        <w:rPr/>
      </w:pPr>
      <w:r>
        <w:rPr/>
      </w:r>
    </w:p>
    <w:p>
      <w:pPr>
        <w:pStyle w:val="LOnormal"/>
        <w:spacing w:lineRule="auto" w:line="276" w:before="120" w:after="120"/>
        <w:jc w:val="center"/>
        <w:rPr>
          <w:b/>
          <w:b/>
        </w:rPr>
      </w:pPr>
      <w:r>
        <w:rPr>
          <w:b/>
        </w:rPr>
        <w:t xml:space="preserve">Assinatura da </w:t>
      </w:r>
      <w:r>
        <w:rPr>
          <w:b/>
        </w:rPr>
        <w:t>A</w:t>
      </w:r>
      <w:r>
        <w:rPr>
          <w:b/>
        </w:rPr>
        <w:t xml:space="preserve">utoridade </w:t>
      </w:r>
      <w:r>
        <w:rPr>
          <w:b/>
        </w:rPr>
        <w:t>C</w:t>
      </w:r>
      <w:r>
        <w:rPr>
          <w:b/>
        </w:rPr>
        <w:t>ompetente</w:t>
      </w:r>
    </w:p>
    <w:p>
      <w:pPr>
        <w:pStyle w:val="LOnormal"/>
        <w:spacing w:lineRule="auto" w:line="276" w:before="120" w:after="12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IF Sertão-PE</w:t>
      </w:r>
    </w:p>
    <w:p>
      <w:pPr>
        <w:pStyle w:val="LOnormal"/>
        <w:spacing w:before="0" w:after="360"/>
        <w:ind w:left="360" w:hanging="0"/>
        <w:rPr/>
      </w:pPr>
      <w:r>
        <w:rPr/>
      </w:r>
    </w:p>
    <w:sectPr>
      <w:headerReference w:type="default" r:id="rId2"/>
      <w:footerReference w:type="default" r:id="rId3"/>
      <w:type w:val="nextPage"/>
      <w:pgSz w:w="11906" w:h="16838"/>
      <w:pgMar w:left="1842" w:right="1002" w:header="1417" w:top="3515" w:footer="708" w:bottom="1418"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swiss"/>
    <w:pitch w:val="variable"/>
  </w:font>
  <w:font w:name="Times New Roman">
    <w:charset w:val="00"/>
    <w:family w:val="swiss"/>
    <w:pitch w:val="variable"/>
  </w:font>
  <w:font w:name="Tahoma">
    <w:charset w:val="00"/>
    <w:family w:val="roman"/>
    <w:pitch w:val="variable"/>
  </w:font>
  <w:font w:name="Ecofont_Spranq_eco_Sans">
    <w:charset w:val="00"/>
    <w:family w:val="roman"/>
    <w:pitch w:val="variable"/>
  </w:font>
  <w:font w:name="Cambri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Ecofont_Spranq_eco_Sans">
    <w:charset w:val="00"/>
    <w:family w:val="swiss"/>
    <w:pitch w:val="variable"/>
  </w:font>
  <w:font w:name="Georgia">
    <w:charset w:val="00"/>
    <w:family w:val="roman"/>
    <w:pitch w:val="variable"/>
  </w:font>
  <w:font w:name="Wingdings">
    <w:charset w:val="02"/>
    <w:family w:val="auto"/>
    <w:pitch w:val="variable"/>
  </w:font>
  <w:font w:name="Wingdings">
    <w:charset w:val="02"/>
    <w:family w:val="auto"/>
    <w:pitch w:val="default"/>
  </w:font>
  <w:font w:name="OpenSymbol">
    <w:altName w:val="Arial Unicode MS"/>
    <w:charset w:val="01"/>
    <w:family w:val="auto"/>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 w:val="right" w:pos="8504" w:leader="none"/>
      </w:tabs>
      <w:rPr>
        <w:color w:val="000000"/>
      </w:rPr>
    </w:pPr>
    <w:r>
      <w:rPr>
        <w:rFonts w:eastAsia="Times New Roman" w:cs="Times New Roman" w:ascii="Times New Roman" w:hAnsi="Times New Roman"/>
        <w:color w:val="000000"/>
      </w:rPr>
      <w:t>____________________________________________________________________</w:t>
    </w:r>
  </w:p>
  <w:p>
    <w:pPr>
      <w:pStyle w:val="LOnormal"/>
      <w:tabs>
        <w:tab w:val="clear" w:pos="720"/>
        <w:tab w:val="center" w:pos="4252" w:leader="none"/>
        <w:tab w:val="right" w:pos="8504" w:leader="none"/>
      </w:tabs>
      <w:rPr>
        <w:color w:val="000000"/>
      </w:rPr>
    </w:pPr>
    <w:r>
      <w:rPr>
        <w:color w:val="000000"/>
        <w:sz w:val="12"/>
        <w:szCs w:val="12"/>
      </w:rPr>
      <w:t>Câmara Nacional de Modelos de Licitações e Contratos Administrativos da Consultoria-Geral da União</w:t>
    </w:r>
  </w:p>
  <w:p>
    <w:pPr>
      <w:pStyle w:val="LOnormal"/>
      <w:tabs>
        <w:tab w:val="clear" w:pos="720"/>
        <w:tab w:val="center" w:pos="4252" w:leader="none"/>
        <w:tab w:val="right" w:pos="8504" w:leader="none"/>
      </w:tabs>
      <w:rPr>
        <w:color w:val="000000"/>
      </w:rPr>
    </w:pPr>
    <w:r>
      <w:rPr>
        <w:color w:val="000000"/>
        <w:sz w:val="12"/>
        <w:szCs w:val="12"/>
      </w:rPr>
      <w:t xml:space="preserve">Termo de Referência - Modelo para Pregão Eletrônico: Serviços Contínuos sem dedicação exclusiva de mão de obra </w:t>
    </w:r>
  </w:p>
  <w:p>
    <w:pPr>
      <w:pStyle w:val="LOnormal"/>
      <w:tabs>
        <w:tab w:val="clear" w:pos="720"/>
        <w:tab w:val="center" w:pos="4252" w:leader="none"/>
        <w:tab w:val="right" w:pos="8504" w:leader="none"/>
      </w:tabs>
      <w:rPr>
        <w:color w:val="000000"/>
      </w:rPr>
    </w:pPr>
    <w:r>
      <w:rPr>
        <w:color w:val="000000"/>
        <w:sz w:val="12"/>
        <w:szCs w:val="12"/>
      </w:rPr>
      <w:t>Atualização: Outubro/2020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rPr/>
      <w:drawing>
        <wp:inline distT="0" distB="0" distL="0" distR="0">
          <wp:extent cx="722630" cy="64770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722630" cy="647700"/>
                  </a:xfrm>
                  <a:prstGeom prst="rect">
                    <a:avLst/>
                  </a:prstGeom>
                </pic:spPr>
              </pic:pic>
            </a:graphicData>
          </a:graphic>
        </wp:inline>
      </w:drawing>
    </w:r>
    <w:r>
      <w:rPr/>
      <w:br/>
    </w:r>
    <w:r>
      <w:rPr>
        <w:rFonts w:eastAsia="Times New Roman" w:cs="Times New Roman" w:ascii="Times New Roman" w:hAnsi="Times New Roman"/>
        <w:b/>
        <w:color w:val="00000A"/>
        <w:sz w:val="16"/>
        <w:szCs w:val="16"/>
      </w:rPr>
      <w:t>MINISTÉRIO DA EDUCAÇÃO</w:t>
    </w:r>
  </w:p>
  <w:p>
    <w:pPr>
      <w:pStyle w:val="LOnormal"/>
      <w:jc w:val="center"/>
      <w:rPr>
        <w:rFonts w:ascii="Times New Roman" w:hAnsi="Times New Roman" w:eastAsia="Times New Roman" w:cs="Times New Roman"/>
        <w:color w:val="000000"/>
      </w:rPr>
    </w:pPr>
    <w:r>
      <w:rPr>
        <w:rFonts w:eastAsia="Times New Roman" w:cs="Times New Roman" w:ascii="Times New Roman" w:hAnsi="Times New Roman"/>
        <w:b/>
        <w:color w:val="00000A"/>
        <w:sz w:val="16"/>
        <w:szCs w:val="16"/>
      </w:rPr>
      <w:t>SECRETARIA DA EDUCAÇÃO PROFISSIONAL E TECNOLÓGICA</w:t>
    </w:r>
  </w:p>
  <w:p>
    <w:pPr>
      <w:pStyle w:val="LOnormal"/>
      <w:jc w:val="center"/>
      <w:rPr/>
    </w:pPr>
    <w:r>
      <w:rPr>
        <w:rFonts w:eastAsia="Times New Roman" w:cs="Times New Roman" w:ascii="Times New Roman" w:hAnsi="Times New Roman"/>
        <w:b/>
        <w:color w:val="00000A"/>
        <w:sz w:val="16"/>
        <w:szCs w:val="16"/>
      </w:rPr>
      <w:t>INSTITUTO FEDERAL DE EDUCAÇÃO, CIÊNCIA E TECNOLOGIA DO SERTÃO PERNAMBUCANO</w:t>
    </w:r>
  </w:p>
  <w:p>
    <w:pPr>
      <w:pStyle w:val="LOnormal"/>
      <w:jc w:val="center"/>
      <w:rPr/>
    </w:pPr>
    <w:r>
      <w:rPr>
        <w:rFonts w:eastAsia="Times New Roman" w:cs="Times New Roman" w:ascii="Times New Roman" w:hAnsi="Times New Roman"/>
        <w:b/>
        <w:color w:val="00000A"/>
        <w:sz w:val="16"/>
        <w:szCs w:val="16"/>
      </w:rPr>
      <w:t>REITORIA/PROAD</w:t>
    </w:r>
  </w:p>
  <w:p>
    <w:pPr>
      <w:pStyle w:val="LOnormal"/>
      <w:jc w:val="center"/>
      <w:rPr/>
    </w:pPr>
    <w:r>
      <w:rPr>
        <w:rFonts w:eastAsia="Times New Roman" w:cs="Times New Roman" w:ascii="Times New Roman" w:hAnsi="Times New Roman"/>
        <w:b/>
        <w:color w:val="000000"/>
        <w:sz w:val="16"/>
        <w:szCs w:val="16"/>
      </w:rPr>
      <w:t>DIRETORIA DE LICITAÇÕES – DLIC</w:t>
    </w:r>
  </w:p>
  <w:p>
    <w:pPr>
      <w:pStyle w:val="LOnormal"/>
      <w:jc w:val="center"/>
      <w:rPr/>
    </w:pPr>
    <w:r>
      <w:rPr>
        <w:rFonts w:eastAsia="Times New Roman" w:cs="Times New Roman" w:ascii="Times New Roman" w:hAnsi="Times New Roman"/>
        <w:b/>
        <w:color w:val="000000"/>
        <w:sz w:val="16"/>
        <w:szCs w:val="16"/>
      </w:rPr>
      <w:t>EQUIPE DE APOIO AO PREGOEIRO</w:t>
    </w:r>
  </w:p>
  <w:p>
    <w:pPr>
      <w:pStyle w:val="LO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Fonts w:eastAsia="Arial" w:cs="Arial"/>
      </w:rPr>
    </w:lvl>
    <w:lvl w:ilvl="2">
      <w:start w:val="1"/>
      <w:numFmt w:val="decimal"/>
      <w:lvlText w:val="%1.%2.%3."/>
      <w:lvlJc w:val="left"/>
      <w:pPr>
        <w:tabs>
          <w:tab w:val="num" w:pos="0"/>
        </w:tabs>
        <w:ind w:left="1224" w:hanging="504"/>
      </w:pPr>
      <w:rPr>
        <w:sz w:val="20"/>
        <w:b w:val="false"/>
        <w:szCs w:val="20"/>
        <w:rFonts w:eastAsia="Arial" w:cs="Arial"/>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644" w:hanging="359"/>
      </w:pPr>
    </w:lvl>
    <w:lvl w:ilvl="1">
      <w:start w:val="1"/>
      <w:numFmt w:val="decimal"/>
      <w:lvlText w:val="%1.%2."/>
      <w:lvlJc w:val="left"/>
      <w:pPr>
        <w:tabs>
          <w:tab w:val="num" w:pos="0"/>
        </w:tabs>
        <w:ind w:left="716" w:hanging="432"/>
      </w:pPr>
      <w:rPr>
        <w:i w:val="false"/>
        <w:b/>
        <w:color w:val="000000"/>
      </w:rPr>
    </w:lvl>
    <w:lvl w:ilvl="2">
      <w:start w:val="1"/>
      <w:numFmt w:val="decimal"/>
      <w:lvlText w:val="%1.%2.%3."/>
      <w:lvlJc w:val="left"/>
      <w:pPr>
        <w:tabs>
          <w:tab w:val="num" w:pos="0"/>
        </w:tabs>
        <w:ind w:left="1922" w:hanging="504"/>
      </w:pPr>
      <w:rPr>
        <w:sz w:val="22"/>
        <w:szCs w:val="22"/>
        <w:color w:val="000000"/>
      </w:r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i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zh-CN" w:bidi="hi-IN"/>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0d390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LOnormal"/>
    <w:next w:val="LOnormal"/>
    <w:link w:val="Ttulo1Char"/>
    <w:uiPriority w:val="9"/>
    <w:qFormat/>
    <w:rsid w:val="000d390a"/>
    <w:pPr>
      <w:keepNext w:val="true"/>
      <w:keepLines/>
      <w:spacing w:before="240" w:after="12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LOnormal"/>
    <w:next w:val="LOnormal"/>
    <w:link w:val="Ttulo2Char"/>
    <w:uiPriority w:val="9"/>
    <w:semiHidden/>
    <w:unhideWhenUsed/>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lang w:val="x-none" w:eastAsia="x-none"/>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uiPriority w:val="99"/>
    <w:semiHidden/>
    <w:unhideWhenUsed/>
    <w:qFormat/>
    <w:rsid w:val="0015519e"/>
    <w:rPr>
      <w:sz w:val="16"/>
      <w:szCs w:val="16"/>
    </w:rPr>
  </w:style>
  <w:style w:type="character" w:styleId="TextodecomentrioChar" w:customStyle="1">
    <w:name w:val="Texto de comentário Char"/>
    <w:basedOn w:val="DefaultParagraphFont"/>
    <w:link w:val="Textodecomentrio"/>
    <w:uiPriority w:val="99"/>
    <w:qFormat/>
    <w:rsid w:val="0015519e"/>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styleId="CabealhoChar" w:customStyle="1">
    <w:name w:val="Cabeçalho Char"/>
    <w:basedOn w:val="DefaultParagraphFont"/>
    <w:link w:val="Cabealho"/>
    <w:qFormat/>
    <w:rsid w:val="00db64ef"/>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b64ef"/>
    <w:rPr>
      <w:rFonts w:ascii="Ecofont_Spranq_eco_Sans" w:hAnsi="Ecofont_Spranq_eco_Sans" w:cs="Tahoma"/>
      <w:sz w:val="24"/>
      <w:szCs w:val="24"/>
    </w:rPr>
  </w:style>
  <w:style w:type="character" w:styleId="Ttulo1Char" w:customStyle="1">
    <w:name w:val="Título 1 Char"/>
    <w:basedOn w:val="DefaultParagraphFont"/>
    <w:link w:val="Ttulo1"/>
    <w:qFormat/>
    <w:rsid w:val="000d390a"/>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0d390a"/>
    <w:rPr>
      <w:rFonts w:ascii="Arial" w:hAnsi="Arial" w:eastAsia="" w:cs="" w:cstheme="majorBidi" w:eastAsiaTheme="majorEastAsia"/>
      <w:b/>
      <w:color w:val="000000"/>
      <w:sz w:val="32"/>
      <w:szCs w:val="32"/>
    </w:rPr>
  </w:style>
  <w:style w:type="character" w:styleId="QuoteChar" w:customStyle="1">
    <w:name w:val="Quote Char"/>
    <w:link w:val="Citao1"/>
    <w:uiPriority w:val="99"/>
    <w:qFormat/>
    <w:rsid w:val="00b222ee"/>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e014b9"/>
    <w:rPr/>
  </w:style>
  <w:style w:type="character" w:styleId="Nivel01Char" w:customStyle="1">
    <w:name w:val="Nivel 01 Char"/>
    <w:basedOn w:val="DefaultParagraphFont"/>
    <w:link w:val="Nivel01"/>
    <w:qFormat/>
    <w:locked/>
    <w:rsid w:val="0085196b"/>
    <w:rPr>
      <w:rFonts w:ascii="Arial" w:hAnsi="Arial" w:eastAsia="" w:cs="" w:cstheme="majorBidi" w:eastAsiaTheme="majorEastAsia"/>
      <w:b/>
      <w:bCs/>
      <w:color w:val="000000"/>
      <w:sz w:val="32"/>
      <w:szCs w:val="32"/>
    </w:rPr>
  </w:style>
  <w:style w:type="character" w:styleId="Strong">
    <w:name w:val="Strong"/>
    <w:basedOn w:val="DefaultParagraphFont"/>
    <w:uiPriority w:val="22"/>
    <w:qFormat/>
    <w:rsid w:val="0085196b"/>
    <w:rPr>
      <w:b/>
      <w:bCs/>
    </w:rPr>
  </w:style>
  <w:style w:type="character" w:styleId="GradeColoridanfase1Char" w:customStyle="1">
    <w:name w:val="Grade Colorida - Ênfase 1 Char"/>
    <w:qFormat/>
    <w:rsid w:val="00dd3603"/>
    <w:rPr>
      <w:rFonts w:ascii="Ecofont_Spranq_eco_Sans" w:hAnsi="Ecofont_Spranq_eco_Sans" w:eastAsia="Calibri" w:cs="Ecofont_Spranq_eco_Sans"/>
      <w:i/>
      <w:iCs/>
      <w:color w:val="000000"/>
      <w:szCs w:val="24"/>
      <w:shd w:fill="FFFFCC" w:val="clear"/>
      <w:lang w:val="x-none"/>
    </w:rPr>
  </w:style>
  <w:style w:type="character" w:styleId="WW8Num2z1" w:customStyle="1">
    <w:name w:val="WW8Num2z1"/>
    <w:qFormat/>
    <w:rsid w:val="007b7e1c"/>
    <w:rPr>
      <w:i w:val="false"/>
    </w:rPr>
  </w:style>
  <w:style w:type="character" w:styleId="Nivel2Char" w:customStyle="1">
    <w:name w:val="Nivel 2 Char"/>
    <w:basedOn w:val="DefaultParagraphFont"/>
    <w:link w:val="Nivel2"/>
    <w:qFormat/>
    <w:rsid w:val="00bb7bce"/>
    <w:rPr>
      <w:rFonts w:ascii="Ecofont_Spranq_eco_Sans" w:hAnsi="Ecofont_Spranq_eco_Sans" w:eastAsia="Arial Unicode MS"/>
    </w:rPr>
  </w:style>
  <w:style w:type="character" w:styleId="Nfase">
    <w:name w:val="Ênfase"/>
    <w:basedOn w:val="DefaultParagraphFont"/>
    <w:uiPriority w:val="20"/>
    <w:qFormat/>
    <w:rsid w:val="005f6dad"/>
    <w:rPr>
      <w:i/>
      <w:iCs/>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LO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LOnormal"/>
    <w:qFormat/>
    <w:pPr>
      <w:suppressLineNumbers/>
    </w:pPr>
    <w:rPr>
      <w:rFonts w:cs="Lucida Sans"/>
    </w:rPr>
  </w:style>
  <w:style w:type="paragraph" w:styleId="Ttulododocumento">
    <w:name w:val="Title"/>
    <w:basedOn w:val="LOnormal"/>
    <w:next w:val="Corpodotexto"/>
    <w:uiPriority w:val="10"/>
    <w:qFormat/>
    <w:pPr>
      <w:keepNext w:val="true"/>
      <w:keepLines/>
      <w:spacing w:before="480" w:after="120"/>
    </w:pPr>
    <w:rPr>
      <w:b/>
      <w:sz w:val="72"/>
      <w:szCs w:val="72"/>
    </w:rPr>
  </w:style>
  <w:style w:type="paragraph" w:styleId="Caption">
    <w:name w:val="caption"/>
    <w:basedOn w:val="LOnormal"/>
    <w:qFormat/>
    <w:pPr>
      <w:suppressLineNumbers/>
      <w:spacing w:before="120" w:after="120"/>
    </w:pPr>
    <w:rPr>
      <w:rFonts w:cs="Lucida Sans"/>
      <w:i/>
      <w:iCs/>
      <w:sz w:val="24"/>
      <w:szCs w:val="24"/>
    </w:rPr>
  </w:style>
  <w:style w:type="paragraph" w:styleId="LOnormal" w:customStyle="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ListParagraph">
    <w:name w:val="List Paragraph"/>
    <w:basedOn w:val="LOnormal"/>
    <w:uiPriority w:val="34"/>
    <w:qFormat/>
    <w:rsid w:val="004773fc"/>
    <w:pPr>
      <w:spacing w:before="0" w:after="0"/>
      <w:ind w:left="720" w:hanging="0"/>
      <w:contextualSpacing/>
    </w:pPr>
    <w:rPr/>
  </w:style>
  <w:style w:type="paragraph" w:styleId="NormalWeb">
    <w:name w:val="Normal (Web)"/>
    <w:basedOn w:val="LOnormal"/>
    <w:uiPriority w:val="99"/>
    <w:qFormat/>
    <w:rsid w:val="006b156a"/>
    <w:pPr>
      <w:spacing w:beforeAutospacing="1" w:afterAutospacing="1"/>
    </w:pPr>
    <w:rPr>
      <w:rFonts w:ascii="Times New Roman" w:hAnsi="Times New Roman" w:cs="Times New Roman"/>
    </w:rPr>
  </w:style>
  <w:style w:type="paragraph" w:styleId="BalloonText">
    <w:name w:val="Balloon Text"/>
    <w:basedOn w:val="LOnormal"/>
    <w:link w:val="TextodebaloChar"/>
    <w:qFormat/>
    <w:rsid w:val="003a73c1"/>
    <w:pPr/>
    <w:rPr>
      <w:rFonts w:ascii="Tahoma" w:hAnsi="Tahoma" w:cs="Times New Roman"/>
      <w:sz w:val="16"/>
      <w:szCs w:val="16"/>
      <w:lang w:val="x-none" w:eastAsia="x-none"/>
    </w:rPr>
  </w:style>
  <w:style w:type="paragraph" w:styleId="Nvel2" w:customStyle="1">
    <w:name w:val="Nível 2"/>
    <w:basedOn w:val="LOnormal"/>
    <w:next w:val="LOnormal"/>
    <w:qFormat/>
    <w:rsid w:val="004b460a"/>
    <w:pPr>
      <w:spacing w:before="0" w:after="120"/>
      <w:jc w:val="both"/>
    </w:pPr>
    <w:rPr>
      <w:rFonts w:cs="Times New Roman"/>
      <w:b/>
    </w:rPr>
  </w:style>
  <w:style w:type="paragraph" w:styleId="Quote">
    <w:name w:val="Quote"/>
    <w:basedOn w:val="LOnormal"/>
    <w:next w:val="LO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LOnormal"/>
    <w:qFormat/>
    <w:rsid w:val="001a3a05"/>
    <w:pPr>
      <w:spacing w:before="0" w:after="0"/>
      <w:contextualSpacing/>
    </w:pPr>
    <w:rPr/>
  </w:style>
  <w:style w:type="paragraph" w:styleId="Citao2" w:customStyle="1">
    <w:name w:val="citação 2"/>
    <w:basedOn w:val="Quote"/>
    <w:qFormat/>
    <w:rsid w:val="000a23da"/>
    <w:pPr>
      <w:shd w:val="clear" w:fill="FFFFCC"/>
    </w:pPr>
    <w:rPr/>
  </w:style>
  <w:style w:type="paragraph" w:styleId="Annotationtext">
    <w:name w:val="annotation text"/>
    <w:basedOn w:val="LOnormal"/>
    <w:link w:val="TextodecomentrioChar"/>
    <w:uiPriority w:val="99"/>
    <w:unhideWhenUsed/>
    <w:qFormat/>
    <w:rsid w:val="0015519e"/>
    <w:pPr/>
    <w:rPr/>
  </w:style>
  <w:style w:type="paragraph" w:styleId="Annotationsubject">
    <w:name w:val="annotation subject"/>
    <w:basedOn w:val="Annotationtext"/>
    <w:next w:val="Annotationtext"/>
    <w:link w:val="AssuntodocomentrioChar"/>
    <w:semiHidden/>
    <w:unhideWhenUsed/>
    <w:qFormat/>
    <w:rsid w:val="0015519e"/>
    <w:pPr/>
    <w:rPr>
      <w:b/>
      <w:bCs/>
    </w:rPr>
  </w:style>
  <w:style w:type="paragraph" w:styleId="CabealhoeRodap" w:customStyle="1">
    <w:name w:val="Cabeçalho e Rodapé"/>
    <w:basedOn w:val="LOnormal"/>
    <w:qFormat/>
    <w:pPr/>
    <w:rPr/>
  </w:style>
  <w:style w:type="paragraph" w:styleId="Cabealho">
    <w:name w:val="Header"/>
    <w:basedOn w:val="LOnormal"/>
    <w:link w:val="CabealhoChar"/>
    <w:unhideWhenUsed/>
    <w:rsid w:val="00db64ef"/>
    <w:pPr>
      <w:tabs>
        <w:tab w:val="clear" w:pos="720"/>
        <w:tab w:val="center" w:pos="4252" w:leader="none"/>
        <w:tab w:val="right" w:pos="8504" w:leader="none"/>
      </w:tabs>
    </w:pPr>
    <w:rPr/>
  </w:style>
  <w:style w:type="paragraph" w:styleId="Rodap">
    <w:name w:val="Footer"/>
    <w:basedOn w:val="LOnormal"/>
    <w:link w:val="RodapChar"/>
    <w:uiPriority w:val="99"/>
    <w:unhideWhenUsed/>
    <w:rsid w:val="00db64ef"/>
    <w:pPr>
      <w:tabs>
        <w:tab w:val="clear" w:pos="720"/>
        <w:tab w:val="center" w:pos="4252" w:leader="none"/>
        <w:tab w:val="right" w:pos="8504" w:leader="none"/>
      </w:tabs>
    </w:pPr>
    <w:rPr/>
  </w:style>
  <w:style w:type="paragraph" w:styleId="Nivel1" w:customStyle="1">
    <w:name w:val="Nivel1"/>
    <w:basedOn w:val="Ttulo1"/>
    <w:link w:val="Nivel1Char"/>
    <w:qFormat/>
    <w:rsid w:val="000d390a"/>
    <w:pPr>
      <w:spacing w:lineRule="auto" w:line="276" w:before="480" w:after="120"/>
      <w:jc w:val="both"/>
    </w:pPr>
    <w:rPr>
      <w:rFonts w:ascii="Arial" w:hAnsi="Arial" w:cs="Times New Roman"/>
      <w:b/>
      <w:color w:val="000000"/>
      <w:sz w:val="20"/>
      <w:szCs w:val="20"/>
    </w:rPr>
  </w:style>
  <w:style w:type="paragraph" w:styleId="Revision">
    <w:name w:val="Revision"/>
    <w:uiPriority w:val="99"/>
    <w:semiHidden/>
    <w:qFormat/>
    <w:rsid w:val="00656f07"/>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PargrafodaLista1" w:customStyle="1">
    <w:name w:val="Parágrafo da Lista1"/>
    <w:basedOn w:val="LOnormal"/>
    <w:qFormat/>
    <w:rsid w:val="00b222ee"/>
    <w:pPr>
      <w:ind w:left="720" w:hanging="0"/>
    </w:pPr>
    <w:rPr>
      <w:rFonts w:ascii="Ecofont_Spranq_eco_Sans" w:hAnsi="Ecofont_Spranq_eco_Sans" w:cs="Ecofont_Spranq_eco_Sans"/>
      <w:sz w:val="24"/>
    </w:rPr>
  </w:style>
  <w:style w:type="paragraph" w:styleId="Citao1" w:customStyle="1">
    <w:name w:val="Citação1"/>
    <w:basedOn w:val="LOnormal"/>
    <w:next w:val="LO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SombreamentoMdio1nfase31" w:customStyle="1">
    <w:name w:val="Sombreamento Médio 1 - Ênfase 31"/>
    <w:basedOn w:val="LOnormal"/>
    <w:next w:val="LOnormal"/>
    <w:qFormat/>
    <w:rsid w:val="00e014b9"/>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ascii="Ecofont_Spranq_eco_Sans" w:hAnsi="Ecofont_Spranq_eco_Sans" w:eastAsia="Calibri"/>
      <w:i/>
      <w:iCs/>
      <w:color w:val="000000"/>
    </w:rPr>
  </w:style>
  <w:style w:type="paragraph" w:styleId="Nivel01" w:customStyle="1">
    <w:name w:val="Nivel 01"/>
    <w:basedOn w:val="Ttulo1"/>
    <w:next w:val="LOnormal"/>
    <w:link w:val="Nivel01Char"/>
    <w:qFormat/>
    <w:rsid w:val="0085196b"/>
    <w:pPr>
      <w:spacing w:lineRule="auto" w:line="276" w:before="480" w:after="120"/>
      <w:ind w:left="360" w:right="-15" w:hanging="360"/>
      <w:jc w:val="both"/>
    </w:pPr>
    <w:rPr>
      <w:rFonts w:ascii="Arial" w:hAnsi="Arial"/>
      <w:b/>
      <w:bCs/>
      <w:color w:val="000000"/>
    </w:rPr>
  </w:style>
  <w:style w:type="paragraph" w:styleId="Textojustificado" w:customStyle="1">
    <w:name w:val="texto_justificado"/>
    <w:basedOn w:val="LOnormal"/>
    <w:qFormat/>
    <w:rsid w:val="0085196b"/>
    <w:pPr>
      <w:spacing w:beforeAutospacing="1" w:afterAutospacing="1"/>
    </w:pPr>
    <w:rPr>
      <w:rFonts w:ascii="Times New Roman" w:hAnsi="Times New Roman" w:cs="Times New Roman"/>
      <w:sz w:val="24"/>
    </w:rPr>
  </w:style>
  <w:style w:type="paragraph" w:styleId="Nivel011" w:customStyle="1">
    <w:name w:val="Nivel_01"/>
    <w:basedOn w:val="Ttulo1"/>
    <w:qFormat/>
    <w:rsid w:val="00b75c3f"/>
    <w:pPr>
      <w:tabs>
        <w:tab w:val="clear" w:pos="720"/>
        <w:tab w:val="left" w:pos="360" w:leader="none"/>
        <w:tab w:val="left" w:pos="567" w:leader="none"/>
      </w:tabs>
      <w:jc w:val="both"/>
    </w:pPr>
    <w:rPr>
      <w:rFonts w:ascii="Ecofont_Spranq_eco_Sans" w:hAnsi="Ecofont_Spranq_eco_Sans" w:cs="Times New Roman"/>
      <w:b/>
      <w:bCs/>
      <w:color w:val="auto"/>
      <w:sz w:val="20"/>
      <w:szCs w:val="20"/>
    </w:rPr>
  </w:style>
  <w:style w:type="paragraph" w:styleId="GradeColoridanfase11" w:customStyle="1">
    <w:name w:val="Grade Colorida - Ênfase 11"/>
    <w:basedOn w:val="LOnormal"/>
    <w:next w:val="LOnormal"/>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Ecofont_Spranq_eco_Sans"/>
      <w:i/>
      <w:iCs/>
      <w:color w:val="000000"/>
      <w:lang w:val="x-none"/>
    </w:rPr>
  </w:style>
  <w:style w:type="paragraph" w:styleId="PargrafodaLista2" w:customStyle="1">
    <w:name w:val="Parágrafo da Lista2"/>
    <w:basedOn w:val="LOnormal"/>
    <w:qFormat/>
    <w:rsid w:val="001c3ab6"/>
    <w:pPr>
      <w:ind w:left="720" w:hanging="0"/>
    </w:pPr>
    <w:rPr>
      <w:rFonts w:ascii="Ecofont_Spranq_eco_Sans" w:hAnsi="Ecofont_Spranq_eco_Sans"/>
      <w:sz w:val="24"/>
    </w:rPr>
  </w:style>
  <w:style w:type="paragraph" w:styleId="GradeColoridanfase110" w:customStyle="1">
    <w:name w:val="Grade Colorida - Ênfase 110"/>
    <w:basedOn w:val="LOnormal"/>
    <w:next w:val="LO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Nivel2" w:customStyle="1">
    <w:name w:val="Nivel 2"/>
    <w:link w:val="Nivel2Char"/>
    <w:qFormat/>
    <w:rsid w:val="00bb7bce"/>
    <w:pPr>
      <w:widowControl/>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bb7bce"/>
    <w:pPr>
      <w:ind w:left="644" w:hanging="0"/>
    </w:pPr>
    <w:rPr>
      <w:rFonts w:cs="Arial"/>
      <w:b/>
    </w:rPr>
  </w:style>
  <w:style w:type="paragraph" w:styleId="Nivel3" w:customStyle="1">
    <w:name w:val="Nivel 3"/>
    <w:basedOn w:val="Nivel2"/>
    <w:qFormat/>
    <w:rsid w:val="00bb7bce"/>
    <w:pPr>
      <w:ind w:left="1922" w:hanging="0"/>
    </w:pPr>
    <w:rPr>
      <w:rFonts w:cs="Arial"/>
      <w:color w:val="000000"/>
    </w:rPr>
  </w:style>
  <w:style w:type="paragraph" w:styleId="Nivel4" w:customStyle="1">
    <w:name w:val="Nivel 4"/>
    <w:basedOn w:val="Nivel3"/>
    <w:qFormat/>
    <w:rsid w:val="00bb7bce"/>
    <w:pPr>
      <w:ind w:left="2491" w:hanging="0"/>
    </w:pPr>
    <w:rPr>
      <w:color w:val="auto"/>
    </w:rPr>
  </w:style>
  <w:style w:type="paragraph" w:styleId="Nivel5" w:customStyle="1">
    <w:name w:val="Nivel 5"/>
    <w:basedOn w:val="Nivel4"/>
    <w:qFormat/>
    <w:rsid w:val="00bb7bce"/>
    <w:pPr>
      <w:ind w:left="3485" w:hanging="0"/>
    </w:pPr>
    <w:rPr/>
  </w:style>
  <w:style w:type="paragraph" w:styleId="Default" w:customStyle="1">
    <w:name w:val="Default"/>
    <w:qFormat/>
    <w:rsid w:val="00a2225b"/>
    <w:pPr>
      <w:widowControl/>
      <w:suppressAutoHyphens w:val="true"/>
      <w:bidi w:val="0"/>
      <w:spacing w:before="0" w:after="0"/>
      <w:jc w:val="left"/>
    </w:pPr>
    <w:rPr>
      <w:rFonts w:ascii="Arial" w:hAnsi="Arial" w:eastAsia="Times New Roman" w:cs="Arial"/>
      <w:color w:val="000000"/>
      <w:kern w:val="0"/>
      <w:sz w:val="24"/>
      <w:szCs w:val="24"/>
      <w:lang w:val="pt-BR" w:eastAsia="pt-BR" w:bidi="ar-SA"/>
    </w:rPr>
  </w:style>
  <w:style w:type="paragraph" w:styleId="DocumentMap">
    <w:name w:val="Document Map"/>
    <w:qFormat/>
    <w:pPr>
      <w:widowControl/>
      <w:suppressAutoHyphens w:val="true"/>
      <w:bidi w:val="0"/>
      <w:spacing w:before="0" w:after="0"/>
      <w:jc w:val="left"/>
    </w:pPr>
    <w:rPr>
      <w:rFonts w:ascii="Times New Roman" w:hAnsi="Times New Roman" w:eastAsia="Cambria Math" w:cs="Times New Roman"/>
      <w:color w:val="auto"/>
      <w:kern w:val="0"/>
      <w:sz w:val="20"/>
      <w:szCs w:val="20"/>
      <w:lang w:val="pt-BR" w:eastAsia="pt-BR" w:bidi="ar-SA"/>
    </w:rPr>
  </w:style>
  <w:style w:type="paragraph" w:styleId="Contedodatabela" w:customStyle="1">
    <w:name w:val="Conteúdo da tabela"/>
    <w:basedOn w:val="LOnormal"/>
    <w:qFormat/>
    <w:pPr>
      <w:suppressLineNumbers/>
    </w:pPr>
    <w:rPr/>
  </w:style>
  <w:style w:type="paragraph" w:styleId="Ttulodetabela" w:customStyle="1">
    <w:name w:val="Título de tabela"/>
    <w:basedOn w:val="Contedodatabela"/>
    <w:qFormat/>
    <w:pPr>
      <w:jc w:val="center"/>
    </w:pPr>
    <w:rPr>
      <w:b/>
      <w:bCs/>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85196b"/>
    <w:rPr>
      <w:rFonts w:eastAsiaTheme="minorEastAsia"/>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UuR3tsbsWwyUW7R1cNDckdzLN2w==">AMUW2mXNSY6cEuZbbJRULQh9Z7999sXh2aWJ0ZfqoNgub7uQwPvI3j+47Ael5U9dPwg/79u+Du6VMy3Y+9mbG7a0M+r/DMsGxL1p+v5Dk0ubBbXp4WATfrO90/Bc4jwUtfWsW6yUILPuGiwgcgbbH3utET5moCUgbQ==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91</TotalTime>
  <Application>LibreOffice/6.4.6.2$Windows_X86_64 LibreOffice_project/0ce51a4fd21bff07a5c061082cc82c5ed232f115</Application>
  <Pages>29</Pages>
  <Words>9318</Words>
  <Characters>50323</Characters>
  <CharactersWithSpaces>59522</CharactersWithSpaces>
  <Paragraphs>119</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2021-04-20T17:41:00Z</dcterms:created>
  <dc:creator>Adriano</dc:creator>
  <dc:description/>
  <dc:language>pt-BR</dc:language>
  <cp:lastModifiedBy/>
  <dcterms:modified xsi:type="dcterms:W3CDTF">2021-05-13T15:04:33Z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