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keepNext w:val="false"/>
        <w:keepLines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8490" w:type="dxa"/>
        <w:jc w:val="left"/>
        <w:tblInd w:w="23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0"/>
      </w:tblGrid>
      <w:tr>
        <w:trPr>
          <w:trHeight w:val="411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.  </w:t>
            </w:r>
            <w:r>
              <w:rPr>
                <w:rFonts w:eastAsia="DejaVu Sans" w:cs="Times New Roman"/>
                <w:b/>
                <w:bCs/>
                <w:iCs/>
                <w:color w:val="auto"/>
                <w:kern w:val="2"/>
                <w:sz w:val="24"/>
                <w:szCs w:val="24"/>
                <w:lang w:val="pt-BR" w:eastAsia="zh-CN" w:bidi="hi-IN"/>
              </w:rPr>
              <w:t>23302.000235.2021-35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Volume (s):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Há processo (s) apensado (s)? ( X</w:t>
            </w:r>
            <w:r>
              <w:rPr>
                <w:rFonts w:ascii="Arial" w:hAnsi="Arial"/>
                <w:sz w:val="21"/>
                <w:szCs w:val="21"/>
              </w:rPr>
              <w:t xml:space="preserve">) Não (   ) Sim  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Processo n. </w:t>
            </w:r>
          </w:p>
          <w:p>
            <w:pPr>
              <w:pStyle w:val="LOnormal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Interessado (s):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>Pró-Reitoria de Extensão(PROEXT)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  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  ) (SEI             )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) (SEI             )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MODALIDADE:  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X </w:t>
            </w:r>
            <w:r>
              <w:rPr>
                <w:rFonts w:ascii="Arial" w:hAnsi="Arial"/>
                <w:sz w:val="21"/>
                <w:szCs w:val="21"/>
              </w:rPr>
              <w:t xml:space="preserve">) Pregão com SRP                 (   ) RDC     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TIPO: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X  ) Menor Preço:  ( X  ) por item     (  ) por grupo    (  ) por item e grupo   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Melhor Técnica    (    ) Técnica e Preço    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sz w:val="21"/>
                <w:szCs w:val="21"/>
              </w:rPr>
              <w:t>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PE.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R$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45.844,32</w:t>
            </w:r>
            <w:r>
              <w:rPr>
                <w:rFonts w:eastAsia="Garamond" w:cs="Garamond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(Quarenta e cinco mil oitocentos e quarenta e quatro reais e trinta e dois centavos) em 24 meses. 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spacing w:lineRule="auto" w:line="36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https://www.gov.br/agu/pt-br/composicao/consultoria-geral-da-uniao-1/modelos-de-convenios-licitacoes-e-contratos/modelos-de-licitacoes-e-contratos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; tendo sido adotada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 versão de pregão eletrônico Serviços Continuados </w:t>
      </w:r>
      <w:r>
        <w:rPr>
          <w:rFonts w:ascii="Arial" w:hAnsi="Arial"/>
          <w:sz w:val="21"/>
          <w:szCs w:val="21"/>
        </w:rPr>
        <w:t>Sem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Dedicação Exclusiva de Mão de Obra Atualização:</w:t>
      </w:r>
      <w:r>
        <w:rPr>
          <w:rFonts w:ascii="Arial" w:hAnsi="Arial"/>
          <w:sz w:val="21"/>
          <w:szCs w:val="21"/>
        </w:rPr>
        <w:t>Outubro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/2020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para a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Minuta do Edital. 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versão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 xml:space="preserve">erviços Continuados Sem Dedicação Exclusiva de Mão-de-Obra Atualização: Dezembro/2019  para a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 xml:space="preserve">Minuta da Ata de Registro de Preços 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e a versão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12"/>
          <w:sz w:val="12"/>
          <w:szCs w:val="1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 xml:space="preserve">Modelo para Pregão Eletrônico: Serviços Contínuos sem dedicação de mão de obra exclusiva Atualização: Julho/2020 para  a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Minuta do Termo de Contrato.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Style w:val="Table2"/>
        <w:tblW w:w="8954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54"/>
      </w:tblGrid>
      <w:tr>
        <w:trPr>
          <w:trHeight w:val="530" w:hRule="atLeast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</w:tr>
      <w:tr>
        <w:trPr/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36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os trechos na minuta de: </w:t>
            </w:r>
          </w:p>
          <w:p>
            <w:pPr>
              <w:pStyle w:val="LOnormal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(  X 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Edital    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(   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Contrato   (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 )  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>Termo de Referência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(    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Outros: 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lang w:val="pt-BR" w:eastAsia="zh-CN" w:bidi="hi-IN"/>
              </w:rPr>
              <w:t>Ata de Registro de Preços</w:t>
            </w:r>
          </w:p>
          <w:p>
            <w:pPr>
              <w:pStyle w:val="LOnormal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Pelos motivos a seguir expostos foram incluídos</w:t>
            </w:r>
            <w:r>
              <w:rPr>
                <w:rFonts w:ascii="Arial" w:hAnsi="Arial"/>
                <w:b/>
                <w:color w:val="000000"/>
                <w:sz w:val="21"/>
                <w:szCs w:val="21"/>
                <w:u w:val="single"/>
              </w:rPr>
              <w:t xml:space="preserve"> os trechos sublinhados e negritados</w:t>
            </w: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 no 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Edital</w:t>
            </w: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: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-Subitem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0"/>
              </w:rPr>
              <w:t>11.11.3.2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Exigência de que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pt-BR" w:eastAsia="zh-CN" w:bidi="hi-IN"/>
              </w:rPr>
              <w:t>a empresa apresente a declaração de que tem pleno conhecimento das condições e peculiaridades inerentes à natureza do trabalho, que assume total responsabilidade por este fato e que não utilizará deste para quaisquer questionamentos futuros que ensejam avenças técnicas ou financeiras, caso não faça a vistoria no local de trabalho.</w:t>
            </w:r>
          </w:p>
        </w:tc>
      </w:tr>
      <w:tr>
        <w:trPr/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na minuta de:</w:t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) Edital </w:t>
            </w:r>
            <w:r>
              <w:rPr>
                <w:rFonts w:ascii="Arial" w:hAnsi="Arial"/>
                <w:sz w:val="21"/>
                <w:szCs w:val="21"/>
              </w:rPr>
              <w:t xml:space="preserve">    (    )  Contrato   (   )  Termo de Referência</w:t>
            </w:r>
          </w:p>
          <w:p>
            <w:pPr>
              <w:pStyle w:val="LOnormal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)  Outros: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Ata de Registro de Preços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  <w:u w:val="single"/>
              </w:rPr>
              <w:t xml:space="preserve">Pelos motivos a seguir expostos foram suprimidos do </w:t>
            </w:r>
            <w:r>
              <w:rPr>
                <w:rFonts w:eastAsia="NSimSun" w:cs="Lucida Sans" w:ascii="Arial" w:hAnsi="Arial"/>
                <w:b/>
                <w:color w:val="auto"/>
                <w:kern w:val="0"/>
                <w:sz w:val="21"/>
                <w:szCs w:val="21"/>
                <w:u w:val="single"/>
                <w:lang w:val="pt-BR" w:eastAsia="zh-CN" w:bidi="hi-IN"/>
              </w:rPr>
              <w:t>Edital</w:t>
            </w:r>
            <w:r>
              <w:rPr>
                <w:rFonts w:ascii="Arial" w:hAnsi="Arial"/>
                <w:b/>
                <w:sz w:val="21"/>
                <w:szCs w:val="21"/>
                <w:u w:val="single"/>
              </w:rPr>
              <w:t>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-Subitem</w:t>
            </w:r>
            <w:r>
              <w:rPr>
                <w:rFonts w:ascii="Arial" w:hAnsi="Arial"/>
                <w:sz w:val="21"/>
                <w:szCs w:val="21"/>
              </w:rPr>
              <w:t xml:space="preserve"> 4.5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>Justificativa: A natureza d</w:t>
            </w:r>
            <w:r>
              <w:rPr>
                <w:rFonts w:eastAsia="NSimSun" w:cs="Lucida Sans" w:ascii="Arial" w:hAnsi="Arial"/>
                <w:color w:val="auto"/>
                <w:kern w:val="0"/>
                <w:sz w:val="21"/>
                <w:szCs w:val="21"/>
                <w:u w:val="single"/>
                <w:lang w:val="pt-BR" w:eastAsia="zh-CN" w:bidi="hi-IN"/>
              </w:rPr>
              <w:t>os serviços</w:t>
            </w:r>
            <w:r>
              <w:rPr>
                <w:rFonts w:ascii="Arial" w:hAnsi="Arial"/>
                <w:sz w:val="21"/>
                <w:szCs w:val="21"/>
                <w:u w:val="single"/>
              </w:rPr>
              <w:t xml:space="preserve"> não exigirão a necessidade de segregação de funções.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-Subitens 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9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.8.6; 9.10.3.1; 9.12 e 9.13 e seus subitens 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Justificativa: Não será permitida a participação de sociedades cooperativas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-Subitem 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>10.9.8</w:t>
            </w:r>
            <w:r>
              <w:rPr>
                <w:rFonts w:eastAsia="NSimSun" w:cs="Lucida Sans" w:ascii="Arial" w:hAnsi="Arial"/>
                <w:b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Justificativa: 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Excluídos,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 xml:space="preserve">pois trata-se de subcontratação, o que não será aceito para esta contratação. 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 xml:space="preserve">Subitem 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 xml:space="preserve">10.10.6 e subitens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 entendemos que a exigir capital circulante é um excesso, considerando a natureza da contratação.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Subitens 11.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0"/>
                <w:sz w:val="21"/>
                <w:szCs w:val="21"/>
                <w:lang w:val="pt-BR" w:eastAsia="zh-CN" w:bidi="hi-IN"/>
              </w:rPr>
              <w:t>17.1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 e 11.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0"/>
                <w:sz w:val="21"/>
                <w:szCs w:val="21"/>
                <w:lang w:val="pt-BR" w:eastAsia="zh-CN" w:bidi="hi-IN"/>
              </w:rPr>
              <w:t>17.2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A licitação será apenas com um item, e no caso destes subitens é uma regar estabelecida para vários itens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1"/>
                <w:szCs w:val="21"/>
              </w:rPr>
              <w:t xml:space="preserve">Subitem </w:t>
            </w:r>
            <w:r>
              <w:rPr>
                <w:rFonts w:eastAsia="Arial" w:cs="Arial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12.1.2:</w:t>
            </w:r>
            <w:r>
              <w:rPr>
                <w:rFonts w:eastAsia="Arial" w:cs="Arial" w:ascii="Arial" w:hAnsi="Arial"/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N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ão é uma licitação onde a formação de preços necessite de planilha de custos e formação de preços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</w:rPr>
              <w:t>Subitem 22.1.2: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single"/>
              </w:rPr>
              <w:t>Justificativa: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u w:val="none"/>
                <w:lang w:val="pt-BR" w:eastAsia="zh-CN" w:bidi="hi-IN"/>
              </w:rPr>
              <w:t xml:space="preserve">não será admitida a antecipação do pagamento, conforme previsto no Termo de Referência, pois não representa condição indispensável para assegurar a prestação do serviço nem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>propicia significativa economia de recursos.</w:t>
            </w:r>
          </w:p>
          <w:p>
            <w:pPr>
              <w:pStyle w:val="LOnormal"/>
              <w:spacing w:lineRule="auto" w:line="360" w:before="120" w:after="120"/>
              <w:ind w:left="0" w:hanging="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Pelos motivos a seguir expostos foram suprimidos d</w:t>
            </w:r>
            <w:r>
              <w:rPr>
                <w:rFonts w:eastAsia="Arial" w:cs="Arial" w:ascii="Arial" w:hAnsi="Arial"/>
                <w:b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a Ata de Registro de Preços: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1"/>
                <w:szCs w:val="21"/>
                <w:u w:val="none"/>
              </w:rPr>
              <w:t>Subitens 8.3 - 8.3.1 – 8.3.2 e 8.4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1"/>
                <w:szCs w:val="21"/>
                <w:u w:val="none"/>
              </w:rPr>
              <w:t>J</w:t>
            </w: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1"/>
                <w:szCs w:val="21"/>
                <w:u w:val="none"/>
              </w:rPr>
              <w:t>ustificativa: A licitação é formada por apenas um item</w:t>
            </w:r>
          </w:p>
          <w:p>
            <w:pPr>
              <w:pStyle w:val="LOnormal"/>
              <w:spacing w:lineRule="auto" w:line="360" w:before="120" w:after="120"/>
              <w:ind w:left="0" w:hanging="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Pelos motivos a seguir expostos foram suprimidos d</w:t>
            </w:r>
            <w:r>
              <w:rPr>
                <w:rFonts w:eastAsia="Arial" w:cs="Arial" w:ascii="Arial" w:hAnsi="Arial"/>
                <w:b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o Contrato:</w:t>
            </w:r>
          </w:p>
          <w:p>
            <w:pPr>
              <w:pStyle w:val="LOnormal"/>
              <w:spacing w:lineRule="auto" w:line="360" w:before="120" w:after="120"/>
              <w:ind w:lef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u w:val="single"/>
                <w:lang w:val="pt-BR" w:eastAsia="zh-CN" w:bidi="hi-IN"/>
              </w:rPr>
              <w:t>Não foi suprimida da minuta do contrato nenhuma cláusula ou texto complementar a cláusula</w:t>
            </w:r>
          </w:p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Foi </w:t>
            </w:r>
            <w:r>
              <w:rPr>
                <w:rFonts w:ascii="Arial" w:hAnsi="Arial"/>
                <w:b/>
                <w:sz w:val="21"/>
                <w:szCs w:val="21"/>
              </w:rPr>
              <w:t>incluída cláusula específica</w:t>
            </w:r>
            <w:r>
              <w:rPr>
                <w:rFonts w:ascii="Arial" w:hAnsi="Arial"/>
                <w:sz w:val="21"/>
                <w:szCs w:val="21"/>
              </w:rPr>
              <w:t xml:space="preserve"> na minuta de: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 Edital     (     )  Contrato   (   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x  )  Outros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Não foram incluídas cláusulas específicas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Petrolina-PE, </w:t>
      </w: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>_____</w:t>
      </w:r>
      <w:r>
        <w:rPr>
          <w:rFonts w:eastAsia="Garamond" w:cs="Garamond" w:ascii="Arial" w:hAnsi="Arial"/>
          <w:color w:val="000000"/>
          <w:kern w:val="0"/>
          <w:sz w:val="21"/>
          <w:szCs w:val="21"/>
          <w:lang w:val="pt-BR" w:eastAsia="zh-CN" w:bidi="hi-IN"/>
        </w:rPr>
        <w:t>_</w:t>
      </w:r>
      <w:r>
        <w:rPr>
          <w:rFonts w:eastAsia="Garamond" w:cs="Garamond" w:ascii="Arial" w:hAnsi="Arial"/>
          <w:sz w:val="21"/>
          <w:szCs w:val="21"/>
        </w:rPr>
        <w:t xml:space="preserve"> de </w:t>
      </w:r>
      <w:r>
        <w:rPr>
          <w:rFonts w:eastAsia="Garamond" w:cs="Garamond" w:ascii="Arial" w:hAnsi="Arial"/>
          <w:color w:val="000000"/>
          <w:kern w:val="0"/>
          <w:sz w:val="21"/>
          <w:szCs w:val="21"/>
          <w:lang w:val="pt-BR" w:eastAsia="zh-CN" w:bidi="hi-IN"/>
        </w:rPr>
        <w:t>________________</w:t>
      </w:r>
      <w:r>
        <w:rPr>
          <w:rFonts w:eastAsia="Garamond" w:cs="Garamond" w:ascii="Arial" w:hAnsi="Arial"/>
          <w:sz w:val="21"/>
          <w:szCs w:val="21"/>
        </w:rPr>
        <w:t xml:space="preserve"> de 2021</w:t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___________________________________</w:t>
      </w:r>
    </w:p>
    <w:p>
      <w:pPr>
        <w:pStyle w:val="LOnormal"/>
        <w:jc w:val="center"/>
        <w:rPr>
          <w:rFonts w:ascii="Arial" w:hAnsi="Arial" w:eastAsia="Garamond" w:cs="Garamond"/>
          <w:color w:val="auto"/>
          <w:kern w:val="0"/>
          <w:sz w:val="21"/>
          <w:szCs w:val="21"/>
          <w:lang w:val="pt-BR" w:eastAsia="zh-CN" w:bidi="hi-IN"/>
        </w:rPr>
      </w:pP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 xml:space="preserve">Responsável Pelo termo de Referência   </w:t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  <w:t>CONSULTA JURÍDICA</w:t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tabs>
          <w:tab w:val="clear" w:pos="720"/>
          <w:tab w:val="left" w:pos="1389" w:leader="none"/>
        </w:tabs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  <w:t xml:space="preserve"> </w:t>
      </w:r>
    </w:p>
    <w:p>
      <w:pPr>
        <w:pStyle w:val="LOnormal"/>
        <w:tabs>
          <w:tab w:val="clear" w:pos="720"/>
          <w:tab w:val="left" w:pos="1389" w:leader="none"/>
        </w:tabs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  <w:t xml:space="preserve"> </w:t>
      </w:r>
      <w:r>
        <w:rPr>
          <w:rStyle w:val="Ncoradanotaderodap"/>
          <w:rFonts w:eastAsia="Garamond" w:cs="Garamond" w:ascii="Arial" w:hAnsi="Arial"/>
          <w:b/>
          <w:sz w:val="21"/>
          <w:szCs w:val="21"/>
          <w:vertAlign w:val="superscript"/>
        </w:rPr>
        <w:footnoteReference w:id="2"/>
      </w:r>
      <w:r>
        <w:rPr>
          <w:rFonts w:eastAsia="Garamond" w:cs="Garamond" w:ascii="Arial" w:hAnsi="Arial"/>
          <w:b/>
          <w:sz w:val="21"/>
          <w:szCs w:val="21"/>
        </w:rPr>
        <w:t>ENCAMINHO</w:t>
      </w:r>
      <w:r>
        <w:rPr>
          <w:rFonts w:eastAsia="Garamond" w:cs="Garamond" w:ascii="Arial" w:hAnsi="Arial"/>
          <w:sz w:val="21"/>
          <w:szCs w:val="21"/>
        </w:rPr>
        <w:t xml:space="preserve"> o processo abaixo para apreciação jurídica dessa Equipe de Trabalho Remoto de Licitações e Contratos – ETRLIC, de acordo com o art. 38, VI e parágrafo único da Lei nº 8.666/93 e Portaria PGF nº 931/2018. </w:t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tbl>
      <w:tblPr>
        <w:tblStyle w:val="Table3"/>
        <w:tblW w:w="9171" w:type="dxa"/>
        <w:jc w:val="left"/>
        <w:tblInd w:w="-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24"/>
        <w:gridCol w:w="4046"/>
      </w:tblGrid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Nome: DIRETORIA DE LICITAÇÕES </w:t>
            </w:r>
          </w:p>
        </w:tc>
      </w:tr>
      <w:tr>
        <w:trPr/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E-mail: licitacoes@ifsertao-pe.edu.br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Telefone: (87) 2101 2373</w:t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69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NUP: </w:t>
            </w:r>
            <w:r>
              <w:rPr>
                <w:rFonts w:eastAsia="DejaVu Sans" w:cs="Times New Roman"/>
                <w:b w:val="false"/>
                <w:bCs w:val="false"/>
                <w:iCs/>
                <w:color w:val="auto"/>
                <w:kern w:val="2"/>
                <w:sz w:val="24"/>
                <w:szCs w:val="24"/>
                <w:lang w:val="pt-BR" w:eastAsia="zh-CN" w:bidi="hi-IN"/>
              </w:rPr>
              <w:t>23302.000235.2021-35</w:t>
            </w:r>
          </w:p>
          <w:p>
            <w:pPr>
              <w:pStyle w:val="LOnormal"/>
              <w:spacing w:lineRule="auto" w:line="240" w:before="69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Nº de volumes: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b/>
                <w:b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Assunto: </w:t>
            </w:r>
            <w:r>
              <w:rPr>
                <w:rFonts w:eastAsia="Garamond" w:cs="Garamond" w:ascii="Arial" w:hAnsi="Arial"/>
                <w:b w:val="false"/>
                <w:sz w:val="21"/>
                <w:szCs w:val="21"/>
              </w:rPr>
              <w:t xml:space="preserve">Análise de um processo licitatório, na </w:t>
            </w:r>
            <w:r>
              <w:rPr>
                <w:rFonts w:eastAsia="Garamond" w:cs="Garamond" w:ascii="Arial" w:hAnsi="Arial"/>
                <w:b/>
                <w:bCs/>
                <w:sz w:val="21"/>
                <w:szCs w:val="21"/>
              </w:rPr>
              <w:t>modalidade:</w:t>
            </w:r>
            <w:r>
              <w:rPr>
                <w:rFonts w:eastAsia="Garamond" w:cs="Garamond" w:ascii="Arial" w:hAnsi="Arial"/>
                <w:b w:val="false"/>
                <w:sz w:val="21"/>
                <w:szCs w:val="21"/>
              </w:rPr>
              <w:t xml:space="preserve"> pregão eletrônico por SRP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, critério de julgamento: </w:t>
            </w:r>
            <w:r>
              <w:rPr>
                <w:rFonts w:eastAsia="Garamond" w:cs="Garamond" w:ascii="Arial" w:hAnsi="Arial"/>
                <w:sz w:val="21"/>
                <w:szCs w:val="21"/>
              </w:rPr>
              <w:t xml:space="preserve">menor preço por </w:t>
            </w:r>
            <w:r>
              <w:rPr>
                <w:rFonts w:eastAsia="Garamond" w:cs="Garamond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item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>,</w:t>
            </w:r>
            <w:r>
              <w:rPr>
                <w:rFonts w:eastAsia="Garamond" w:cs="Garamond" w:ascii="Arial" w:hAnsi="Arial"/>
                <w:b w:val="false"/>
                <w:bCs w:val="false"/>
                <w:sz w:val="21"/>
                <w:szCs w:val="21"/>
              </w:rPr>
              <w:t xml:space="preserve"> não sigiloso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eastAsia="Garamond" w:cs="Garamond" w:ascii="Arial" w:hAnsi="Arial"/>
                <w:b w:val="false"/>
                <w:bCs w:val="false"/>
                <w:sz w:val="21"/>
                <w:szCs w:val="21"/>
              </w:rPr>
              <w:t xml:space="preserve">e 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modo de disputa: </w:t>
            </w:r>
            <w:r>
              <w:rPr>
                <w:rFonts w:eastAsia="Garamond" w:cs="Garamond" w:ascii="Arial" w:hAnsi="Arial"/>
                <w:sz w:val="21"/>
                <w:szCs w:val="21"/>
              </w:rPr>
              <w:t xml:space="preserve">aberto.  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Objeto</w:t>
            </w:r>
            <w:r>
              <w:rPr>
                <w:rFonts w:eastAsia="Garamond" w:cs="Garamond" w:ascii="Arial" w:hAnsi="Arial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color w:val="000000"/>
                <w:sz w:val="21"/>
                <w:szCs w:val="21"/>
              </w:rPr>
              <w:t>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PE.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Valor:</w:t>
            </w:r>
            <w:r>
              <w:rPr>
                <w:rFonts w:eastAsia="Garamond" w:cs="Garamond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Garamond" w:cs="Garamond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R$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45.844,32</w:t>
            </w:r>
            <w:r>
              <w:rPr>
                <w:rFonts w:eastAsia="Garamond" w:cs="Garamond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(Quarenta e cinco mil oitocentos e quarenta e quatro reais e trinta e dois centavos) em 24 meses.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Modalidade: </w:t>
            </w:r>
            <w:r>
              <w:rPr>
                <w:rFonts w:eastAsia="Garamond" w:cs="Garamond" w:ascii="Arial" w:hAnsi="Arial"/>
                <w:sz w:val="21"/>
                <w:szCs w:val="21"/>
              </w:rPr>
              <w:t>Pregão Eletrônico por SRP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color w:val="FF0000"/>
                <w:sz w:val="21"/>
                <w:szCs w:val="21"/>
              </w:rPr>
            </w:pPr>
            <w:r>
              <w:rPr>
                <w:rFonts w:eastAsia="Garamond" w:cs="Garamond" w:ascii="Arial" w:hAnsi="Arial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Complementação: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Gerson de Alencar Lima 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Matrícula SIAPE nº 1881324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Diretor de Licitações 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IF Sertão-PE</w:t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Garamond;serif" w:hAnsi="Garamond;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1906" w:h="16838"/>
      <w:pgMar w:left="1701" w:right="1134" w:header="426" w:top="1701" w:footer="696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Garamond">
    <w:altName w:val="serif"/>
    <w:charset w:val="00"/>
    <w:family w:val="roman"/>
    <w:pitch w:val="variable"/>
  </w:font>
  <w:font w:name="Ecofont_Spranq_eco_Sans">
    <w:charset w:val="00"/>
    <w:family w:val="roman"/>
    <w:pitch w:val="variable"/>
  </w:font>
  <w:font w:name="Garamond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3655" cy="159385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2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2.55pt;height:12.4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ind w:right="140" w:hanging="0"/>
        <w:jc w:val="both"/>
        <w:rPr>
          <w:rFonts w:ascii="Garamond" w:hAnsi="Garamond" w:eastAsia="Garamond" w:cs="Garamond"/>
          <w:b/>
          <w:b/>
        </w:rPr>
      </w:pPr>
      <w:r>
        <w:rPr>
          <w:rStyle w:val="Caracteresdenotaderodap"/>
        </w:rPr>
        <w:footnoteRef/>
      </w:r>
      <w:r>
        <w:rPr>
          <w:rFonts w:eastAsia="Garamond" w:cs="Garamond" w:ascii="Garamond;serif" w:hAnsi="Garamond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.Os dados fornecidos serão de inteira responsabilidade do órgão assessorado e para uso exclusivo do setor de protocolo da ETRLIC.</w:t>
      </w:r>
      <w:r>
        <w:rPr>
          <w:rFonts w:eastAsia="Garamond" w:cs="Garamond" w:ascii="Garamond" w:hAnsi="Garamond"/>
          <w:b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object>
        <v:shape id="ole_rId1" style="width:77.25pt;height:85.5pt" o:ole="">
          <v:imagedata r:id="rId2" o:title=""/>
        </v:shape>
        <o:OLEObject Type="Embed" ProgID="Word.Picture.8" ShapeID="ole_rId1" DrawAspect="Content" ObjectID="_1038623940" r:id="rId1"/>
      </w:objec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b/>
        <w:b/>
      </w:rPr>
    </w:pPr>
    <w:r>
      <w:rPr>
        <w:b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DEPARTAMENTO DE CONSULTORIA –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305</TotalTime>
  <Application>LibreOffice/6.4.6.2$Windows_X86_64 LibreOffice_project/0ce51a4fd21bff07a5c061082cc82c5ed232f115</Application>
  <Pages>5</Pages>
  <Words>909</Words>
  <Characters>5430</Characters>
  <CharactersWithSpaces>6535</CharactersWithSpaces>
  <Paragraphs>102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dcterms:modified xsi:type="dcterms:W3CDTF">2021-05-13T16:17:44Z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