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ANEXO I</w:t>
      </w:r>
    </w:p>
    <w:p>
      <w:pPr>
        <w:pStyle w:val="Normal"/>
        <w:jc w:val="center"/>
        <w:rPr>
          <w:b/>
          <w:b/>
          <w:bCs/>
        </w:rPr>
      </w:pPr>
      <w:r>
        <w:rPr>
          <w:b/>
          <w:bCs/>
        </w:rPr>
      </w:r>
    </w:p>
    <w:p>
      <w:pPr>
        <w:pStyle w:val="Normal"/>
        <w:jc w:val="center"/>
        <w:rPr>
          <w:b/>
          <w:b/>
          <w:color w:val="000000"/>
        </w:rPr>
      </w:pPr>
      <w:r>
        <w:rPr>
          <w:b/>
          <w:color w:val="000000"/>
        </w:rPr>
        <w:t>TERMO DE REFERÊNCIA</w:t>
      </w:r>
    </w:p>
    <w:p>
      <w:pPr>
        <w:pStyle w:val="Normal"/>
        <w:jc w:val="center"/>
        <w:rPr>
          <w:b/>
          <w:b/>
          <w:color w:val="000000"/>
        </w:rPr>
      </w:pPr>
      <w:r>
        <w:rPr>
          <w:b/>
          <w:color w:val="000000"/>
        </w:rPr>
        <w:t xml:space="preserve">PREGÃO ELETRÔNICO </w:t>
      </w:r>
    </w:p>
    <w:p>
      <w:pPr>
        <w:pStyle w:val="Normal"/>
        <w:jc w:val="center"/>
        <w:rPr>
          <w:b/>
          <w:b/>
          <w:color w:val="000000"/>
        </w:rPr>
      </w:pPr>
      <w:r>
        <w:rPr>
          <w:b/>
          <w:color w:val="000000"/>
        </w:rPr>
        <w:t>(COMPRAS)</w:t>
      </w:r>
    </w:p>
    <w:p>
      <w:pPr>
        <w:pStyle w:val="Normal"/>
        <w:spacing w:lineRule="auto" w:line="276" w:before="0" w:after="120"/>
        <w:ind w:right="-15" w:hanging="0"/>
        <w:jc w:val="center"/>
        <w:rPr>
          <w:b/>
          <w:b/>
          <w:i/>
          <w:i/>
          <w:color w:val="FF0000"/>
        </w:rPr>
      </w:pPr>
      <w:r>
        <w:rPr>
          <w:b/>
          <w:i/>
          <w:color w:val="FF0000"/>
        </w:rPr>
      </w:r>
    </w:p>
    <w:p>
      <w:pPr>
        <w:pStyle w:val="Normal"/>
        <w:ind w:left="-397" w:hanging="0"/>
        <w:jc w:val="center"/>
        <w:rPr>
          <w:color w:val="000000"/>
        </w:rPr>
      </w:pPr>
      <w:r>
        <w:rPr>
          <w:rFonts w:eastAsia="Times New Roman" w:cs="Times New Roman" w:ascii="Times New Roman" w:hAnsi="Times New Roman"/>
          <w:b/>
          <w:color w:val="00000A"/>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0"/>
        </w:rPr>
        <w:t>PREGÃO ELETRÔNICO Nº 0</w:t>
      </w:r>
      <w:r>
        <w:rPr>
          <w:rFonts w:eastAsia="Times New Roman" w:cs="Times New Roman" w:ascii="Times New Roman" w:hAnsi="Times New Roman"/>
          <w:b/>
        </w:rPr>
        <w:t>7</w:t>
      </w:r>
      <w:r>
        <w:rPr>
          <w:rFonts w:eastAsia="Times New Roman" w:cs="Times New Roman" w:ascii="Times New Roman" w:hAnsi="Times New Roman"/>
          <w:b/>
          <w:color w:val="000000"/>
        </w:rPr>
        <w:t>/2021</w:t>
      </w:r>
    </w:p>
    <w:p>
      <w:pPr>
        <w:pStyle w:val="Normal"/>
        <w:spacing w:lineRule="auto" w:line="276"/>
        <w:jc w:val="center"/>
        <w:rPr>
          <w:b/>
          <w:b/>
          <w:color w:val="000000"/>
        </w:rPr>
      </w:pPr>
      <w:r>
        <w:rPr>
          <w:b/>
          <w:color w:val="000000"/>
        </w:rPr>
        <w:t xml:space="preserve"> </w:t>
      </w:r>
      <w:r>
        <w:rPr>
          <w:b/>
          <w:color w:val="000000"/>
        </w:rPr>
        <w:t>(Processo Administrativo n.º 23302.000407.2021-71)</w:t>
      </w:r>
    </w:p>
    <w:p>
      <w:pPr>
        <w:pStyle w:val="Normal"/>
        <w:spacing w:lineRule="auto" w:line="276" w:before="0" w:after="120"/>
        <w:ind w:right="-15" w:hanging="0"/>
        <w:jc w:val="center"/>
        <w:rPr>
          <w:b/>
          <w:b/>
          <w:color w:val="000000"/>
        </w:rPr>
      </w:pPr>
      <w:r>
        <w:rPr>
          <w:b/>
          <w:color w:val="000000"/>
        </w:rPr>
      </w:r>
    </w:p>
    <w:p>
      <w:pPr>
        <w:pStyle w:val="Normal"/>
        <w:keepNext w:val="true"/>
        <w:keepLines/>
        <w:numPr>
          <w:ilvl w:val="0"/>
          <w:numId w:val="2"/>
        </w:numPr>
        <w:spacing w:lineRule="auto" w:line="276" w:before="480" w:after="120"/>
        <w:jc w:val="both"/>
        <w:rPr/>
      </w:pPr>
      <w:r>
        <w:rPr>
          <w:b/>
          <w:color w:val="000000"/>
        </w:rPr>
        <w:t>DO OBJETO</w:t>
      </w:r>
    </w:p>
    <w:p>
      <w:pPr>
        <w:pStyle w:val="Normal"/>
        <w:numPr>
          <w:ilvl w:val="1"/>
          <w:numId w:val="1"/>
        </w:numPr>
        <w:tabs>
          <w:tab w:val="clear" w:pos="720"/>
          <w:tab w:val="left" w:pos="360" w:leader="none"/>
        </w:tabs>
        <w:ind w:left="720" w:hanging="360"/>
        <w:jc w:val="both"/>
        <w:rPr/>
      </w:pPr>
      <w:r>
        <w:rPr>
          <w:b/>
          <w:color w:val="000000"/>
        </w:rPr>
        <w:t xml:space="preserve">Aquisição de KIT BÁSICO DE ALIMENTOS para atender os </w:t>
      </w:r>
      <w:r>
        <w:rPr>
          <w:b/>
          <w:i/>
          <w:color w:val="000000"/>
        </w:rPr>
        <w:t xml:space="preserve">campi </w:t>
      </w:r>
      <w:r>
        <w:rPr>
          <w:b/>
          <w:color w:val="000000"/>
        </w:rPr>
        <w:t xml:space="preserve">do IFSertãoPE, </w:t>
      </w:r>
      <w:r>
        <w:rPr>
          <w:color w:val="000000"/>
        </w:rPr>
        <w:t>conforme condições, quantidades e exigências estabelecidas neste instrumento:</w:t>
      </w:r>
    </w:p>
    <w:p>
      <w:pPr>
        <w:pStyle w:val="Normal"/>
        <w:spacing w:lineRule="auto" w:line="276" w:before="0" w:after="120"/>
        <w:ind w:left="360" w:hanging="0"/>
        <w:jc w:val="both"/>
        <w:rPr/>
      </w:pPr>
      <w:r>
        <w:rPr/>
        <w:t xml:space="preserve"> </w:t>
      </w:r>
    </w:p>
    <w:p>
      <w:pPr>
        <w:pStyle w:val="Normal"/>
        <w:ind w:left="360" w:hanging="0"/>
        <w:rPr/>
      </w:pPr>
      <w:r>
        <w:rPr/>
      </w:r>
    </w:p>
    <w:tbl>
      <w:tblPr>
        <w:tblW w:w="9373" w:type="dxa"/>
        <w:jc w:val="left"/>
        <w:tblInd w:w="-147" w:type="dxa"/>
        <w:tblCellMar>
          <w:top w:w="0" w:type="dxa"/>
          <w:left w:w="108" w:type="dxa"/>
          <w:bottom w:w="0" w:type="dxa"/>
          <w:right w:w="108" w:type="dxa"/>
        </w:tblCellMar>
        <w:tblLook w:firstRow="0" w:noVBand="1" w:lastRow="0" w:firstColumn="0" w:lastColumn="0" w:noHBand="0" w:val="0400"/>
      </w:tblPr>
      <w:tblGrid>
        <w:gridCol w:w="568"/>
        <w:gridCol w:w="5068"/>
        <w:gridCol w:w="1367"/>
        <w:gridCol w:w="1155"/>
        <w:gridCol w:w="1215"/>
      </w:tblGrid>
      <w:tr>
        <w:trPr>
          <w:trHeight w:val="300" w:hRule="atLeast"/>
        </w:trPr>
        <w:tc>
          <w:tcPr>
            <w:tcW w:w="568" w:type="dxa"/>
            <w:tcBorders>
              <w:top w:val="single" w:sz="4" w:space="0" w:color="000000"/>
              <w:left w:val="single" w:sz="4" w:space="0" w:color="000000"/>
              <w:bottom w:val="single" w:sz="4" w:space="0" w:color="000000"/>
              <w:right w:val="single" w:sz="4" w:space="0" w:color="000000"/>
            </w:tcBorders>
            <w:shd w:color="auto" w:fill="6AA84F" w:val="clear"/>
          </w:tcPr>
          <w:p>
            <w:pPr>
              <w:pStyle w:val="Normal"/>
              <w:widowControl w:val="false"/>
              <w:ind w:left="-141" w:hanging="0"/>
              <w:jc w:val="center"/>
              <w:rPr>
                <w:b/>
                <w:b/>
                <w:color w:val="000000"/>
                <w:sz w:val="18"/>
                <w:szCs w:val="18"/>
              </w:rPr>
            </w:pPr>
            <w:r>
              <w:rPr>
                <w:b/>
                <w:sz w:val="18"/>
                <w:szCs w:val="18"/>
              </w:rPr>
              <w:t>Item</w:t>
            </w:r>
          </w:p>
          <w:p>
            <w:pPr>
              <w:pStyle w:val="Normal"/>
              <w:widowControl w:val="false"/>
              <w:jc w:val="center"/>
              <w:rPr>
                <w:b/>
                <w:b/>
                <w:color w:val="000000"/>
                <w:sz w:val="18"/>
                <w:szCs w:val="18"/>
              </w:rPr>
            </w:pPr>
            <w:r>
              <w:rPr>
                <w:b/>
                <w:color w:val="000000"/>
                <w:sz w:val="18"/>
                <w:szCs w:val="18"/>
              </w:rPr>
            </w:r>
          </w:p>
        </w:tc>
        <w:tc>
          <w:tcPr>
            <w:tcW w:w="5068" w:type="dxa"/>
            <w:tcBorders>
              <w:top w:val="single" w:sz="4" w:space="0" w:color="000000"/>
              <w:left w:val="single" w:sz="4" w:space="0" w:color="000000"/>
              <w:bottom w:val="single" w:sz="4" w:space="0" w:color="000000"/>
              <w:right w:val="single" w:sz="4" w:space="0" w:color="000000"/>
            </w:tcBorders>
            <w:shd w:color="auto" w:fill="6AA84F" w:val="clear"/>
          </w:tcPr>
          <w:p>
            <w:pPr>
              <w:pStyle w:val="Normal"/>
              <w:jc w:val="center"/>
              <w:rPr>
                <w:color w:val="000000"/>
                <w:sz w:val="18"/>
                <w:szCs w:val="18"/>
              </w:rPr>
            </w:pPr>
            <w:r>
              <w:rPr>
                <w:b/>
                <w:color w:val="000000"/>
                <w:sz w:val="18"/>
                <w:szCs w:val="18"/>
              </w:rPr>
              <w:t>Descrição/Especificação</w:t>
            </w:r>
          </w:p>
        </w:tc>
        <w:tc>
          <w:tcPr>
            <w:tcW w:w="1367" w:type="dxa"/>
            <w:tcBorders>
              <w:top w:val="single" w:sz="4" w:space="0" w:color="000000"/>
              <w:left w:val="single" w:sz="4" w:space="0" w:color="000000"/>
              <w:bottom w:val="single" w:sz="4" w:space="0" w:color="000000"/>
              <w:right w:val="single" w:sz="4" w:space="0" w:color="000000"/>
            </w:tcBorders>
            <w:shd w:color="auto" w:fill="6AA84F" w:val="clear"/>
          </w:tcPr>
          <w:p>
            <w:pPr>
              <w:pStyle w:val="Normal"/>
              <w:widowControl w:val="false"/>
              <w:ind w:left="-112" w:right="-106" w:hanging="0"/>
              <w:jc w:val="center"/>
              <w:rPr>
                <w:color w:val="000000"/>
                <w:sz w:val="18"/>
                <w:szCs w:val="18"/>
              </w:rPr>
            </w:pPr>
            <w:r>
              <w:rPr>
                <w:b/>
                <w:color w:val="000000"/>
                <w:sz w:val="18"/>
                <w:szCs w:val="18"/>
              </w:rPr>
              <w:t>Identificação O CATMAT</w:t>
            </w:r>
          </w:p>
        </w:tc>
        <w:tc>
          <w:tcPr>
            <w:tcW w:w="1155" w:type="dxa"/>
            <w:tcBorders>
              <w:top w:val="single" w:sz="4" w:space="0" w:color="000000"/>
              <w:left w:val="single" w:sz="4" w:space="0" w:color="000000"/>
              <w:bottom w:val="single" w:sz="4" w:space="0" w:color="000000"/>
              <w:right w:val="single" w:sz="4" w:space="0" w:color="000000"/>
            </w:tcBorders>
            <w:shd w:color="auto" w:fill="6AA84F" w:val="clear"/>
          </w:tcPr>
          <w:p>
            <w:pPr>
              <w:pStyle w:val="Normal"/>
              <w:widowControl w:val="false"/>
              <w:jc w:val="center"/>
              <w:rPr>
                <w:color w:val="000000"/>
                <w:sz w:val="18"/>
                <w:szCs w:val="18"/>
              </w:rPr>
            </w:pPr>
            <w:r>
              <w:rPr>
                <w:b/>
                <w:color w:val="000000"/>
                <w:sz w:val="18"/>
                <w:szCs w:val="18"/>
              </w:rPr>
              <w:t>Unidade de Medida</w:t>
            </w:r>
          </w:p>
        </w:tc>
        <w:tc>
          <w:tcPr>
            <w:tcW w:w="1215" w:type="dxa"/>
            <w:tcBorders>
              <w:top w:val="single" w:sz="4" w:space="0" w:color="000000"/>
              <w:left w:val="single" w:sz="4" w:space="0" w:color="000000"/>
              <w:bottom w:val="single" w:sz="4" w:space="0" w:color="000000"/>
              <w:right w:val="single" w:sz="4" w:space="0" w:color="000000"/>
            </w:tcBorders>
            <w:shd w:color="auto" w:fill="6AA84F" w:val="clear"/>
          </w:tcPr>
          <w:p>
            <w:pPr>
              <w:pStyle w:val="Normal"/>
              <w:widowControl w:val="false"/>
              <w:ind w:left="-141" w:right="-108" w:hanging="0"/>
              <w:jc w:val="center"/>
              <w:rPr>
                <w:color w:val="000000"/>
                <w:sz w:val="18"/>
                <w:szCs w:val="18"/>
              </w:rPr>
            </w:pPr>
            <w:r>
              <w:rPr>
                <w:b/>
                <w:color w:val="000000"/>
                <w:sz w:val="18"/>
                <w:szCs w:val="18"/>
              </w:rPr>
              <w:t>Quantidade Total</w:t>
            </w:r>
          </w:p>
        </w:tc>
      </w:tr>
      <w:tr>
        <w:trPr>
          <w:trHeight w:val="2885"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r>
          </w:p>
          <w:p>
            <w:pPr>
              <w:pStyle w:val="Normal"/>
              <w:widowControl w:val="false"/>
              <w:spacing w:lineRule="auto" w:line="276" w:before="0" w:after="120"/>
              <w:jc w:val="center"/>
              <w:rPr>
                <w:b/>
                <w:b/>
                <w:color w:val="000000"/>
              </w:rPr>
            </w:pPr>
            <w:r>
              <w:rPr>
                <w:b/>
                <w:color w:val="000000"/>
              </w:rPr>
              <w:t>1</w:t>
            </w:r>
          </w:p>
        </w:tc>
        <w:tc>
          <w:tcPr>
            <w:tcW w:w="5068" w:type="dxa"/>
            <w:tcBorders>
              <w:top w:val="single" w:sz="4" w:space="0" w:color="000000"/>
              <w:left w:val="single" w:sz="4" w:space="0" w:color="000000"/>
              <w:bottom w:val="single" w:sz="4" w:space="0" w:color="000000"/>
              <w:right w:val="single" w:sz="4" w:space="0" w:color="000000"/>
            </w:tcBorders>
          </w:tcPr>
          <w:p>
            <w:pPr>
              <w:pStyle w:val="Normal"/>
              <w:jc w:val="both"/>
              <w:rPr>
                <w:b/>
                <w:b/>
                <w:color w:val="000000"/>
              </w:rPr>
            </w:pPr>
            <w:r>
              <w:rPr>
                <w:b/>
                <w:color w:val="000000"/>
              </w:rPr>
              <w:t xml:space="preserve">Kit básico de alimentos contendo: </w:t>
            </w:r>
          </w:p>
          <w:p>
            <w:pPr>
              <w:pStyle w:val="Normal"/>
              <w:jc w:val="both"/>
              <w:rPr>
                <w:color w:val="000000"/>
              </w:rPr>
            </w:pPr>
            <w:r>
              <w:rPr>
                <w:color w:val="000000"/>
              </w:rPr>
            </w:r>
          </w:p>
          <w:p>
            <w:pPr>
              <w:pStyle w:val="Normal"/>
              <w:widowControl w:val="false"/>
              <w:spacing w:lineRule="auto" w:line="276" w:before="0" w:after="120"/>
              <w:jc w:val="both"/>
              <w:rPr/>
            </w:pPr>
            <w:r>
              <w:rPr>
                <w:b/>
              </w:rPr>
              <w:t>- 1kg Açúcar</w:t>
            </w:r>
            <w:r>
              <w:rPr/>
              <w:t>, tipo: cristal, prazo validade mínimo: 12 meses. DESCRIÇÃO COMPLEMENTAR: Açúcar, tipo CRISTAL branco de 1ª qualidade, acondicionado em embalagem transparente de 1 Kg, com todas as informações pertinentes ao produto, previsto na legislação vigente, com prazo de validade de 12 meses no momento da entrega. Unidade de medida: pacote com 01 Kg. Quantidade: 01.</w:t>
            </w:r>
          </w:p>
          <w:p>
            <w:pPr>
              <w:pStyle w:val="Normal"/>
              <w:widowControl w:val="false"/>
              <w:spacing w:lineRule="auto" w:line="276" w:before="0" w:after="120"/>
              <w:jc w:val="both"/>
              <w:rPr/>
            </w:pPr>
            <w:r>
              <w:rPr/>
            </w:r>
          </w:p>
          <w:p>
            <w:pPr>
              <w:pStyle w:val="Normal"/>
              <w:jc w:val="both"/>
              <w:rPr>
                <w:color w:val="000000"/>
              </w:rPr>
            </w:pPr>
            <w:r>
              <w:rPr>
                <w:b/>
                <w:color w:val="000000"/>
              </w:rPr>
              <w:t>- 01 kg arroz</w:t>
            </w:r>
            <w:r>
              <w:rPr>
                <w:color w:val="000000"/>
              </w:rPr>
              <w:t xml:space="preserve"> beneficiado, tipo: parboilizado, subgrupo: polido, classe: longo fino, qualidade: tipo 1. DESCRIÇÃO COMPLEMENTAR: Arroz PARBOILIZADO, polido, tipo 1, limpo, industrializado, sem fios brancos característicos de infestação, sem contaminantes. Rotulagem de acordo com a legislação. Deverá apresentar validade mínima de 06 meses a partir da data de entrega. Unidade de medida: pacote com 01 Kg. </w:t>
            </w:r>
          </w:p>
          <w:p>
            <w:pPr>
              <w:pStyle w:val="Normal"/>
              <w:widowControl w:val="false"/>
              <w:spacing w:lineRule="auto" w:line="276" w:before="0" w:after="120"/>
              <w:jc w:val="both"/>
              <w:rPr>
                <w:color w:val="000000"/>
              </w:rPr>
            </w:pPr>
            <w:r>
              <w:rPr>
                <w:color w:val="000000"/>
              </w:rPr>
            </w:r>
          </w:p>
          <w:p>
            <w:pPr>
              <w:pStyle w:val="Normal"/>
              <w:jc w:val="both"/>
              <w:rPr>
                <w:color w:val="000000"/>
              </w:rPr>
            </w:pPr>
            <w:r>
              <w:rPr>
                <w:color w:val="000000"/>
              </w:rPr>
              <w:t xml:space="preserve">- </w:t>
            </w:r>
            <w:r>
              <w:rPr>
                <w:b/>
                <w:color w:val="000000"/>
              </w:rPr>
              <w:t>01</w:t>
            </w:r>
            <w:r>
              <w:rPr>
                <w:color w:val="000000"/>
              </w:rPr>
              <w:t xml:space="preserve"> </w:t>
            </w:r>
            <w:r>
              <w:rPr>
                <w:b/>
                <w:color w:val="000000"/>
              </w:rPr>
              <w:t>Aveia beneficiada</w:t>
            </w:r>
            <w:r>
              <w:rPr>
                <w:color w:val="000000"/>
              </w:rPr>
              <w:t xml:space="preserve">, classe: branca, apresentação: em flocos finos, presença de glúten: contém glúten. DESCRIÇÃO COMPLEMENTAR: 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Unidade de medida: embalagem de 165g </w:t>
            </w:r>
            <w:r>
              <w:rPr/>
              <w:t>a</w:t>
            </w:r>
            <w:r>
              <w:rPr>
                <w:color w:val="000000"/>
              </w:rPr>
              <w:t xml:space="preserve"> </w:t>
            </w:r>
            <w:r>
              <w:rPr/>
              <w:t>170</w:t>
            </w:r>
            <w:r>
              <w:rPr>
                <w:color w:val="000000"/>
              </w:rPr>
              <w:t xml:space="preserve">g. Quantidade: 01. </w:t>
            </w:r>
          </w:p>
          <w:p>
            <w:pPr>
              <w:pStyle w:val="Normal"/>
              <w:widowControl w:val="false"/>
              <w:spacing w:lineRule="auto" w:line="276" w:before="0" w:after="120"/>
              <w:jc w:val="both"/>
              <w:rPr>
                <w:color w:val="000000"/>
              </w:rPr>
            </w:pPr>
            <w:r>
              <w:rPr>
                <w:color w:val="000000"/>
              </w:rPr>
            </w:r>
          </w:p>
          <w:p>
            <w:pPr>
              <w:pStyle w:val="Normal"/>
              <w:jc w:val="both"/>
              <w:rPr>
                <w:color w:val="000000"/>
              </w:rPr>
            </w:pPr>
            <w:r>
              <w:rPr>
                <w:b/>
                <w:color w:val="000000"/>
              </w:rPr>
              <w:t>- 01 Pacote de Biscoito</w:t>
            </w:r>
            <w:r>
              <w:rPr>
                <w:color w:val="000000"/>
              </w:rPr>
              <w:t xml:space="preserve">, apresentação: quadrado, classificação: salgado, tipo: cream cracker. DESCRIÇÃO COMPLEMENTAR: Biscoito salgado cream cracker. Rotulagem de acordo com a legislação. Validade mínima de 6 meses a partir da data de entrega. Unidade de medida: pacote de 400g. Quantidade: 01. </w:t>
            </w:r>
          </w:p>
          <w:p>
            <w:pPr>
              <w:pStyle w:val="Normal"/>
              <w:jc w:val="both"/>
              <w:rPr>
                <w:color w:val="000000"/>
              </w:rPr>
            </w:pPr>
            <w:r>
              <w:rPr>
                <w:color w:val="000000"/>
              </w:rPr>
            </w:r>
          </w:p>
          <w:p>
            <w:pPr>
              <w:pStyle w:val="Normal"/>
              <w:jc w:val="both"/>
              <w:rPr>
                <w:color w:val="000000"/>
              </w:rPr>
            </w:pPr>
            <w:r>
              <w:rPr>
                <w:color w:val="000000"/>
              </w:rPr>
              <w:t xml:space="preserve">- </w:t>
            </w:r>
          </w:p>
          <w:p>
            <w:pPr>
              <w:pStyle w:val="Normal"/>
              <w:jc w:val="both"/>
              <w:rPr>
                <w:color w:val="000000"/>
              </w:rPr>
            </w:pPr>
            <w:r>
              <w:rPr>
                <w:b/>
                <w:color w:val="000000"/>
              </w:rPr>
              <w:t>01 Pacote de Café</w:t>
            </w:r>
            <w:r>
              <w:rPr>
                <w:color w:val="000000"/>
              </w:rPr>
              <w:t xml:space="preserve">, apresentação: torrado moído, intensidade: média, tipo: tradicional, empacotamento: vácuo, prazo validade mínimo: 15 meses. DESCRIÇÃO COMPLEMENTAR: Café tradicional, torrado, moído e embalado à vácuo, com selo ABIC. Rotulagem de acordo com a legislação. Deverá apresentar validade mínima de 12 meses a partir da data de entrega à unidade requisitante. Unidade de medida: Pacote com 250g. Quantidade: 01. </w:t>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b/>
                <w:color w:val="000000"/>
              </w:rPr>
              <w:t>- 02 pacotes de Farinha de milho</w:t>
            </w:r>
            <w:r>
              <w:rPr>
                <w:color w:val="000000"/>
              </w:rPr>
              <w:t xml:space="preserve">, grão: amarelo, tipo: flocada, apresentação: pré-cozida, característica adicional: transgênico, ingrediente adicional: fortificada com ferro e ácido fólico. DESCRIÇÃO COMPLEMENTAR: Farinha milho para CUSCUZ, apresentação flocos milho, tipo pré-cozida, boa qualidade, sem glúten. Características adicionais: sem sal. enriquecida com ferro e ácido fólico </w:t>
            </w:r>
            <w:r>
              <w:rPr/>
              <w:t>(</w:t>
            </w:r>
            <w:r>
              <w:rPr>
                <w:color w:val="000000"/>
              </w:rPr>
              <w:t xml:space="preserve">vitamina B9). Rotulagem de acordo com a legislação vigente. Deverá apresentar validade mínima de 3 meses a partir da data de entrega. Unidade de medida: pacote de 500g. Quantidade: 02. </w:t>
            </w:r>
          </w:p>
          <w:p>
            <w:pPr>
              <w:pStyle w:val="Normal"/>
              <w:jc w:val="both"/>
              <w:rPr>
                <w:color w:val="000000"/>
              </w:rPr>
            </w:pPr>
            <w:r>
              <w:rPr>
                <w:color w:val="000000"/>
              </w:rPr>
            </w:r>
          </w:p>
          <w:p>
            <w:pPr>
              <w:pStyle w:val="Normal"/>
              <w:jc w:val="both"/>
              <w:rPr>
                <w:color w:val="000000"/>
              </w:rPr>
            </w:pPr>
            <w:r>
              <w:rPr>
                <w:b/>
                <w:color w:val="000000"/>
              </w:rPr>
              <w:t>- 01 Kg de Leguminosa</w:t>
            </w:r>
            <w:r>
              <w:rPr>
                <w:color w:val="000000"/>
              </w:rPr>
              <w:t xml:space="preserve">, variedade: </w:t>
            </w:r>
            <w:r>
              <w:rPr>
                <w:b/>
                <w:color w:val="000000"/>
              </w:rPr>
              <w:t>feijão carioca</w:t>
            </w:r>
            <w:r>
              <w:rPr>
                <w:color w:val="000000"/>
              </w:rPr>
              <w:t xml:space="preserve">, tipo: tipo 1. DESCRIÇÃO COMPLEMENTAR: Feijão carioca, industrializado, tipo 1. Cores rajadas de marrom claro e escuro, classe cores, grupo I comum. Embalagem plástica transparente. Rotulagem em conformidade à legislação. Isento de matéria terrosa, parasitas, fungos, vestígios de insetos, livres de umidade e coloração </w:t>
            </w:r>
            <w:r>
              <w:rPr/>
              <w:t>específica.</w:t>
            </w:r>
            <w:r>
              <w:rPr>
                <w:color w:val="000000"/>
              </w:rPr>
              <w:t xml:space="preserve"> O produto deverá apresentar validade mínima de 06 meses a partir da data de entrega à unidade requisitante. Unidade de medida: Embalagem de 1kg. Quantidade: 01. </w:t>
            </w:r>
          </w:p>
          <w:p>
            <w:pPr>
              <w:pStyle w:val="Normal"/>
              <w:jc w:val="both"/>
              <w:rPr>
                <w:color w:val="000000"/>
              </w:rPr>
            </w:pPr>
            <w:r>
              <w:rPr>
                <w:color w:val="000000"/>
              </w:rPr>
            </w:r>
          </w:p>
          <w:p>
            <w:pPr>
              <w:pStyle w:val="Normal"/>
              <w:jc w:val="both"/>
              <w:rPr>
                <w:color w:val="000000"/>
              </w:rPr>
            </w:pPr>
            <w:r>
              <w:rPr>
                <w:b/>
                <w:color w:val="000000"/>
              </w:rPr>
              <w:t>- 01 Caixa de Amido</w:t>
            </w:r>
            <w:r>
              <w:rPr>
                <w:color w:val="000000"/>
              </w:rPr>
              <w:t xml:space="preserve">, base: de mandioca, grupo: tapioca, subgrupo: goma, características adicionais: massa hidratada para tapioca, sem sabor. DESCRIÇÃO COMPLEMENTAR: Amido, base de mandioca, massa pronta para tapioca de primeira qualidade, subgrupo goma, características adicionais massa hidratada para tapioca, sem sabor. A Embalagem deverá conter rótulo com os dados de identificação, procedência e validade. Prazo de validade mínimo de 90 dias a partir da data de entrega à unidade requisitante. Unidade de medida: Embalagem 500g. Quantidade: 01. </w:t>
            </w:r>
          </w:p>
          <w:p>
            <w:pPr>
              <w:pStyle w:val="Normal"/>
              <w:jc w:val="both"/>
              <w:rPr>
                <w:color w:val="000000"/>
              </w:rPr>
            </w:pPr>
            <w:r>
              <w:rPr>
                <w:color w:val="000000"/>
              </w:rPr>
            </w:r>
          </w:p>
          <w:p>
            <w:pPr>
              <w:pStyle w:val="Normal"/>
              <w:jc w:val="both"/>
              <w:rPr>
                <w:color w:val="000000"/>
              </w:rPr>
            </w:pPr>
            <w:r>
              <w:rPr>
                <w:color w:val="000000"/>
              </w:rPr>
              <w:t xml:space="preserve">- </w:t>
            </w:r>
            <w:r>
              <w:rPr>
                <w:b/>
                <w:color w:val="000000"/>
              </w:rPr>
              <w:t>02 Pacotes de Leite em pó</w:t>
            </w:r>
            <w:r>
              <w:rPr>
                <w:color w:val="000000"/>
              </w:rPr>
              <w:t xml:space="preserve">, origem: de vaca, teor gordura: integral, solubilidade: instantâneo. DESCRIÇÃO COMPLEMENTAR: Leite em pó integral, sem adição de açúcar, Instantâneo. Deverá apresentar validade mínima de 06 meses a partir da data de entrega à unidade requisitante. NÃO PODE SER LEITE MODIFICADO NEM PRODUTO LÁCTEO. Rotulagem de acordo com a legislação vigente. Unidade de medida: Pacote de 200g. Quantidade: 02. </w:t>
            </w:r>
          </w:p>
          <w:p>
            <w:pPr>
              <w:pStyle w:val="Normal"/>
              <w:jc w:val="both"/>
              <w:rPr>
                <w:color w:val="000000"/>
              </w:rPr>
            </w:pPr>
            <w:r>
              <w:rPr>
                <w:color w:val="000000"/>
              </w:rPr>
            </w:r>
          </w:p>
          <w:p>
            <w:pPr>
              <w:pStyle w:val="Normal"/>
              <w:jc w:val="both"/>
              <w:rPr>
                <w:color w:val="000000"/>
              </w:rPr>
            </w:pPr>
            <w:r>
              <w:rPr>
                <w:color w:val="000000"/>
              </w:rPr>
              <w:t xml:space="preserve">- </w:t>
            </w:r>
            <w:r>
              <w:rPr>
                <w:b/>
                <w:color w:val="000000"/>
              </w:rPr>
              <w:t>02 pacotes de macarrão</w:t>
            </w:r>
            <w:r>
              <w:rPr>
                <w:color w:val="000000"/>
              </w:rPr>
              <w:t>, teor de umidade: massa seca, base da massa: de farinha de trigo, apresentação: espaguete. DESCRIÇÃO COMPLEMENTAR: Macarrão fino. tipo espaguete</w:t>
            </w:r>
            <w:r>
              <w:rPr/>
              <w:t>,</w:t>
            </w:r>
            <w:r>
              <w:rPr>
                <w:color w:val="000000"/>
              </w:rPr>
              <w:t xml:space="preserve"> de 1ª qualidade, íntegro. Rotulagem de acordo com a legislação vigente. Deverá apresentar validade mínima de 10 meses a partir da data de entrega à unidade requisitante. Unidade de Medida: Pacote com 500 g. Quantidade: 02. </w:t>
            </w:r>
          </w:p>
          <w:p>
            <w:pPr>
              <w:pStyle w:val="Normal"/>
              <w:jc w:val="both"/>
              <w:rPr>
                <w:color w:val="000000"/>
              </w:rPr>
            </w:pPr>
            <w:r>
              <w:rPr>
                <w:color w:val="000000"/>
              </w:rPr>
            </w:r>
          </w:p>
          <w:p>
            <w:pPr>
              <w:pStyle w:val="Normal"/>
              <w:jc w:val="both"/>
              <w:rPr>
                <w:color w:val="000000"/>
              </w:rPr>
            </w:pPr>
            <w:r>
              <w:rPr>
                <w:b/>
                <w:color w:val="000000"/>
              </w:rPr>
              <w:t>01 pacote de Canjica</w:t>
            </w:r>
            <w:r>
              <w:rPr>
                <w:color w:val="000000"/>
              </w:rPr>
              <w:t xml:space="preserve">, grupo: especial, nº 3, subgrupo: despeliculada, classe: branca, qualidade: tipo 1, característica adicional: não transgênico. DESCRIÇÃO COMPLEMENTAR: Canjica de milho branco – Milho, de cor branca, grupo especial, despeliculado, tipo 1, para preparo do Munguzá doce (Canjica), grãos sem mofo, embalagem plástica, resistente, sem perfurações, validade mínima de 4 meses a partir da data de entrega à unidade requisitante. Rotulagem em conformidade à legislação vigente. Unidade de medida: pacote com 500g. Quantidade: 01. </w:t>
            </w:r>
          </w:p>
          <w:p>
            <w:pPr>
              <w:pStyle w:val="Normal"/>
              <w:jc w:val="both"/>
              <w:rPr>
                <w:color w:val="000000"/>
              </w:rPr>
            </w:pPr>
            <w:r>
              <w:rPr>
                <w:color w:val="000000"/>
              </w:rPr>
            </w:r>
          </w:p>
          <w:p>
            <w:pPr>
              <w:pStyle w:val="Normal"/>
              <w:jc w:val="both"/>
              <w:rPr>
                <w:color w:val="000000"/>
              </w:rPr>
            </w:pPr>
            <w:r>
              <w:rPr>
                <w:b/>
                <w:color w:val="000000"/>
              </w:rPr>
              <w:t>- 01 pacote de Milho</w:t>
            </w:r>
            <w:r>
              <w:rPr>
                <w:color w:val="000000"/>
              </w:rPr>
              <w:t xml:space="preserve">, tipo grão, aplicação munguzá (canjica). DESCRIÇÃO COMPLEMENTAR: Canjica de milho amarela – Milho, de cor amarelo, grupo especial, despeliculado, tipo 1, para preparo do Munguzá doce (Canjica), grãos sem mofo, embalagem plástica, resistente, sem perfurações, validade mínima de 4 meses a partir da data de entrega à unidade requisitante. Rotulagem em conformidade à legislação vigente. Unidade de medida: pacote com 500g. Quantidade: 01. </w:t>
            </w:r>
          </w:p>
          <w:p>
            <w:pPr>
              <w:pStyle w:val="Normal"/>
              <w:jc w:val="both"/>
              <w:rPr>
                <w:color w:val="000000"/>
              </w:rPr>
            </w:pPr>
            <w:r>
              <w:rPr>
                <w:color w:val="000000"/>
              </w:rPr>
            </w:r>
          </w:p>
          <w:p>
            <w:pPr>
              <w:pStyle w:val="Normal"/>
              <w:jc w:val="both"/>
              <w:rPr>
                <w:color w:val="000000"/>
              </w:rPr>
            </w:pPr>
            <w:r>
              <w:rPr>
                <w:b/>
                <w:color w:val="000000"/>
              </w:rPr>
              <w:t>- 01 pacote de Proteína texturizada soja</w:t>
            </w:r>
            <w:r>
              <w:rPr>
                <w:color w:val="000000"/>
              </w:rPr>
              <w:t xml:space="preserve">, composição básica: proteína de soja 50% e carboidrato 30%, apresentação: flocos, aspecto físico: desidratada, sabor: carne bovina. DESCRIÇÃO COMPLEMENTAR: Proteína texturizada MÉDIA de soja, SABOR CARNE, com aspecto cor, cheiro e sabor próprio, isenta de sujidades, em saco plástico transparente. Rotulagem de acordo com a legislação vigente. SOJA NÃO TRANSGÊNICA. Deverá apresentar validade mínima de 6 meses a partir da data de entrega à unidade requisitante. Unidade de medida: Pacote com 400 g. Quantidade: 01. </w:t>
            </w:r>
          </w:p>
          <w:p>
            <w:pPr>
              <w:pStyle w:val="Normal"/>
              <w:widowControl w:val="false"/>
              <w:spacing w:lineRule="auto" w:line="276" w:before="0" w:after="120"/>
              <w:jc w:val="both"/>
              <w:rPr>
                <w:color w:val="000000"/>
              </w:rPr>
            </w:pPr>
            <w:r>
              <w:rPr>
                <w:color w:val="000000"/>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b/>
                <w:b/>
              </w:rPr>
            </w:pPr>
            <w:r>
              <w:rPr>
                <w:b/>
              </w:rPr>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color w:val="000000"/>
              </w:rPr>
            </w:pPr>
            <w:r>
              <w:rPr/>
              <w:t xml:space="preserve">Unidade </w:t>
            </w:r>
          </w:p>
        </w:tc>
        <w:tc>
          <w:tcPr>
            <w:tcW w:w="1215"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p>
            <w:pPr>
              <w:pStyle w:val="Normal"/>
              <w:widowControl w:val="false"/>
              <w:spacing w:lineRule="auto" w:line="276" w:before="0" w:after="120"/>
              <w:rPr/>
            </w:pPr>
            <w:r>
              <w:rPr/>
              <w:t xml:space="preserve"> </w:t>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color w:val="000000"/>
              </w:rPr>
            </w:pPr>
            <w:r>
              <w:rPr/>
              <w:t>17345</w:t>
            </w:r>
          </w:p>
        </w:tc>
      </w:tr>
    </w:tbl>
    <w:p>
      <w:pPr>
        <w:pStyle w:val="Normal"/>
        <w:spacing w:lineRule="auto" w:line="276" w:before="0" w:after="120"/>
        <w:jc w:val="both"/>
        <w:rPr>
          <w:b/>
          <w:b/>
        </w:rPr>
      </w:pPr>
      <w:r>
        <w:rPr>
          <w:b/>
        </w:rPr>
      </w:r>
    </w:p>
    <w:p>
      <w:pPr>
        <w:pStyle w:val="Normal"/>
        <w:tabs>
          <w:tab w:val="clear" w:pos="720"/>
          <w:tab w:val="left" w:pos="567" w:leader="none"/>
        </w:tabs>
        <w:spacing w:lineRule="auto" w:line="276" w:before="120" w:after="120"/>
        <w:ind w:left="567" w:right="-143" w:hanging="0"/>
        <w:jc w:val="both"/>
        <w:rPr/>
      </w:pPr>
      <w:r>
        <w:rPr>
          <w:b/>
        </w:rPr>
        <w:t xml:space="preserve">1.1.1 </w:t>
      </w:r>
      <w:r>
        <w:rPr>
          <w:bCs/>
        </w:rPr>
        <w:t>Os</w:t>
      </w:r>
      <w:r>
        <w:rPr>
          <w:b/>
        </w:rPr>
        <w:t xml:space="preserve"> </w:t>
      </w:r>
      <w:r>
        <w:rPr/>
        <w:t xml:space="preserve">Valores MÁXIMOS admitidos pela Administração e Estimativas de consumo individualizadas e requisição mínima, dos campi participantes do IF Sertão – PE, unidade de medida estão presentes no ANEXO I – B e ANEXO I – C respectivamente, deste instrumento. </w:t>
      </w:r>
    </w:p>
    <w:p>
      <w:pPr>
        <w:pStyle w:val="Normal"/>
        <w:numPr>
          <w:ilvl w:val="1"/>
          <w:numId w:val="1"/>
        </w:numPr>
        <w:tabs>
          <w:tab w:val="clear" w:pos="720"/>
          <w:tab w:val="left" w:pos="0" w:leader="none"/>
        </w:tabs>
        <w:spacing w:lineRule="auto" w:line="276" w:before="0" w:after="120"/>
        <w:jc w:val="both"/>
        <w:rPr/>
      </w:pPr>
      <w:r>
        <w:rPr>
          <w:color w:val="000000"/>
        </w:rPr>
        <w:t xml:space="preserve"> </w:t>
      </w:r>
      <w:r>
        <w:rPr>
          <w:color w:val="000000"/>
        </w:rPr>
        <w:t xml:space="preserve">A vigência do contrato poderá ultrapassar o exercício financeiro, desde que as despesas referentes à contratação sejam integralmente empenhadas até 31 de dezembro, para fins de inscrição em restos a pagar, conforme Orientação Normativa AGU n° 39, de 13/12/2011. </w:t>
      </w:r>
    </w:p>
    <w:p>
      <w:pPr>
        <w:pStyle w:val="Normal"/>
        <w:numPr>
          <w:ilvl w:val="1"/>
          <w:numId w:val="1"/>
        </w:numPr>
        <w:tabs>
          <w:tab w:val="clear" w:pos="720"/>
          <w:tab w:val="left" w:pos="0" w:leader="none"/>
        </w:tabs>
        <w:spacing w:lineRule="auto" w:line="276" w:before="0" w:after="120"/>
        <w:jc w:val="both"/>
        <w:rPr/>
      </w:pPr>
      <w:r>
        <w:rPr/>
        <w:t xml:space="preserve"> </w:t>
      </w:r>
      <w:r>
        <w:rPr/>
        <w:t>Em caso de algum dos itens acima listados virem a compor a Chamada Pública da Agricultura Familiar que será realizada pelo IF Sertão-PE ainda no exercício de 2021 será dada preferência a essa forma de aquisição, haja vista a recomendação descrita na Resolução FNDE nº 02/2020.</w:t>
      </w:r>
      <w:bookmarkStart w:id="0" w:name="_Hlk80690532"/>
      <w:bookmarkEnd w:id="0"/>
    </w:p>
    <w:p>
      <w:pPr>
        <w:pStyle w:val="Normal"/>
        <w:keepNext w:val="true"/>
        <w:keepLines/>
        <w:numPr>
          <w:ilvl w:val="0"/>
          <w:numId w:val="1"/>
        </w:numPr>
        <w:spacing w:lineRule="auto" w:line="276" w:before="480" w:after="120"/>
        <w:jc w:val="both"/>
        <w:rPr/>
      </w:pPr>
      <w:r>
        <w:rPr>
          <w:b/>
          <w:color w:val="000000"/>
        </w:rPr>
        <w:t>JUSTIFICATIVA E OBJETIVO DA CONTRATAÇÃO</w:t>
      </w:r>
    </w:p>
    <w:p>
      <w:pPr>
        <w:pStyle w:val="Normal"/>
        <w:numPr>
          <w:ilvl w:val="1"/>
          <w:numId w:val="1"/>
        </w:numPr>
        <w:spacing w:lineRule="auto" w:line="276" w:before="120" w:after="120"/>
        <w:jc w:val="both"/>
        <w:rPr/>
      </w:pPr>
      <w:r>
        <w:rPr/>
        <w:t>A Justificativa e objetivo da contratação encontra-se pormenorizada em Tópico específico dos Estudos Técnicos Preliminares, apêndice deste Termo de Referência.</w:t>
      </w:r>
    </w:p>
    <w:p>
      <w:pPr>
        <w:pStyle w:val="Normal"/>
        <w:keepNext w:val="true"/>
        <w:keepLines/>
        <w:numPr>
          <w:ilvl w:val="0"/>
          <w:numId w:val="1"/>
        </w:numPr>
        <w:spacing w:lineRule="auto" w:line="276" w:before="480" w:after="120"/>
        <w:jc w:val="both"/>
        <w:rPr>
          <w:b/>
          <w:b/>
        </w:rPr>
      </w:pPr>
      <w:r>
        <w:rPr>
          <w:b/>
          <w:color w:val="000000"/>
        </w:rPr>
        <w:t>DESCRIÇÃO DA SOLUÇÃO:</w:t>
      </w:r>
    </w:p>
    <w:p>
      <w:pPr>
        <w:pStyle w:val="Normal"/>
        <w:spacing w:lineRule="auto" w:line="276" w:before="120" w:after="120"/>
        <w:ind w:left="716" w:hanging="0"/>
        <w:jc w:val="both"/>
        <w:rPr/>
      </w:pPr>
      <w:r>
        <w:rPr/>
        <w:t>3.1 A descrição da solução como um todo, encontra-se pormenorizada em Tópico específico dos Estudos Técnicos Preliminares, apêndice deste Termo de Referência.</w:t>
      </w:r>
    </w:p>
    <w:p>
      <w:pPr>
        <w:pStyle w:val="Normal"/>
        <w:keepNext w:val="true"/>
        <w:keepLines/>
        <w:numPr>
          <w:ilvl w:val="0"/>
          <w:numId w:val="1"/>
        </w:numPr>
        <w:spacing w:lineRule="auto" w:line="276" w:before="480" w:after="120"/>
        <w:jc w:val="both"/>
        <w:rPr/>
      </w:pPr>
      <w:r>
        <w:rPr>
          <w:b/>
          <w:color w:val="000000"/>
        </w:rPr>
        <w:t>CLASSIFICAÇÃO DOS BENS COMUNS</w:t>
      </w:r>
    </w:p>
    <w:p>
      <w:pPr>
        <w:pStyle w:val="Normal"/>
        <w:numPr>
          <w:ilvl w:val="1"/>
          <w:numId w:val="1"/>
        </w:numPr>
        <w:spacing w:lineRule="auto" w:line="276" w:before="120" w:after="120"/>
        <w:jc w:val="both"/>
        <w:rPr/>
      </w:pPr>
      <w:r>
        <w:rPr>
          <w:color w:val="000000"/>
        </w:rPr>
        <w:t>Os bens a serem adquiridos enquadram-se na classificação de bens comuns, nos termos da Lei n° 10.520, de 2002.</w:t>
      </w:r>
    </w:p>
    <w:p>
      <w:pPr>
        <w:pStyle w:val="Normal"/>
        <w:numPr>
          <w:ilvl w:val="1"/>
          <w:numId w:val="1"/>
        </w:numPr>
        <w:spacing w:lineRule="auto" w:line="276" w:before="120" w:after="120"/>
        <w:jc w:val="both"/>
        <w:rPr/>
      </w:pPr>
      <w:r>
        <w:rPr>
          <w:b/>
          <w:color w:val="000000"/>
          <w:u w:val="single"/>
        </w:rPr>
        <w:t>O Sistema de Registro de Preços - SRP é uma opção economicamente viável à Administração, portanto, preferencial em relação às demais. A escolha pelo SRP se dá em razão do</w:t>
      </w:r>
      <w:r>
        <w:rPr>
          <w:b/>
          <w:u w:val="single"/>
        </w:rPr>
        <w:t>s</w:t>
      </w:r>
      <w:r>
        <w:rPr>
          <w:b/>
          <w:color w:val="000000"/>
          <w:u w:val="single"/>
        </w:rPr>
        <w:t xml:space="preserve"> incisos </w:t>
      </w:r>
      <w:r>
        <w:rPr>
          <w:b/>
          <w:u w:val="single"/>
        </w:rPr>
        <w:t>II e</w:t>
      </w:r>
      <w:r>
        <w:rPr>
          <w:b/>
          <w:color w:val="000000"/>
          <w:u w:val="single"/>
        </w:rPr>
        <w:t xml:space="preserve"> III (Atendimento a todos os campi e Reitoria do IF SERTÃO-PE) do art. 3º do Decreto 7.892/2013.</w:t>
      </w:r>
    </w:p>
    <w:p>
      <w:pPr>
        <w:pStyle w:val="Normal"/>
        <w:keepNext w:val="true"/>
        <w:keepLines/>
        <w:numPr>
          <w:ilvl w:val="0"/>
          <w:numId w:val="1"/>
        </w:numPr>
        <w:spacing w:lineRule="auto" w:line="276" w:before="480" w:after="120"/>
        <w:jc w:val="both"/>
        <w:rPr/>
      </w:pPr>
      <w:r>
        <w:rPr>
          <w:b/>
          <w:color w:val="000000"/>
        </w:rPr>
        <w:t>ENTREGA E CRITÉRIOS DE ACEITAÇÃO DO OBJETO.</w:t>
      </w:r>
    </w:p>
    <w:p>
      <w:pPr>
        <w:pStyle w:val="Normal"/>
        <w:numPr>
          <w:ilvl w:val="1"/>
          <w:numId w:val="1"/>
        </w:numPr>
        <w:spacing w:lineRule="auto" w:line="276" w:before="120" w:after="120"/>
        <w:ind w:left="425" w:hanging="0"/>
        <w:jc w:val="both"/>
        <w:rPr/>
      </w:pPr>
      <w:r>
        <w:rPr>
          <w:color w:val="000000"/>
        </w:rPr>
        <w:t xml:space="preserve">O prazo de entrega dos bens é de </w:t>
      </w:r>
      <w:r>
        <w:rPr/>
        <w:t>05(cinco)</w:t>
      </w:r>
      <w:r>
        <w:rPr>
          <w:color w:val="FF0000"/>
        </w:rPr>
        <w:t xml:space="preserve"> </w:t>
      </w:r>
      <w:r>
        <w:rPr>
          <w:color w:val="000000"/>
        </w:rPr>
        <w:t xml:space="preserve">dias úteis, contados </w:t>
      </w:r>
      <w:r>
        <w:rPr/>
        <w:t>a partir</w:t>
      </w:r>
      <w:r>
        <w:rPr>
          <w:color w:val="000000"/>
        </w:rPr>
        <w:t xml:space="preserve"> do recebimento da solicitação, em remessa</w:t>
      </w:r>
      <w:r>
        <w:rPr>
          <w:i/>
          <w:color w:val="FF0000"/>
        </w:rPr>
        <w:t xml:space="preserve"> </w:t>
      </w:r>
      <w:r>
        <w:rPr/>
        <w:t>parcelada</w:t>
      </w:r>
      <w:r>
        <w:rPr>
          <w:color w:val="000000"/>
        </w:rPr>
        <w:t>, nos seguintes endereços</w:t>
      </w:r>
      <w:r>
        <w:rPr/>
        <w:t>:</w:t>
      </w:r>
    </w:p>
    <w:p>
      <w:pPr>
        <w:pStyle w:val="Normal"/>
        <w:ind w:left="720" w:hanging="0"/>
        <w:jc w:val="both"/>
        <w:rPr>
          <w:b/>
          <w:b/>
        </w:rPr>
      </w:pPr>
      <w:r>
        <w:rPr>
          <w:b/>
          <w:bCs/>
        </w:rPr>
        <w:t>5.1.1</w:t>
      </w:r>
      <w:r>
        <w:rPr/>
        <w:t>. Instituto Federal de Educação, Ciência e Tecnologia Sertão Pernambucano,</w:t>
      </w:r>
      <w:r>
        <w:rPr>
          <w:b/>
        </w:rPr>
        <w:t xml:space="preserve"> </w:t>
      </w:r>
      <w:r>
        <w:rPr>
          <w:b/>
          <w:i/>
        </w:rPr>
        <w:t xml:space="preserve">campus </w:t>
      </w:r>
      <w:r>
        <w:rPr>
          <w:b/>
        </w:rPr>
        <w:t xml:space="preserve">Petrolina. </w:t>
      </w:r>
    </w:p>
    <w:p>
      <w:pPr>
        <w:pStyle w:val="Normal"/>
        <w:ind w:left="720" w:hanging="0"/>
        <w:jc w:val="both"/>
        <w:rPr>
          <w:b/>
          <w:b/>
        </w:rPr>
      </w:pPr>
      <w:r>
        <w:rPr>
          <w:b/>
        </w:rPr>
      </w:r>
    </w:p>
    <w:p>
      <w:pPr>
        <w:pStyle w:val="Normal"/>
        <w:ind w:left="720" w:hanging="0"/>
        <w:jc w:val="both"/>
        <w:rPr/>
      </w:pPr>
      <w:r>
        <w:rPr>
          <w:b/>
        </w:rPr>
        <w:t xml:space="preserve">Endereço de entrega: </w:t>
      </w:r>
      <w:r>
        <w:rPr/>
        <w:t>rua Maria Luzia de Araújo Gomes Cabral, SN, Bairro João de Deus, CEP 56316-686, Petrolina-PE.</w:t>
      </w:r>
      <w:r>
        <w:rPr>
          <w:b/>
        </w:rPr>
        <w:t xml:space="preserve"> Telefone: (87) 2101-4300</w:t>
      </w:r>
    </w:p>
    <w:p>
      <w:pPr>
        <w:pStyle w:val="Normal"/>
        <w:spacing w:before="240" w:after="0"/>
        <w:ind w:left="720" w:hanging="0"/>
        <w:jc w:val="both"/>
        <w:rPr>
          <w:b/>
          <w:b/>
        </w:rPr>
      </w:pPr>
      <w:r>
        <w:rPr>
          <w:b/>
          <w:bCs/>
        </w:rPr>
        <w:t>5.1.2</w:t>
      </w:r>
      <w:r>
        <w:rPr/>
        <w:t>. Instituto Federal de Educação, Ciência e Tecnologia Sertão Pernambucano</w:t>
      </w:r>
      <w:r>
        <w:rPr>
          <w:b/>
        </w:rPr>
        <w:t xml:space="preserve">, </w:t>
      </w:r>
      <w:r>
        <w:rPr>
          <w:b/>
          <w:i/>
        </w:rPr>
        <w:t>campus</w:t>
      </w:r>
      <w:r>
        <w:rPr>
          <w:b/>
        </w:rPr>
        <w:t xml:space="preserve"> Petrolina Zona Rural.</w:t>
      </w:r>
    </w:p>
    <w:p>
      <w:pPr>
        <w:pStyle w:val="Normal"/>
        <w:spacing w:before="240" w:after="0"/>
        <w:ind w:left="720" w:hanging="0"/>
        <w:jc w:val="both"/>
        <w:rPr>
          <w:b/>
          <w:b/>
          <w:sz w:val="18"/>
          <w:szCs w:val="18"/>
        </w:rPr>
      </w:pPr>
      <w:r>
        <w:rPr>
          <w:b/>
        </w:rPr>
        <w:t xml:space="preserve">Endereço de entrega: </w:t>
      </w:r>
      <w:r>
        <w:rPr/>
        <w:t>Rodovia BR 235, Km 22, Projeto Senador Nilo Coelho N4, Petrolina-PE.</w:t>
      </w:r>
      <w:r>
        <w:rPr>
          <w:b/>
        </w:rPr>
        <w:t xml:space="preserve"> Telefone: (87) 2101-8050</w:t>
      </w:r>
    </w:p>
    <w:p>
      <w:pPr>
        <w:pStyle w:val="Normal"/>
        <w:spacing w:before="240" w:after="0"/>
        <w:ind w:left="720" w:hanging="0"/>
        <w:jc w:val="both"/>
        <w:rPr>
          <w:b/>
          <w:b/>
        </w:rPr>
      </w:pPr>
      <w:r>
        <w:rPr>
          <w:b/>
        </w:rPr>
        <w:t xml:space="preserve">5.1.3. </w:t>
      </w:r>
      <w:r>
        <w:rPr/>
        <w:t>Instituto Federal de Educação, Ciência e Tecnologia Sertão Pernambucano,</w:t>
      </w:r>
      <w:r>
        <w:rPr>
          <w:b/>
        </w:rPr>
        <w:t xml:space="preserve"> </w:t>
      </w:r>
      <w:r>
        <w:rPr>
          <w:b/>
          <w:i/>
        </w:rPr>
        <w:t>campus</w:t>
      </w:r>
      <w:r>
        <w:rPr>
          <w:b/>
        </w:rPr>
        <w:t xml:space="preserve"> Ouricuri. </w:t>
      </w:r>
    </w:p>
    <w:p>
      <w:pPr>
        <w:pStyle w:val="Normal"/>
        <w:spacing w:before="240" w:after="0"/>
        <w:ind w:left="720" w:hanging="0"/>
        <w:jc w:val="both"/>
        <w:rPr/>
      </w:pPr>
      <w:r>
        <w:rPr>
          <w:b/>
        </w:rPr>
        <w:t xml:space="preserve">Endereço de entrega: </w:t>
      </w:r>
      <w:r>
        <w:rPr/>
        <w:t xml:space="preserve">Estrada do Tamboril, S/N. CEP: 56200-000 | Ouricuri/PE – Brasil. </w:t>
      </w:r>
      <w:r>
        <w:rPr>
          <w:b/>
        </w:rPr>
        <w:t>Telefone: (87) 98122-4083</w:t>
      </w:r>
    </w:p>
    <w:p>
      <w:pPr>
        <w:pStyle w:val="Normal"/>
        <w:spacing w:before="240" w:after="0"/>
        <w:ind w:left="720" w:hanging="0"/>
        <w:jc w:val="both"/>
        <w:rPr/>
      </w:pPr>
      <w:r>
        <w:rPr>
          <w:b/>
        </w:rPr>
        <w:t xml:space="preserve">5.1.4. </w:t>
      </w:r>
      <w:r>
        <w:rPr/>
        <w:t>Instituto Federal de Educação, Ciência e Tecnologia Sertão Pernambucano</w:t>
      </w:r>
      <w:r>
        <w:rPr>
          <w:i/>
        </w:rPr>
        <w:t>,</w:t>
      </w:r>
      <w:r>
        <w:rPr>
          <w:b/>
          <w:i/>
        </w:rPr>
        <w:t xml:space="preserve"> campus</w:t>
      </w:r>
      <w:r>
        <w:rPr>
          <w:b/>
        </w:rPr>
        <w:t xml:space="preserve"> Floresta Endereço de entrega:</w:t>
      </w:r>
      <w:r>
        <w:rPr/>
        <w:t xml:space="preserve"> Rua Projetada, S/N, Caetano II - N4. CEP: 56400-000 | Floresta/PE – Brasil. </w:t>
      </w:r>
      <w:r>
        <w:rPr>
          <w:b/>
        </w:rPr>
        <w:t>Telefone:</w:t>
      </w:r>
      <w:r>
        <w:rPr>
          <w:b/>
          <w:color w:val="FF0000"/>
        </w:rPr>
        <w:t xml:space="preserve"> </w:t>
      </w:r>
      <w:r>
        <w:rPr>
          <w:b/>
        </w:rPr>
        <w:t>(87) 3877- 2797.</w:t>
      </w:r>
    </w:p>
    <w:p>
      <w:pPr>
        <w:pStyle w:val="Normal"/>
        <w:spacing w:before="240" w:after="0"/>
        <w:ind w:left="720" w:hanging="0"/>
        <w:jc w:val="both"/>
        <w:rPr>
          <w:b/>
          <w:b/>
        </w:rPr>
      </w:pPr>
      <w:r>
        <w:rPr>
          <w:b/>
        </w:rPr>
        <w:t xml:space="preserve">5.1.5. </w:t>
      </w:r>
      <w:r>
        <w:rPr/>
        <w:t>Instituto Federal de Educação, Ciência e Tecnologia Sertão Pernambucano,</w:t>
      </w:r>
      <w:r>
        <w:rPr>
          <w:b/>
        </w:rPr>
        <w:t xml:space="preserve"> </w:t>
      </w:r>
      <w:r>
        <w:rPr>
          <w:b/>
          <w:i/>
        </w:rPr>
        <w:t>campus</w:t>
      </w:r>
      <w:r>
        <w:rPr>
          <w:b/>
        </w:rPr>
        <w:t xml:space="preserve"> Salgueiro. </w:t>
      </w:r>
    </w:p>
    <w:p>
      <w:pPr>
        <w:pStyle w:val="Normal"/>
        <w:spacing w:before="240" w:after="0"/>
        <w:ind w:left="720" w:hanging="0"/>
        <w:jc w:val="both"/>
        <w:rPr/>
      </w:pPr>
      <w:r>
        <w:rPr>
          <w:b/>
        </w:rPr>
        <w:t xml:space="preserve">Endereço de entrega: </w:t>
      </w:r>
      <w:r>
        <w:rPr/>
        <w:t>BR 232, Km 504, sentido Recife. CEP: 56000-000</w:t>
      </w:r>
      <w:r>
        <w:rPr>
          <w:b/>
        </w:rPr>
        <w:t xml:space="preserve"> </w:t>
      </w:r>
      <w:r>
        <w:rPr/>
        <w:t xml:space="preserve">/Salgueiro/PE – Brasil </w:t>
      </w:r>
      <w:r>
        <w:rPr>
          <w:b/>
        </w:rPr>
        <w:t>Telefone: (87) 3421 - 0050</w:t>
      </w:r>
    </w:p>
    <w:p>
      <w:pPr>
        <w:pStyle w:val="Normal"/>
        <w:spacing w:before="240" w:after="0"/>
        <w:ind w:left="720" w:hanging="0"/>
        <w:jc w:val="both"/>
        <w:rPr>
          <w:b/>
          <w:b/>
        </w:rPr>
      </w:pPr>
      <w:r>
        <w:rPr>
          <w:b/>
        </w:rPr>
        <w:t>5.1.6 Instituto</w:t>
      </w:r>
      <w:r>
        <w:rPr/>
        <w:t xml:space="preserve"> Federal de Educação, Ciência e Tecnologia Sertão Pernambucano</w:t>
      </w:r>
      <w:r>
        <w:rPr>
          <w:b/>
        </w:rPr>
        <w:t xml:space="preserve">, </w:t>
      </w:r>
      <w:r>
        <w:rPr>
          <w:b/>
          <w:i/>
        </w:rPr>
        <w:t>campus</w:t>
      </w:r>
      <w:r>
        <w:rPr>
          <w:b/>
        </w:rPr>
        <w:t xml:space="preserve"> Santa Maria da Boa Vista.</w:t>
      </w:r>
    </w:p>
    <w:p>
      <w:pPr>
        <w:pStyle w:val="Normal"/>
        <w:spacing w:before="240" w:after="0"/>
        <w:ind w:left="720" w:hanging="0"/>
        <w:jc w:val="both"/>
        <w:rPr>
          <w:b/>
          <w:b/>
        </w:rPr>
      </w:pPr>
      <w:r>
        <w:rPr>
          <w:b/>
        </w:rPr>
        <w:t xml:space="preserve">Endereço de entrega: </w:t>
      </w:r>
      <w:r>
        <w:rPr/>
        <w:t xml:space="preserve">BR 428, Km 90, Zona Rural. CEP: 56.380-000 | Santa Maria da Boa Vista/PE – Brasil. </w:t>
      </w:r>
      <w:r>
        <w:rPr>
          <w:b/>
        </w:rPr>
        <w:t>Telefone: (87) 9.9952 8816</w:t>
      </w:r>
    </w:p>
    <w:p>
      <w:pPr>
        <w:pStyle w:val="Normal"/>
        <w:spacing w:before="240" w:after="0"/>
        <w:ind w:left="720" w:hanging="0"/>
        <w:jc w:val="both"/>
        <w:rPr>
          <w:b/>
          <w:b/>
        </w:rPr>
      </w:pPr>
      <w:r>
        <w:rPr>
          <w:b/>
        </w:rPr>
        <w:t>5.1.7 Instituto</w:t>
      </w:r>
      <w:r>
        <w:rPr/>
        <w:t xml:space="preserve"> Federal de Educação, Ciência e Tecnologia Sertão Pernambucano - </w:t>
      </w:r>
      <w:r>
        <w:rPr>
          <w:b/>
        </w:rPr>
        <w:t xml:space="preserve">Campus Serra Talhada.  </w:t>
      </w:r>
    </w:p>
    <w:p>
      <w:pPr>
        <w:pStyle w:val="Normal"/>
        <w:spacing w:before="240" w:after="0"/>
        <w:ind w:left="720" w:hanging="0"/>
        <w:jc w:val="both"/>
        <w:rPr>
          <w:b/>
          <w:b/>
        </w:rPr>
      </w:pPr>
      <w:r>
        <w:rPr>
          <w:b/>
        </w:rPr>
        <w:t xml:space="preserve">Endereço: </w:t>
      </w:r>
      <w:r>
        <w:rPr/>
        <w:t>Rodovia PE 320, KM 126, Zona Rural. CEP: 56.915-899, Caixa Postal 78 | Serra Talhada/PE - Brasil.</w:t>
      </w:r>
    </w:p>
    <w:p>
      <w:pPr>
        <w:pStyle w:val="Normal"/>
        <w:spacing w:lineRule="auto" w:line="276" w:before="120" w:after="120"/>
        <w:ind w:left="360" w:hanging="0"/>
        <w:jc w:val="both"/>
        <w:rPr>
          <w:color w:val="FF0000"/>
        </w:rPr>
      </w:pPr>
      <w:r>
        <w:rPr>
          <w:color w:val="000000"/>
        </w:rPr>
        <w:t xml:space="preserve"> </w:t>
      </w:r>
    </w:p>
    <w:p>
      <w:pPr>
        <w:pStyle w:val="Normal"/>
        <w:numPr>
          <w:ilvl w:val="1"/>
          <w:numId w:val="1"/>
        </w:numPr>
        <w:spacing w:lineRule="auto" w:line="276" w:before="120" w:after="120"/>
        <w:ind w:left="425" w:hanging="0"/>
        <w:jc w:val="both"/>
        <w:rPr/>
      </w:pPr>
      <w:r>
        <w:rPr>
          <w:color w:val="000000"/>
        </w:rPr>
        <w:t xml:space="preserve"> </w:t>
      </w:r>
      <w:r>
        <w:rPr>
          <w:color w:val="000000"/>
        </w:rPr>
        <w:t xml:space="preserve">Os bens serão recebidos provisoriamente no prazo de </w:t>
      </w:r>
      <w:r>
        <w:rPr/>
        <w:t xml:space="preserve">03(três) </w:t>
      </w:r>
      <w:r>
        <w:rPr>
          <w:color w:val="000000"/>
        </w:rPr>
        <w:t xml:space="preserve">dias úteis, pelo(a) responsável pelo acompanhamento e fiscalização do contrato, para efeito de posterior verificação de sua conformidade com as especificações constantes neste Termo de Referência e na proposta. </w:t>
      </w:r>
    </w:p>
    <w:p>
      <w:pPr>
        <w:pStyle w:val="Normal"/>
        <w:numPr>
          <w:ilvl w:val="1"/>
          <w:numId w:val="1"/>
        </w:numPr>
        <w:spacing w:lineRule="auto" w:line="276" w:before="120" w:after="120"/>
        <w:ind w:left="425" w:hanging="0"/>
        <w:jc w:val="both"/>
        <w:rPr/>
      </w:pPr>
      <w:r>
        <w:rPr>
          <w:color w:val="000000"/>
        </w:rPr>
        <w:t xml:space="preserve"> </w:t>
      </w:r>
      <w:r>
        <w:rPr>
          <w:color w:val="000000"/>
        </w:rPr>
        <w:t>Os bens poderão ser rejeitados, no todo ou em parte, quando em desacordo com as especificações constantes neste Termo de Referência e na proposta, devendo ser substituídos no prazo de 05</w:t>
      </w:r>
      <w:r>
        <w:rPr>
          <w:color w:val="FF0000"/>
        </w:rPr>
        <w:t xml:space="preserve"> </w:t>
      </w:r>
      <w:r>
        <w:rPr/>
        <w:t xml:space="preserve">(cinco) </w:t>
      </w:r>
      <w:r>
        <w:rPr>
          <w:color w:val="000000"/>
        </w:rPr>
        <w:t>dias úteis, a contar da notificação da contratada, às suas custas, sem prejuízo da aplicação das penalidades.</w:t>
      </w:r>
    </w:p>
    <w:p>
      <w:pPr>
        <w:pStyle w:val="Normal"/>
        <w:numPr>
          <w:ilvl w:val="1"/>
          <w:numId w:val="1"/>
        </w:numPr>
        <w:spacing w:lineRule="auto" w:line="276" w:before="120" w:after="120"/>
        <w:ind w:left="425" w:hanging="0"/>
        <w:jc w:val="both"/>
        <w:rPr/>
      </w:pPr>
      <w:r>
        <w:rPr>
          <w:color w:val="000000"/>
        </w:rPr>
        <w:t xml:space="preserve">Os bens serão recebidos definitivamente no prazo de </w:t>
      </w:r>
      <w:r>
        <w:rPr/>
        <w:t>10(dez) dias úteis</w:t>
      </w:r>
      <w:r>
        <w:rPr>
          <w:color w:val="000000"/>
        </w:rPr>
        <w:t>, contados do recebimento provisório, após a verificação da qualidade e quantidade do material e consequente aceitação mediante termo circunstanciado.</w:t>
      </w:r>
    </w:p>
    <w:p>
      <w:pPr>
        <w:pStyle w:val="Normal"/>
        <w:numPr>
          <w:ilvl w:val="2"/>
          <w:numId w:val="1"/>
        </w:numPr>
        <w:spacing w:lineRule="auto" w:line="276" w:before="120" w:after="120"/>
        <w:ind w:left="1134" w:hanging="0"/>
        <w:jc w:val="both"/>
        <w:rPr>
          <w:b/>
          <w:b/>
        </w:rPr>
      </w:pPr>
      <w:r>
        <w:rPr>
          <w:color w:val="000000"/>
        </w:rPr>
        <w:t>Na hipótese de a verificação a que se refere o subitem anterior não ser procedida dentro do prazo fixado, reputar-se-á como realizada, consumando-se o recebimento definitivo no dia do esgotamento do prazo.</w:t>
      </w:r>
    </w:p>
    <w:p>
      <w:pPr>
        <w:pStyle w:val="Normal"/>
        <w:numPr>
          <w:ilvl w:val="1"/>
          <w:numId w:val="1"/>
        </w:numPr>
        <w:spacing w:lineRule="auto" w:line="276" w:before="120" w:after="120"/>
        <w:ind w:left="425" w:hanging="0"/>
        <w:jc w:val="both"/>
        <w:rPr/>
      </w:pPr>
      <w:r>
        <w:rPr>
          <w:color w:val="000000"/>
        </w:rPr>
        <w:t>O recebimento provisório ou definitivo do objeto não exclui a responsabilidade da contratada pelos prejuízos resultantes da incorreta execução do contrato.</w:t>
      </w:r>
    </w:p>
    <w:p>
      <w:pPr>
        <w:pStyle w:val="Normal"/>
        <w:numPr>
          <w:ilvl w:val="1"/>
          <w:numId w:val="1"/>
        </w:numPr>
        <w:spacing w:lineRule="auto" w:line="276" w:before="120" w:after="120"/>
        <w:ind w:left="425" w:hanging="0"/>
        <w:jc w:val="both"/>
        <w:rPr/>
      </w:pPr>
      <w:r>
        <w:rPr>
          <w:b/>
          <w:u w:val="single"/>
        </w:rPr>
        <w:t xml:space="preserve"> </w:t>
      </w:r>
      <w:r>
        <w:rPr>
          <w:b/>
          <w:u w:val="single"/>
        </w:rPr>
        <w:t xml:space="preserve">Os kits deverão estar embalados individualmente em embalagem plástica única, transparente, sem furos e com os gêneros em perfeito estado de conservação, dentro do prazo de validade conforme consta na especificação dos gêneros. </w:t>
      </w:r>
    </w:p>
    <w:p>
      <w:pPr>
        <w:pStyle w:val="Normal"/>
        <w:numPr>
          <w:ilvl w:val="1"/>
          <w:numId w:val="1"/>
        </w:numPr>
        <w:spacing w:lineRule="auto" w:line="276" w:before="120" w:after="120"/>
        <w:ind w:left="425" w:hanging="0"/>
        <w:jc w:val="both"/>
        <w:rPr/>
      </w:pPr>
      <w:r>
        <w:rPr>
          <w:b/>
          <w:u w:val="single"/>
        </w:rPr>
        <w:t xml:space="preserve"> </w:t>
      </w:r>
      <w:r>
        <w:rPr>
          <w:b/>
          <w:u w:val="single"/>
        </w:rPr>
        <w:t>A cada entrega dos kits é necessário a empresa entregar também um relatório contendo a especificação dos gêneros que estarão sendo entregues, quantidade de cada gênero por kit e suas respectivas datas de validade.</w:t>
      </w:r>
    </w:p>
    <w:p>
      <w:pPr>
        <w:pStyle w:val="Normal"/>
        <w:numPr>
          <w:ilvl w:val="1"/>
          <w:numId w:val="1"/>
        </w:numPr>
        <w:spacing w:lineRule="auto" w:line="276" w:before="120" w:after="120"/>
        <w:ind w:left="425" w:hanging="0"/>
        <w:jc w:val="both"/>
        <w:rPr/>
      </w:pPr>
      <w:r>
        <w:rPr>
          <w:b/>
          <w:u w:val="single"/>
        </w:rPr>
        <w:t xml:space="preserve"> </w:t>
      </w:r>
      <w:r>
        <w:rPr>
          <w:b/>
          <w:u w:val="single"/>
        </w:rPr>
        <w:t>Não serão aceitas ofertas de produtos em embalagens ou condições diferentes das solicitadas. Os gêneros alimentícios deverão ser de primeira qualidade de acordo com os critérios estabelecidos pela Agência Nacional de Vigilância Sanitária- ANVISA e Ministério da Agricultura, Pecuária e Abastecimento - MAPA, devem atender às características de cada produto (organolépticas, físico-químicas, microbiológicas, microscópicas, toxicológicas) e conforme a tabela de especificação descrita no presente termo.</w:t>
      </w:r>
    </w:p>
    <w:p>
      <w:pPr>
        <w:pStyle w:val="Normal"/>
        <w:spacing w:lineRule="auto" w:line="276" w:before="120" w:after="120"/>
        <w:ind w:left="360" w:hanging="0"/>
        <w:jc w:val="both"/>
        <w:rPr>
          <w:b/>
          <w:b/>
          <w:u w:val="single"/>
        </w:rPr>
      </w:pPr>
      <w:r>
        <w:rPr>
          <w:b/>
          <w:u w:val="single"/>
        </w:rPr>
        <w:t>5.9 Apenas serão aceitos alimentos processados que apresentarem as seguintes exigências mínimas: identificação do produto, embalagem original inalterada, data de fabricação, prazo de validade, peso líquido, número do lote, nome e endereço do fabricante, tabela de informação nutricional, de acordo com as Resoluções RDC nº 259 de 20 setembro de 2002 e RDC nº 360, de 23 de dezembro de 2003.</w:t>
      </w:r>
    </w:p>
    <w:p>
      <w:pPr>
        <w:pStyle w:val="Normal"/>
        <w:spacing w:lineRule="auto" w:line="276" w:before="120" w:after="120"/>
        <w:ind w:left="360" w:hanging="0"/>
        <w:jc w:val="both"/>
        <w:rPr>
          <w:b/>
          <w:b/>
          <w:u w:val="single"/>
        </w:rPr>
      </w:pPr>
      <w:r>
        <w:rPr>
          <w:b/>
          <w:u w:val="single"/>
        </w:rPr>
        <w:t xml:space="preserve">5.10 Os pedidos para a entrega dos kits, objeto desta licitação, poderão ser realizados de forma simultânea entre os campi participantes de determinado grupo, ao tempo em que a contratada poderá, realizar a entrega, também de uma só vez, respeitando o prazo e os locais de entrega determinados no subitem 5.1.   </w:t>
      </w:r>
    </w:p>
    <w:p>
      <w:pPr>
        <w:pStyle w:val="Normal"/>
        <w:keepNext w:val="true"/>
        <w:keepLines/>
        <w:numPr>
          <w:ilvl w:val="0"/>
          <w:numId w:val="1"/>
        </w:numPr>
        <w:spacing w:lineRule="auto" w:line="276" w:before="480" w:after="120"/>
        <w:jc w:val="both"/>
        <w:rPr/>
      </w:pPr>
      <w:r>
        <w:rPr>
          <w:b/>
          <w:color w:val="000000"/>
        </w:rPr>
        <w:t>OBRIGAÇÕES DA CONTRATANTE</w:t>
      </w:r>
    </w:p>
    <w:p>
      <w:pPr>
        <w:pStyle w:val="Normal"/>
        <w:numPr>
          <w:ilvl w:val="1"/>
          <w:numId w:val="1"/>
        </w:numPr>
        <w:spacing w:lineRule="auto" w:line="276" w:before="120" w:after="120"/>
        <w:ind w:left="425" w:hanging="0"/>
        <w:jc w:val="both"/>
        <w:rPr/>
      </w:pPr>
      <w:r>
        <w:rPr/>
        <w:t>São obrigações da Contratante:</w:t>
      </w:r>
    </w:p>
    <w:p>
      <w:pPr>
        <w:pStyle w:val="Normal"/>
        <w:numPr>
          <w:ilvl w:val="2"/>
          <w:numId w:val="1"/>
        </w:numPr>
        <w:spacing w:lineRule="auto" w:line="276" w:before="120" w:after="120"/>
        <w:ind w:left="1134" w:hanging="0"/>
        <w:jc w:val="both"/>
        <w:rPr>
          <w:b/>
          <w:b/>
        </w:rPr>
      </w:pPr>
      <w:r>
        <w:rPr/>
        <w:t>receber o objeto no prazo e condições estabelecidas no Edital e seus anexos;</w:t>
      </w:r>
    </w:p>
    <w:p>
      <w:pPr>
        <w:pStyle w:val="Normal"/>
        <w:numPr>
          <w:ilvl w:val="2"/>
          <w:numId w:val="1"/>
        </w:numPr>
        <w:spacing w:lineRule="auto" w:line="276" w:before="120" w:after="120"/>
        <w:ind w:left="1134" w:hanging="0"/>
        <w:jc w:val="both"/>
        <w:rPr>
          <w:b/>
          <w:b/>
        </w:rPr>
      </w:pPr>
      <w:r>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hanging="0"/>
        <w:jc w:val="both"/>
        <w:rPr>
          <w:b/>
          <w:b/>
        </w:rPr>
      </w:pPr>
      <w:r>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hanging="0"/>
        <w:jc w:val="both"/>
        <w:rPr>
          <w:b/>
          <w:b/>
        </w:rPr>
      </w:pPr>
      <w:r>
        <w:rPr/>
        <w:t>acompanhar e fiscalizar o cumprimento das obrigações da Contratada, através de comissão/servidor especialmente designado;</w:t>
      </w:r>
    </w:p>
    <w:p>
      <w:pPr>
        <w:pStyle w:val="Normal"/>
        <w:numPr>
          <w:ilvl w:val="2"/>
          <w:numId w:val="1"/>
        </w:numPr>
        <w:spacing w:lineRule="auto" w:line="276" w:before="120" w:after="120"/>
        <w:ind w:left="1134" w:hanging="0"/>
        <w:jc w:val="both"/>
        <w:rPr>
          <w:b/>
          <w:b/>
        </w:rPr>
      </w:pPr>
      <w:r>
        <w:rPr/>
        <w:t>efetuar o pagamento à Contratada</w:t>
      </w:r>
      <w:r>
        <w:rPr>
          <w:b/>
        </w:rPr>
        <w:t xml:space="preserve"> </w:t>
      </w:r>
      <w:r>
        <w:rPr/>
        <w:t>no valor correspondente ao fornecimento do objeto, no prazo e forma estabelecidos no Edital e seus anexos;</w:t>
      </w:r>
    </w:p>
    <w:p>
      <w:pPr>
        <w:pStyle w:val="Normal"/>
        <w:numPr>
          <w:ilvl w:val="1"/>
          <w:numId w:val="1"/>
        </w:numPr>
        <w:spacing w:lineRule="auto" w:line="276" w:before="120" w:after="120"/>
        <w:ind w:left="425" w:hanging="0"/>
        <w:jc w:val="both"/>
        <w:rPr/>
      </w:pPr>
      <w:r>
        <w:rPr/>
        <w:t xml:space="preserve"> </w:t>
      </w:r>
      <w:r>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keepNext w:val="true"/>
        <w:keepLines/>
        <w:numPr>
          <w:ilvl w:val="0"/>
          <w:numId w:val="1"/>
        </w:numPr>
        <w:spacing w:lineRule="auto" w:line="276" w:before="480" w:after="120"/>
        <w:jc w:val="both"/>
        <w:rPr/>
      </w:pPr>
      <w:r>
        <w:rPr>
          <w:b/>
          <w:color w:val="000000"/>
        </w:rPr>
        <w:t>OBRIGAÇÕES DA CONTRATADA</w:t>
      </w:r>
    </w:p>
    <w:p>
      <w:pPr>
        <w:pStyle w:val="Normal"/>
        <w:numPr>
          <w:ilvl w:val="1"/>
          <w:numId w:val="1"/>
        </w:numPr>
        <w:spacing w:lineRule="auto" w:line="276" w:before="120" w:after="120"/>
        <w:ind w:left="425" w:hanging="0"/>
        <w:jc w:val="both"/>
        <w:rPr/>
      </w:pPr>
      <w:r>
        <w:rPr/>
        <w:t xml:space="preserve"> </w:t>
      </w:r>
      <w:r>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hanging="0"/>
        <w:jc w:val="both"/>
        <w:rPr>
          <w:b/>
          <w:b/>
        </w:rPr>
      </w:pPr>
      <w:r>
        <w:rPr/>
        <w:t xml:space="preserve">efetuar a entrega do objeto em perfeitas condições, conforme especificações, prazo e local constantes no Termo de Referência e seus anexos, acompanhado da respectiva nota fiscal, na qual constarão as indicações referentes a: </w:t>
      </w:r>
      <w:r>
        <w:rPr>
          <w:i/>
        </w:rPr>
        <w:t>marca, fabricante, modelo, procedência e prazo de garantia ou validade;</w:t>
      </w:r>
    </w:p>
    <w:p>
      <w:pPr>
        <w:pStyle w:val="Normal"/>
        <w:numPr>
          <w:ilvl w:val="2"/>
          <w:numId w:val="1"/>
        </w:numPr>
        <w:spacing w:lineRule="auto" w:line="276" w:before="120" w:after="120"/>
        <w:ind w:left="1134" w:hanging="0"/>
        <w:jc w:val="both"/>
        <w:rPr/>
      </w:pPr>
      <w:r>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hanging="0"/>
        <w:jc w:val="both"/>
        <w:rPr/>
      </w:pPr>
      <w:r>
        <w:rPr/>
        <w:t>substituir, reparar ou corrigir, às suas expensas, no prazo fixado neste Termo de Referência, o objeto com avarias ou defeitos;</w:t>
      </w:r>
    </w:p>
    <w:p>
      <w:pPr>
        <w:pStyle w:val="Normal"/>
        <w:numPr>
          <w:ilvl w:val="2"/>
          <w:numId w:val="1"/>
        </w:numPr>
        <w:spacing w:lineRule="auto" w:line="276" w:before="120" w:after="120"/>
        <w:ind w:left="1134" w:hanging="0"/>
        <w:jc w:val="both"/>
        <w:rPr/>
      </w:pPr>
      <w:r>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hanging="0"/>
        <w:jc w:val="both"/>
        <w:rPr/>
      </w:pPr>
      <w:r>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hanging="0"/>
        <w:jc w:val="both"/>
        <w:rPr/>
      </w:pPr>
      <w:r>
        <w:rPr/>
        <w:t>indicar preposto para representá-la durante a execução do contrato.</w:t>
      </w:r>
    </w:p>
    <w:p>
      <w:pPr>
        <w:pStyle w:val="Normal"/>
        <w:keepNext w:val="true"/>
        <w:keepLines/>
        <w:numPr>
          <w:ilvl w:val="0"/>
          <w:numId w:val="1"/>
        </w:numPr>
        <w:spacing w:lineRule="auto" w:line="276" w:before="480" w:after="120"/>
        <w:jc w:val="both"/>
        <w:rPr/>
      </w:pPr>
      <w:r>
        <w:rPr>
          <w:b/>
          <w:color w:val="000000"/>
        </w:rPr>
        <w:t>DA SUBCONTRATAÇÃO</w:t>
      </w:r>
    </w:p>
    <w:p>
      <w:pPr>
        <w:pStyle w:val="Normal"/>
        <w:spacing w:lineRule="auto" w:line="276" w:before="120" w:after="120"/>
        <w:ind w:left="425" w:hanging="0"/>
        <w:jc w:val="both"/>
        <w:rPr/>
      </w:pPr>
      <w:r>
        <w:rPr/>
        <w:t>8.1 Não será admitida a subcontratação do objeto licitatório.</w:t>
      </w:r>
    </w:p>
    <w:p>
      <w:pPr>
        <w:pStyle w:val="Normal"/>
        <w:keepNext w:val="true"/>
        <w:keepLines/>
        <w:numPr>
          <w:ilvl w:val="0"/>
          <w:numId w:val="1"/>
        </w:numPr>
        <w:spacing w:lineRule="auto" w:line="276" w:before="480" w:after="120"/>
        <w:jc w:val="both"/>
        <w:rPr>
          <w:b/>
          <w:b/>
        </w:rPr>
      </w:pPr>
      <w:r>
        <w:rPr>
          <w:b/>
          <w:color w:val="000000"/>
        </w:rPr>
        <w:t>DA ALTERAÇÃO SUBJETIVA</w:t>
      </w:r>
    </w:p>
    <w:p>
      <w:pPr>
        <w:pStyle w:val="Normal"/>
        <w:numPr>
          <w:ilvl w:val="1"/>
          <w:numId w:val="1"/>
        </w:numPr>
        <w:spacing w:lineRule="auto" w:line="276" w:before="120" w:after="120"/>
        <w:ind w:left="425" w:hanging="0"/>
        <w:jc w:val="both"/>
        <w:rPr/>
      </w:pPr>
      <w:r>
        <w:rPr/>
        <w:t xml:space="preserve"> </w:t>
      </w:r>
      <w: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keepNext w:val="true"/>
        <w:keepLines/>
        <w:numPr>
          <w:ilvl w:val="0"/>
          <w:numId w:val="1"/>
        </w:numPr>
        <w:spacing w:lineRule="auto" w:line="276" w:before="480" w:after="120"/>
        <w:jc w:val="both"/>
        <w:rPr>
          <w:b/>
          <w:b/>
        </w:rPr>
      </w:pPr>
      <w:r>
        <w:rPr>
          <w:b/>
          <w:color w:val="000000"/>
        </w:rPr>
        <w:t>DO CONTROLE E FISCALIZAÇÃO DA EXECUÇÃO</w:t>
      </w:r>
    </w:p>
    <w:p>
      <w:pPr>
        <w:pStyle w:val="Normal"/>
        <w:numPr>
          <w:ilvl w:val="1"/>
          <w:numId w:val="1"/>
        </w:numPr>
        <w:spacing w:lineRule="auto" w:line="276" w:before="120" w:after="120"/>
        <w:ind w:left="425" w:hanging="0"/>
        <w:jc w:val="both"/>
        <w:rPr/>
      </w:pPr>
      <w:r>
        <w:rPr>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hanging="0"/>
        <w:jc w:val="both"/>
        <w:rPr/>
      </w:pPr>
      <w:r>
        <w:rPr/>
        <w:t>O recebimento de material de valor superior a R$ 176.000,00 (cento e setenta e seis mil reais) será confiado a uma comissão de, no mínimo, 3 (três) membros, designados pela autoridade competente.</w:t>
      </w:r>
    </w:p>
    <w:p>
      <w:pPr>
        <w:pStyle w:val="Normal"/>
        <w:numPr>
          <w:ilvl w:val="1"/>
          <w:numId w:val="1"/>
        </w:numPr>
        <w:spacing w:lineRule="auto" w:line="276" w:before="120" w:after="120"/>
        <w:ind w:left="425" w:hanging="0"/>
        <w:jc w:val="both"/>
        <w:rPr/>
      </w:pPr>
      <w:r>
        <w:rPr>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1"/>
          <w:numId w:val="1"/>
        </w:numPr>
        <w:spacing w:lineRule="auto" w:line="276" w:before="120" w:after="120"/>
        <w:ind w:left="425" w:hanging="0"/>
        <w:jc w:val="both"/>
        <w:rPr/>
      </w:pPr>
      <w:r>
        <w:rPr>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keepNext w:val="true"/>
        <w:keepLines/>
        <w:numPr>
          <w:ilvl w:val="0"/>
          <w:numId w:val="1"/>
        </w:numPr>
        <w:spacing w:lineRule="auto" w:line="276" w:before="480" w:after="120"/>
        <w:jc w:val="both"/>
        <w:rPr/>
      </w:pPr>
      <w:r>
        <w:rPr>
          <w:b/>
          <w:color w:val="000000"/>
        </w:rPr>
        <w:t>DO PAGAMENTO</w:t>
      </w:r>
    </w:p>
    <w:p>
      <w:pPr>
        <w:pStyle w:val="Normal"/>
        <w:spacing w:lineRule="auto" w:line="276" w:before="120" w:after="120"/>
        <w:ind w:left="425" w:hanging="0"/>
        <w:jc w:val="both"/>
        <w:rPr>
          <w:color w:val="000000"/>
        </w:rPr>
      </w:pPr>
      <w:r>
        <w:rPr>
          <w:color w:val="000000"/>
        </w:rPr>
      </w:r>
    </w:p>
    <w:p>
      <w:pPr>
        <w:pStyle w:val="Normal"/>
        <w:numPr>
          <w:ilvl w:val="1"/>
          <w:numId w:val="1"/>
        </w:numPr>
        <w:spacing w:lineRule="auto" w:line="276" w:before="120" w:after="120"/>
        <w:jc w:val="both"/>
        <w:rPr/>
      </w:pPr>
      <w:r>
        <w:rPr>
          <w:color w:val="000000"/>
        </w:rPr>
        <w:t xml:space="preserve">O pagamento será realizado no prazo máximo de até </w:t>
      </w:r>
      <w:r>
        <w:rPr/>
        <w:t xml:space="preserve">30 (trinta) dias, </w:t>
      </w:r>
      <w:r>
        <w:rPr>
          <w:color w:val="000000"/>
        </w:rPr>
        <w:t>contados a partir do recebimento da Nota Fiscal ou Fatura, através de ordem bancária, para crédito em banco, agência e conta corrente indicados pelo contratado.</w:t>
      </w:r>
    </w:p>
    <w:p>
      <w:pPr>
        <w:pStyle w:val="Normal"/>
        <w:numPr>
          <w:ilvl w:val="2"/>
          <w:numId w:val="1"/>
        </w:numPr>
        <w:spacing w:lineRule="auto" w:line="276" w:before="120" w:after="120"/>
        <w:jc w:val="both"/>
        <w:rPr/>
      </w:pPr>
      <w:r>
        <w:rPr>
          <w:color w:val="000000"/>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numPr>
          <w:ilvl w:val="1"/>
          <w:numId w:val="1"/>
        </w:numPr>
        <w:spacing w:lineRule="auto" w:line="276" w:before="120" w:after="120"/>
        <w:jc w:val="both"/>
        <w:rPr>
          <w:strike/>
        </w:rPr>
      </w:pPr>
      <w:r>
        <w:rPr/>
        <w:t xml:space="preserve"> </w:t>
      </w:r>
      <w:r>
        <w:rPr>
          <w:color w:val="000000"/>
        </w:rPr>
        <w:t>Considera-se ocorrido o recebimento da nota fiscal ou fatura no momento em que o órgão contratante atestar a execução do objeto do contrato.</w:t>
      </w:r>
    </w:p>
    <w:p>
      <w:pPr>
        <w:pStyle w:val="Normal"/>
        <w:numPr>
          <w:ilvl w:val="1"/>
          <w:numId w:val="1"/>
        </w:numPr>
        <w:spacing w:lineRule="auto" w:line="276" w:before="120" w:after="120"/>
        <w:jc w:val="both"/>
        <w:rPr/>
      </w:pPr>
      <w:r>
        <w:rPr>
          <w:color w:val="00000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numPr>
          <w:ilvl w:val="2"/>
          <w:numId w:val="1"/>
        </w:numPr>
        <w:spacing w:lineRule="auto" w:line="276" w:before="120" w:after="120"/>
        <w:ind w:left="1133" w:hanging="720"/>
        <w:jc w:val="both"/>
        <w:rPr/>
      </w:pPr>
      <w:r>
        <w:rPr>
          <w:color w:val="000000"/>
        </w:rPr>
        <w:t xml:space="preserve">Constatando-se, junto ao SICAF, a situação de irregularidade do fornecedor contratado, deverão ser tomadas as providências previstas </w:t>
      </w:r>
      <w:r>
        <w:rPr/>
        <w:t>no art.</w:t>
      </w:r>
      <w:r>
        <w:rPr>
          <w:color w:val="000000"/>
        </w:rPr>
        <w:t xml:space="preserve"> 31 da Instrução Normativa nº 3, de 26 de abril de 2018.</w:t>
      </w:r>
    </w:p>
    <w:p>
      <w:pPr>
        <w:pStyle w:val="Normal"/>
        <w:numPr>
          <w:ilvl w:val="1"/>
          <w:numId w:val="1"/>
        </w:numPr>
        <w:spacing w:lineRule="auto" w:line="276" w:before="120" w:after="120"/>
        <w:ind w:left="425" w:hanging="0"/>
        <w:jc w:val="both"/>
        <w:rPr/>
      </w:pPr>
      <w:r>
        <w:rPr>
          <w:color w:val="00000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spacing w:lineRule="auto" w:line="276" w:before="120" w:after="120"/>
        <w:jc w:val="both"/>
        <w:rPr/>
      </w:pPr>
      <w:r>
        <w:rPr/>
        <w:t>Será considerada data do pagamento o dia em que constar como emitida a ordem bancária para pagamento.</w:t>
      </w:r>
    </w:p>
    <w:p>
      <w:pPr>
        <w:pStyle w:val="Normal"/>
        <w:numPr>
          <w:ilvl w:val="1"/>
          <w:numId w:val="1"/>
        </w:numPr>
        <w:spacing w:lineRule="auto" w:line="276" w:before="120" w:after="120"/>
        <w:jc w:val="both"/>
        <w:rPr/>
      </w:pPr>
      <w:r>
        <w:rPr/>
        <w:t xml:space="preserve">Antes de cada pagamento à contratada, será realizada consulta ao SICAF para verificar a manutenção das condições de habilitação exigidas no edital. </w:t>
      </w:r>
    </w:p>
    <w:p>
      <w:pPr>
        <w:pStyle w:val="Normal"/>
        <w:numPr>
          <w:ilvl w:val="1"/>
          <w:numId w:val="1"/>
        </w:numPr>
        <w:spacing w:lineRule="auto" w:line="276" w:before="120" w:after="120"/>
        <w:jc w:val="both"/>
        <w:rPr/>
      </w:pPr>
      <w:r>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spacing w:lineRule="auto" w:line="276" w:before="120" w:after="120"/>
        <w:jc w:val="both"/>
        <w:rPr/>
      </w:pPr>
      <w:r>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spacing w:lineRule="auto" w:line="276" w:before="120" w:after="120"/>
        <w:jc w:val="both"/>
        <w:rPr/>
      </w:pPr>
      <w: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spacing w:lineRule="auto" w:line="276" w:before="120" w:after="120"/>
        <w:jc w:val="both"/>
        <w:rPr/>
      </w:pPr>
      <w:r>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spacing w:lineRule="auto" w:line="276" w:before="120" w:after="120"/>
        <w:jc w:val="both"/>
        <w:rPr/>
      </w:pPr>
      <w:r>
        <w:rPr/>
        <w:t xml:space="preserve">Havendo a efetiva execução do objeto, os pagamentos serão realizados normalmente, até que se decida pela rescisão do contrato, caso a contratada não regularize sua situação junto ao SICAF.  </w:t>
      </w:r>
    </w:p>
    <w:p>
      <w:pPr>
        <w:pStyle w:val="Normal"/>
        <w:spacing w:lineRule="auto" w:line="276" w:before="120" w:after="120"/>
        <w:ind w:left="716" w:hanging="0"/>
        <w:jc w:val="both"/>
        <w:rPr>
          <w:color w:val="000000"/>
        </w:rPr>
      </w:pPr>
      <w:r>
        <w:rPr>
          <w:color w:val="000000"/>
        </w:rPr>
        <w:t>10.11.1.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numPr>
          <w:ilvl w:val="1"/>
          <w:numId w:val="1"/>
        </w:numPr>
        <w:spacing w:lineRule="auto" w:line="276" w:before="120" w:after="120"/>
        <w:jc w:val="both"/>
        <w:rPr/>
      </w:pPr>
      <w:r>
        <w:rPr>
          <w:color w:val="000000"/>
        </w:rPr>
        <w:t>Quando do pagamento, será efetuada a retenção tributária prevista na legislação aplicável.</w:t>
      </w:r>
    </w:p>
    <w:p>
      <w:pPr>
        <w:pStyle w:val="Normal"/>
        <w:numPr>
          <w:ilvl w:val="2"/>
          <w:numId w:val="1"/>
        </w:numPr>
        <w:tabs>
          <w:tab w:val="clear" w:pos="720"/>
          <w:tab w:val="left" w:pos="1440" w:leader="none"/>
        </w:tabs>
        <w:spacing w:lineRule="auto" w:line="276" w:before="120" w:after="120"/>
        <w:ind w:left="1134" w:hanging="0"/>
        <w:jc w:val="both"/>
        <w:rPr/>
      </w:pPr>
      <w:r>
        <w:rPr>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numPr>
          <w:ilvl w:val="1"/>
          <w:numId w:val="1"/>
        </w:numPr>
        <w:spacing w:lineRule="auto" w:line="276" w:before="120" w:after="120"/>
        <w:ind w:left="425" w:hanging="0"/>
        <w:jc w:val="both"/>
        <w:rPr/>
      </w:pPr>
      <w:r>
        <w:rPr>
          <w:color w:val="00000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clear" w:pos="720"/>
          <w:tab w:val="left" w:pos="1701" w:leader="none"/>
        </w:tabs>
        <w:spacing w:lineRule="auto" w:line="276" w:before="120" w:after="120"/>
        <w:ind w:left="425" w:hanging="0"/>
        <w:jc w:val="both"/>
        <w:rPr>
          <w:color w:val="000000"/>
        </w:rPr>
      </w:pPr>
      <w:r>
        <w:rPr>
          <w:color w:val="000000"/>
        </w:rPr>
        <w:t>EM = I x N x VP, sendo:</w:t>
      </w:r>
    </w:p>
    <w:p>
      <w:pPr>
        <w:pStyle w:val="Normal"/>
        <w:tabs>
          <w:tab w:val="clear" w:pos="720"/>
          <w:tab w:val="left" w:pos="1701" w:leader="none"/>
        </w:tabs>
        <w:spacing w:lineRule="auto" w:line="276" w:before="120" w:after="120"/>
        <w:ind w:left="425" w:hanging="0"/>
        <w:jc w:val="both"/>
        <w:rPr>
          <w:color w:val="000000"/>
        </w:rPr>
      </w:pPr>
      <w:r>
        <w:rPr>
          <w:color w:val="000000"/>
        </w:rPr>
        <w:t>EM = Encargos moratórios;</w:t>
      </w:r>
    </w:p>
    <w:p>
      <w:pPr>
        <w:pStyle w:val="Normal"/>
        <w:tabs>
          <w:tab w:val="clear" w:pos="720"/>
          <w:tab w:val="left" w:pos="1701" w:leader="none"/>
        </w:tabs>
        <w:spacing w:lineRule="auto" w:line="276" w:before="120" w:after="120"/>
        <w:ind w:left="425" w:hanging="0"/>
        <w:jc w:val="both"/>
        <w:rPr>
          <w:color w:val="000000"/>
        </w:rPr>
      </w:pPr>
      <w:r>
        <w:rPr>
          <w:color w:val="000000"/>
        </w:rPr>
        <w:t>N = Número de dias entre a data prevista para o pagamento e a do efetivo pagamento;</w:t>
      </w:r>
    </w:p>
    <w:p>
      <w:pPr>
        <w:pStyle w:val="Normal"/>
        <w:tabs>
          <w:tab w:val="clear" w:pos="720"/>
          <w:tab w:val="left" w:pos="1701" w:leader="none"/>
        </w:tabs>
        <w:spacing w:lineRule="auto" w:line="276" w:before="120" w:after="120"/>
        <w:ind w:left="425" w:hanging="0"/>
        <w:jc w:val="both"/>
        <w:rPr>
          <w:color w:val="000000"/>
        </w:rPr>
      </w:pPr>
      <w:r>
        <w:rPr>
          <w:color w:val="000000"/>
        </w:rPr>
        <w:t>VP = Valor da parcela a ser paga.</w:t>
      </w:r>
    </w:p>
    <w:p>
      <w:pPr>
        <w:pStyle w:val="Normal"/>
        <w:tabs>
          <w:tab w:val="clear" w:pos="720"/>
          <w:tab w:val="left" w:pos="1701" w:leader="none"/>
        </w:tabs>
        <w:spacing w:lineRule="auto" w:line="276" w:before="120" w:after="120"/>
        <w:ind w:left="425" w:hanging="0"/>
        <w:jc w:val="both"/>
        <w:rPr>
          <w:color w:val="000000"/>
        </w:rPr>
      </w:pPr>
      <w:r>
        <w:rPr>
          <w:color w:val="000000"/>
        </w:rPr>
        <w:t>I = Índice de compensação financeira = 0,00016438, assim apurado:</w:t>
      </w:r>
    </w:p>
    <w:tbl>
      <w:tblPr>
        <w:tblW w:w="8646" w:type="dxa"/>
        <w:jc w:val="left"/>
        <w:tblInd w:w="425" w:type="dxa"/>
        <w:tblCellMar>
          <w:top w:w="0" w:type="dxa"/>
          <w:left w:w="108" w:type="dxa"/>
          <w:bottom w:w="0" w:type="dxa"/>
          <w:right w:w="108" w:type="dxa"/>
        </w:tblCellMar>
        <w:tblLook w:firstRow="0" w:noVBand="1" w:lastRow="0" w:firstColumn="0" w:lastColumn="0" w:noHBand="0" w:val="0400"/>
      </w:tblPr>
      <w:tblGrid>
        <w:gridCol w:w="2149"/>
        <w:gridCol w:w="577"/>
        <w:gridCol w:w="1247"/>
        <w:gridCol w:w="4672"/>
      </w:tblGrid>
      <w:tr>
        <w:trPr/>
        <w:tc>
          <w:tcPr>
            <w:tcW w:w="2149" w:type="dxa"/>
            <w:tcBorders/>
            <w:vAlign w:val="center"/>
          </w:tcPr>
          <w:p>
            <w:pPr>
              <w:pStyle w:val="Normal"/>
              <w:tabs>
                <w:tab w:val="clear" w:pos="720"/>
                <w:tab w:val="left" w:pos="1701" w:leader="none"/>
              </w:tabs>
              <w:jc w:val="center"/>
              <w:rPr>
                <w:color w:val="000000"/>
              </w:rPr>
            </w:pPr>
            <w:r>
              <w:rPr>
                <w:color w:val="000000"/>
              </w:rPr>
              <w:t>I = (TX)</w:t>
            </w:r>
          </w:p>
        </w:tc>
        <w:tc>
          <w:tcPr>
            <w:tcW w:w="577" w:type="dxa"/>
            <w:tcBorders/>
            <w:vAlign w:val="center"/>
          </w:tcPr>
          <w:p>
            <w:pPr>
              <w:pStyle w:val="Normal"/>
              <w:tabs>
                <w:tab w:val="clear" w:pos="720"/>
                <w:tab w:val="left" w:pos="1701" w:leader="none"/>
              </w:tabs>
              <w:rPr>
                <w:color w:val="000000"/>
              </w:rPr>
            </w:pPr>
            <w:r>
              <w:rPr>
                <w:color w:val="000000"/>
              </w:rPr>
              <w:t xml:space="preserve">I = </w:t>
            </w:r>
          </w:p>
        </w:tc>
        <w:tc>
          <w:tcPr>
            <w:tcW w:w="1247" w:type="dxa"/>
            <w:tcBorders>
              <w:bottom w:val="single" w:sz="4" w:space="0" w:color="000000"/>
            </w:tcBorders>
          </w:tcPr>
          <w:p>
            <w:pPr>
              <w:pStyle w:val="Normal"/>
              <w:tabs>
                <w:tab w:val="clear" w:pos="720"/>
                <w:tab w:val="left" w:pos="1701" w:leader="none"/>
              </w:tabs>
              <w:jc w:val="center"/>
              <w:rPr>
                <w:color w:val="000000"/>
              </w:rPr>
            </w:pPr>
            <w:r>
              <w:rPr>
                <w:color w:val="000000"/>
              </w:rPr>
              <w:t>( 6 / 100 )</w:t>
            </w:r>
          </w:p>
        </w:tc>
        <w:tc>
          <w:tcPr>
            <w:tcW w:w="4672" w:type="dxa"/>
            <w:tcBorders/>
            <w:vAlign w:val="center"/>
          </w:tcPr>
          <w:p>
            <w:pPr>
              <w:pStyle w:val="Normal"/>
              <w:tabs>
                <w:tab w:val="clear" w:pos="720"/>
                <w:tab w:val="left" w:pos="1701" w:leader="none"/>
              </w:tabs>
              <w:ind w:left="742" w:hanging="0"/>
              <w:rPr>
                <w:color w:val="000000"/>
              </w:rPr>
            </w:pPr>
            <w:r>
              <w:rPr>
                <w:color w:val="000000"/>
              </w:rPr>
              <w:t>I = 0,00016438</w:t>
            </w:r>
          </w:p>
          <w:p>
            <w:pPr>
              <w:pStyle w:val="Normal"/>
              <w:tabs>
                <w:tab w:val="clear" w:pos="720"/>
                <w:tab w:val="left" w:pos="1701" w:leader="none"/>
              </w:tabs>
              <w:ind w:left="742" w:hanging="0"/>
              <w:rPr>
                <w:color w:val="000000"/>
              </w:rPr>
            </w:pPr>
            <w:r>
              <w:rPr>
                <w:color w:val="000000"/>
              </w:rPr>
              <w:t>TX = Percentual da taxa anual = 6%</w:t>
            </w:r>
          </w:p>
        </w:tc>
      </w:tr>
    </w:tbl>
    <w:p>
      <w:pPr>
        <w:pStyle w:val="Normal"/>
        <w:rPr>
          <w:i/>
          <w:i/>
          <w:color w:val="FF0000"/>
        </w:rPr>
      </w:pPr>
      <w:r>
        <w:rPr/>
        <w:t xml:space="preserve">                                                            </w:t>
      </w:r>
      <w:r>
        <w:rPr/>
        <w:t>365</w:t>
      </w:r>
    </w:p>
    <w:p>
      <w:pPr>
        <w:pStyle w:val="Normal"/>
        <w:keepNext w:val="true"/>
        <w:keepLines/>
        <w:numPr>
          <w:ilvl w:val="0"/>
          <w:numId w:val="1"/>
        </w:numPr>
        <w:spacing w:lineRule="auto" w:line="276" w:before="480" w:after="120"/>
        <w:jc w:val="both"/>
        <w:rPr/>
      </w:pPr>
      <w:r>
        <w:rPr>
          <w:b/>
          <w:color w:val="000000"/>
        </w:rPr>
        <w:t xml:space="preserve">DO REAJUSTE </w:t>
      </w:r>
    </w:p>
    <w:p>
      <w:pPr>
        <w:pStyle w:val="Normal"/>
        <w:rPr/>
      </w:pPr>
      <w:r>
        <w:rPr/>
      </w:r>
    </w:p>
    <w:p>
      <w:pPr>
        <w:pStyle w:val="Normal"/>
        <w:numPr>
          <w:ilvl w:val="1"/>
          <w:numId w:val="1"/>
        </w:numPr>
        <w:spacing w:lineRule="auto" w:line="276" w:before="120" w:after="120"/>
        <w:ind w:left="425" w:hanging="0"/>
        <w:jc w:val="both"/>
        <w:rPr/>
      </w:pPr>
      <w:r>
        <w:rPr>
          <w:color w:val="000000"/>
        </w:rPr>
        <w:t xml:space="preserve">Os preços são fixos e irreajustáveis no prazo de um ano contado da data limite para a apresentação das propostas. </w:t>
      </w:r>
    </w:p>
    <w:p>
      <w:pPr>
        <w:pStyle w:val="Normal"/>
        <w:numPr>
          <w:ilvl w:val="2"/>
          <w:numId w:val="1"/>
        </w:numPr>
        <w:spacing w:lineRule="auto" w:line="276" w:before="120" w:after="120"/>
        <w:ind w:left="1134" w:hanging="0"/>
        <w:jc w:val="both"/>
        <w:rPr/>
      </w:pPr>
      <w:r>
        <w:rPr>
          <w:color w:val="000000"/>
        </w:rPr>
        <w:t>Dentro do prazo de vigência do contrato e mediante solicitação da contratada, os preços contratados poderão sofrer reajuste após o interregno de um ano, aplicando-se o índice INPC/IBGE exclusivamente para as obrigações iniciadas e concluídas após a ocorrência da anualidade</w:t>
      </w:r>
      <w:r>
        <w:rPr/>
        <w:t>.</w:t>
      </w:r>
    </w:p>
    <w:p>
      <w:pPr>
        <w:pStyle w:val="Normal"/>
        <w:numPr>
          <w:ilvl w:val="1"/>
          <w:numId w:val="1"/>
        </w:numPr>
        <w:spacing w:lineRule="auto" w:line="276" w:before="120" w:after="120"/>
        <w:ind w:left="425" w:hanging="0"/>
        <w:jc w:val="both"/>
        <w:rPr/>
      </w:pPr>
      <w:r>
        <w:rPr>
          <w:color w:val="000000"/>
        </w:rPr>
        <w:t>Nos reajustes subsequentes ao primeiro, o interregno mínimo de um ano será contado a partir dos efeitos financeiros do último reajuste.</w:t>
      </w:r>
    </w:p>
    <w:p>
      <w:pPr>
        <w:pStyle w:val="Normal"/>
        <w:numPr>
          <w:ilvl w:val="1"/>
          <w:numId w:val="1"/>
        </w:numPr>
        <w:spacing w:lineRule="auto" w:line="276" w:before="120" w:after="120"/>
        <w:ind w:left="425" w:hanging="0"/>
        <w:jc w:val="both"/>
        <w:rPr/>
      </w:pPr>
      <w:r>
        <w:rPr>
          <w:color w:val="00000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Normal"/>
        <w:numPr>
          <w:ilvl w:val="1"/>
          <w:numId w:val="1"/>
        </w:numPr>
        <w:spacing w:lineRule="auto" w:line="276" w:before="120" w:after="120"/>
        <w:ind w:left="425" w:hanging="0"/>
        <w:jc w:val="both"/>
        <w:rPr/>
      </w:pPr>
      <w:r>
        <w:rPr>
          <w:color w:val="000000"/>
        </w:rPr>
        <w:t>Nas aferições finais, o índice utilizado para reajuste será, obrigatoriamente, o definitivo.</w:t>
      </w:r>
    </w:p>
    <w:p>
      <w:pPr>
        <w:pStyle w:val="Normal"/>
        <w:numPr>
          <w:ilvl w:val="1"/>
          <w:numId w:val="1"/>
        </w:numPr>
        <w:spacing w:lineRule="auto" w:line="276" w:before="120" w:after="120"/>
        <w:ind w:left="425" w:hanging="0"/>
        <w:jc w:val="both"/>
        <w:rPr/>
      </w:pPr>
      <w:r>
        <w:rPr>
          <w:color w:val="000000"/>
        </w:rPr>
        <w:t>Caso o índice estabelecido para reajustamento venha a ser extinto ou de qualquer forma não possa mais ser utilizado, será adotado, em substituição, o que vier a ser determinado pela legislação então em vigor.</w:t>
      </w:r>
    </w:p>
    <w:p>
      <w:pPr>
        <w:pStyle w:val="Normal"/>
        <w:numPr>
          <w:ilvl w:val="1"/>
          <w:numId w:val="1"/>
        </w:numPr>
        <w:spacing w:lineRule="auto" w:line="276" w:before="120" w:after="120"/>
        <w:ind w:left="425" w:hanging="0"/>
        <w:jc w:val="both"/>
        <w:rPr/>
      </w:pPr>
      <w:r>
        <w:rPr>
          <w:color w:val="000000"/>
        </w:rPr>
        <w:t xml:space="preserve">Na ausência de previsão legal quanto ao índice substituto, as partes elegerão novo índice oficial, para reajustamento do preço do valor remanescente, por meio de termo aditivo. </w:t>
      </w:r>
    </w:p>
    <w:p>
      <w:pPr>
        <w:pStyle w:val="Normal"/>
        <w:numPr>
          <w:ilvl w:val="1"/>
          <w:numId w:val="1"/>
        </w:numPr>
        <w:spacing w:lineRule="auto" w:line="276" w:before="0" w:after="120"/>
        <w:ind w:left="425" w:hanging="0"/>
        <w:jc w:val="both"/>
        <w:rPr/>
      </w:pPr>
      <w:r>
        <w:rPr>
          <w:color w:val="000000"/>
        </w:rPr>
        <w:t>O reajuste será realizado por apostilamento.</w:t>
      </w:r>
    </w:p>
    <w:p>
      <w:pPr>
        <w:pStyle w:val="Normal"/>
        <w:spacing w:lineRule="auto" w:line="276" w:before="0" w:after="120"/>
        <w:ind w:left="425" w:hanging="0"/>
        <w:jc w:val="both"/>
        <w:rPr>
          <w:color w:val="000000"/>
        </w:rPr>
      </w:pPr>
      <w:r>
        <w:rPr>
          <w:color w:val="000000"/>
        </w:rPr>
      </w:r>
    </w:p>
    <w:p>
      <w:pPr>
        <w:pStyle w:val="Normal"/>
        <w:keepNext w:val="true"/>
        <w:keepLines/>
        <w:numPr>
          <w:ilvl w:val="0"/>
          <w:numId w:val="1"/>
        </w:numPr>
        <w:spacing w:lineRule="auto" w:line="276" w:before="0" w:after="120"/>
        <w:jc w:val="both"/>
        <w:rPr/>
      </w:pPr>
      <w:r>
        <w:rPr>
          <w:b/>
          <w:color w:val="000000"/>
        </w:rPr>
        <w:t>DA GARANTIA DE EXECUÇÃO</w:t>
      </w:r>
    </w:p>
    <w:p>
      <w:pPr>
        <w:pStyle w:val="Normal"/>
        <w:numPr>
          <w:ilvl w:val="1"/>
          <w:numId w:val="1"/>
        </w:numPr>
        <w:spacing w:lineRule="auto" w:line="276"/>
        <w:ind w:left="357" w:hanging="357"/>
        <w:jc w:val="both"/>
        <w:rPr/>
      </w:pPr>
      <w:r>
        <w:rPr/>
        <w:t>Não haverá exigência de garantia contratual da execução, pelas razões abaixo justificadas:</w:t>
      </w:r>
    </w:p>
    <w:p>
      <w:pPr>
        <w:pStyle w:val="Ttulo1"/>
        <w:keepNext w:val="false"/>
        <w:keepLines w:val="false"/>
        <w:numPr>
          <w:ilvl w:val="2"/>
          <w:numId w:val="1"/>
        </w:numPr>
        <w:spacing w:lineRule="auto" w:line="276" w:before="480" w:after="120"/>
        <w:ind w:left="1276" w:hanging="720"/>
        <w:jc w:val="both"/>
        <w:rPr>
          <w:sz w:val="18"/>
          <w:szCs w:val="18"/>
        </w:rPr>
      </w:pPr>
      <w:bookmarkStart w:id="1" w:name="_1pb7k0soknmb"/>
      <w:bookmarkEnd w:id="1"/>
      <w:r>
        <w:rPr>
          <w:rFonts w:eastAsia="Arial" w:cs="Arial" w:ascii="Arial" w:hAnsi="Arial"/>
          <w:b/>
          <w:color w:val="000000"/>
          <w:sz w:val="20"/>
          <w:szCs w:val="20"/>
          <w:u w:val="single"/>
        </w:rPr>
        <w:t>Por se tratar de um pregão de preços, que apenas gera expectativa da prestação do serviço e não ter a obrigatoriedade de atingir a margem de consumo estimada (considerando tratar-se de produtos com entrega imediata e que não geram obrigações futuras).</w:t>
      </w:r>
    </w:p>
    <w:p>
      <w:pPr>
        <w:pStyle w:val="Normal"/>
        <w:keepNext w:val="true"/>
        <w:keepLines/>
        <w:numPr>
          <w:ilvl w:val="0"/>
          <w:numId w:val="1"/>
        </w:numPr>
        <w:spacing w:lineRule="auto" w:line="276" w:before="480" w:after="120"/>
        <w:ind w:left="357" w:hanging="357"/>
        <w:jc w:val="both"/>
        <w:rPr/>
      </w:pPr>
      <w:r>
        <w:rPr>
          <w:b/>
          <w:color w:val="000000"/>
        </w:rPr>
        <w:t>DAS SANÇÕES ADMINISTRATIVAS</w:t>
      </w:r>
    </w:p>
    <w:p>
      <w:pPr>
        <w:pStyle w:val="Normal"/>
        <w:numPr>
          <w:ilvl w:val="1"/>
          <w:numId w:val="1"/>
        </w:numPr>
        <w:spacing w:lineRule="auto" w:line="276" w:before="120" w:after="120"/>
        <w:ind w:left="425" w:hanging="0"/>
        <w:jc w:val="both"/>
        <w:rPr/>
      </w:pPr>
      <w:r>
        <w:rPr/>
        <w:t>Comete infração administrativa nos termos da Lei nº 10.520, de 2002, a Contratada que:</w:t>
      </w:r>
    </w:p>
    <w:p>
      <w:pPr>
        <w:pStyle w:val="Normal"/>
        <w:numPr>
          <w:ilvl w:val="2"/>
          <w:numId w:val="1"/>
        </w:numPr>
        <w:spacing w:lineRule="auto" w:line="276" w:before="120" w:after="120"/>
        <w:ind w:left="1134" w:hanging="0"/>
        <w:jc w:val="both"/>
        <w:rPr/>
      </w:pPr>
      <w:r>
        <w:rPr/>
        <w:t>inexecutar total ou parcialmente qualquer das obrigações assumidas em decorrência da contratação;</w:t>
      </w:r>
    </w:p>
    <w:p>
      <w:pPr>
        <w:pStyle w:val="Normal"/>
        <w:numPr>
          <w:ilvl w:val="2"/>
          <w:numId w:val="1"/>
        </w:numPr>
        <w:spacing w:lineRule="auto" w:line="276" w:before="120" w:after="120"/>
        <w:ind w:left="1134" w:hanging="0"/>
        <w:jc w:val="both"/>
        <w:rPr/>
      </w:pPr>
      <w:r>
        <w:rPr/>
        <w:t>ensejar o retardamento da execução do objeto;</w:t>
      </w:r>
    </w:p>
    <w:p>
      <w:pPr>
        <w:pStyle w:val="Normal"/>
        <w:numPr>
          <w:ilvl w:val="2"/>
          <w:numId w:val="1"/>
        </w:numPr>
        <w:spacing w:lineRule="auto" w:line="276" w:before="120" w:after="120"/>
        <w:ind w:left="1134" w:hanging="0"/>
        <w:jc w:val="both"/>
        <w:rPr/>
      </w:pPr>
      <w:r>
        <w:rPr/>
        <w:t>falhar ou fraudar na execução do contrato;</w:t>
      </w:r>
    </w:p>
    <w:p>
      <w:pPr>
        <w:pStyle w:val="Normal"/>
        <w:numPr>
          <w:ilvl w:val="2"/>
          <w:numId w:val="1"/>
        </w:numPr>
        <w:spacing w:lineRule="auto" w:line="276" w:before="120" w:after="120"/>
        <w:ind w:left="1134" w:hanging="0"/>
        <w:jc w:val="both"/>
        <w:rPr/>
      </w:pPr>
      <w:r>
        <w:rPr/>
        <w:t>comportar-se de modo inidôneo;</w:t>
      </w:r>
    </w:p>
    <w:p>
      <w:pPr>
        <w:pStyle w:val="Normal"/>
        <w:numPr>
          <w:ilvl w:val="2"/>
          <w:numId w:val="1"/>
        </w:numPr>
        <w:spacing w:lineRule="auto" w:line="276" w:before="120" w:after="120"/>
        <w:ind w:left="1134" w:hanging="0"/>
        <w:jc w:val="both"/>
        <w:rPr/>
      </w:pPr>
      <w:r>
        <w:rPr/>
        <w:t>cometer fraude fiscal;</w:t>
      </w:r>
    </w:p>
    <w:p>
      <w:pPr>
        <w:pStyle w:val="Normal"/>
        <w:numPr>
          <w:ilvl w:val="1"/>
          <w:numId w:val="1"/>
        </w:numPr>
        <w:spacing w:lineRule="auto" w:line="276" w:before="120" w:after="120"/>
        <w:ind w:left="360" w:right="-30" w:hanging="360"/>
        <w:jc w:val="both"/>
        <w:rPr/>
      </w:pPr>
      <w:r>
        <w:rPr>
          <w:color w:val="000000"/>
        </w:rPr>
        <w:t xml:space="preserve">Pela inexecução </w:t>
      </w:r>
      <w:r>
        <w:rPr>
          <w:color w:val="000000"/>
          <w:u w:val="single"/>
        </w:rPr>
        <w:t>total ou parcial</w:t>
      </w:r>
      <w:r>
        <w:rPr>
          <w:color w:val="000000"/>
        </w:rPr>
        <w:t xml:space="preserve"> do objeto deste contrato, a Administração pode aplicar à CONTRATADA as seguintes sanções:</w:t>
      </w:r>
    </w:p>
    <w:p>
      <w:pPr>
        <w:pStyle w:val="Normal"/>
        <w:numPr>
          <w:ilvl w:val="2"/>
          <w:numId w:val="1"/>
        </w:numPr>
        <w:spacing w:lineRule="auto" w:line="276" w:before="120" w:after="120"/>
        <w:ind w:left="1134" w:hanging="0"/>
        <w:jc w:val="both"/>
        <w:rPr/>
      </w:pPr>
      <w:r>
        <w:rPr/>
        <w:t>Advertência,  por faltas leves, assim entendidas aquelas que não acarretem prejuízos significativos para a Contratante;</w:t>
      </w:r>
    </w:p>
    <w:p>
      <w:pPr>
        <w:pStyle w:val="Normal"/>
        <w:numPr>
          <w:ilvl w:val="2"/>
          <w:numId w:val="1"/>
        </w:numPr>
        <w:spacing w:lineRule="auto" w:line="276" w:before="120" w:after="120"/>
        <w:ind w:left="1134" w:hanging="0"/>
        <w:jc w:val="both"/>
        <w:rPr/>
      </w:pPr>
      <w:r>
        <w:rPr/>
        <w:t>multa moratória de 0,5% (meio por cento) por dia de atraso injustificado sobre o valor da parcela inadimplida, até o limite de 30(trinta) dias;</w:t>
      </w:r>
    </w:p>
    <w:p>
      <w:pPr>
        <w:pStyle w:val="Normal"/>
        <w:numPr>
          <w:ilvl w:val="2"/>
          <w:numId w:val="1"/>
        </w:numPr>
        <w:spacing w:lineRule="auto" w:line="276" w:before="120" w:after="120"/>
        <w:ind w:left="1134" w:hanging="0"/>
        <w:jc w:val="both"/>
        <w:rPr/>
      </w:pPr>
      <w:r>
        <w:rPr/>
        <w:t>multa compensatória de 10% (dez por cento) sobre o valor total do contrato, no caso de inexecução total do objeto;</w:t>
      </w:r>
    </w:p>
    <w:p>
      <w:pPr>
        <w:pStyle w:val="Normal"/>
        <w:numPr>
          <w:ilvl w:val="2"/>
          <w:numId w:val="1"/>
        </w:numPr>
        <w:spacing w:lineRule="auto" w:line="276" w:before="120" w:after="120"/>
        <w:ind w:left="1134" w:hanging="0"/>
        <w:jc w:val="both"/>
        <w:rPr/>
      </w:pPr>
      <w:r>
        <w:rPr/>
        <w:t>em caso de inexecução parcial, a multa compensatória, no mesmo percentual do subitem acima, será aplicada de forma proporcional à obrigação inadimplida;</w:t>
      </w:r>
    </w:p>
    <w:p>
      <w:pPr>
        <w:pStyle w:val="Normal"/>
        <w:numPr>
          <w:ilvl w:val="2"/>
          <w:numId w:val="1"/>
        </w:numPr>
        <w:spacing w:lineRule="auto" w:line="276" w:before="120" w:after="120"/>
        <w:ind w:left="1134" w:hanging="0"/>
        <w:jc w:val="both"/>
        <w:rPr>
          <w:b/>
          <w:b/>
          <w:i/>
          <w:i/>
          <w:u w:val="single"/>
        </w:rPr>
      </w:pPr>
      <w:r>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1"/>
        </w:numPr>
        <w:spacing w:lineRule="auto" w:line="276" w:before="120" w:after="120"/>
        <w:ind w:left="1134" w:hanging="0"/>
        <w:jc w:val="both"/>
        <w:rPr/>
      </w:pPr>
      <w:r>
        <w:rPr/>
        <w:t>impedimento de licitar e contratar com órgãos e entidades da União com o consequente descredenciamento no SICAF pelo prazo de até cinco anos;</w:t>
      </w:r>
    </w:p>
    <w:p>
      <w:pPr>
        <w:pStyle w:val="Normal"/>
        <w:numPr>
          <w:ilvl w:val="3"/>
          <w:numId w:val="1"/>
        </w:numPr>
        <w:spacing w:lineRule="auto" w:line="276" w:before="120" w:after="120"/>
        <w:ind w:left="720" w:right="-30" w:hanging="720"/>
        <w:jc w:val="both"/>
        <w:rPr>
          <w:color w:val="000000"/>
        </w:rPr>
      </w:pPr>
      <w:r>
        <w:rPr>
          <w:color w:val="000000"/>
        </w:rPr>
        <w:t>A Sanção de impedimento de licitar e contratar prevista neste subitem também é aplicável em quaisquer das hipóteses previstas como infração administrativa no subitem 16.1 deste Termo de Referência.</w:t>
      </w:r>
    </w:p>
    <w:p>
      <w:pPr>
        <w:pStyle w:val="Normal"/>
        <w:numPr>
          <w:ilvl w:val="2"/>
          <w:numId w:val="1"/>
        </w:numPr>
        <w:spacing w:lineRule="auto" w:line="276" w:before="120" w:after="120"/>
        <w:ind w:left="1134" w:hanging="0"/>
        <w:jc w:val="both"/>
        <w:rPr/>
      </w:pPr>
      <w: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360" w:right="-30" w:hanging="360"/>
        <w:jc w:val="both"/>
        <w:rPr/>
      </w:pPr>
      <w:r>
        <w:rPr/>
        <w:t>As sanções previstas nos subitens 16.2.1, 16.2.5, 16.2.6 e 16.2.7 poderão ser aplicadas à CONTRATADA juntamente com as de multa, descontando-a dos pagamentos a serem efetuados.</w:t>
      </w:r>
    </w:p>
    <w:p>
      <w:pPr>
        <w:pStyle w:val="Normal"/>
        <w:numPr>
          <w:ilvl w:val="1"/>
          <w:numId w:val="1"/>
        </w:numPr>
        <w:spacing w:lineRule="auto" w:line="276" w:before="120" w:after="120"/>
        <w:ind w:left="425" w:hanging="0"/>
        <w:jc w:val="both"/>
        <w:rPr/>
      </w:pPr>
      <w:r>
        <w:rPr/>
        <w:t>Também ficam sujeitas às penalidades do art. 87, III e IV da Lei nº 8.666, de 1993, as empresas ou profissionais que:</w:t>
      </w:r>
    </w:p>
    <w:p>
      <w:pPr>
        <w:pStyle w:val="Normal"/>
        <w:numPr>
          <w:ilvl w:val="2"/>
          <w:numId w:val="1"/>
        </w:numPr>
        <w:spacing w:lineRule="auto" w:line="276" w:before="120" w:after="120"/>
        <w:ind w:left="1134" w:hanging="0"/>
        <w:jc w:val="both"/>
        <w:rPr/>
      </w:pPr>
      <w:r>
        <w:rPr/>
        <w:t>tenham sofrido condenação definitiva por praticar, por meio dolosos, fraude fiscal no recolhimento de quaisquer tributos;</w:t>
      </w:r>
    </w:p>
    <w:p>
      <w:pPr>
        <w:pStyle w:val="Normal"/>
        <w:numPr>
          <w:ilvl w:val="2"/>
          <w:numId w:val="1"/>
        </w:numPr>
        <w:spacing w:lineRule="auto" w:line="276" w:before="120" w:after="120"/>
        <w:ind w:left="1134" w:hanging="0"/>
        <w:jc w:val="both"/>
        <w:rPr/>
      </w:pPr>
      <w:r>
        <w:rPr/>
        <w:t>tenham praticado atos ilícitos visando a frustrar os objetivos da licitação;</w:t>
      </w:r>
    </w:p>
    <w:p>
      <w:pPr>
        <w:pStyle w:val="Normal"/>
        <w:numPr>
          <w:ilvl w:val="2"/>
          <w:numId w:val="1"/>
        </w:numPr>
        <w:spacing w:lineRule="auto" w:line="276" w:before="240" w:after="120"/>
        <w:ind w:left="1134" w:right="-17" w:hanging="283"/>
        <w:jc w:val="both"/>
        <w:rPr/>
      </w:pPr>
      <w:r>
        <w:rPr/>
        <w:t>demonstrem não possuir idoneidade para contratar com a Administração em virtude de atos ilícitos praticados.</w:t>
      </w:r>
    </w:p>
    <w:p>
      <w:pPr>
        <w:pStyle w:val="Normal"/>
        <w:numPr>
          <w:ilvl w:val="1"/>
          <w:numId w:val="1"/>
        </w:numPr>
        <w:spacing w:lineRule="auto" w:line="276" w:before="120" w:after="120"/>
        <w:ind w:left="425" w:hanging="0"/>
        <w:jc w:val="both"/>
        <w:rPr/>
      </w:pPr>
      <w: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360" w:right="-30" w:hanging="360"/>
        <w:jc w:val="both"/>
        <w:rPr/>
      </w:pPr>
      <w:r>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2"/>
          <w:numId w:val="1"/>
        </w:numPr>
        <w:spacing w:lineRule="auto" w:line="276" w:before="120" w:after="120"/>
        <w:ind w:left="720" w:right="-30" w:hanging="720"/>
        <w:jc w:val="both"/>
        <w:rPr/>
      </w:pPr>
      <w:r>
        <w:rPr/>
        <w:t>Caso a Contratante determine, a multa deverá ser recolhida no prazo máximo de 10 (dez) dias, a contar da data do recebimento da comunicação enviada pela autoridade competente.</w:t>
      </w:r>
    </w:p>
    <w:p>
      <w:pPr>
        <w:pStyle w:val="Normal"/>
        <w:numPr>
          <w:ilvl w:val="1"/>
          <w:numId w:val="1"/>
        </w:numPr>
        <w:spacing w:lineRule="auto" w:line="276" w:before="120" w:after="120"/>
        <w:ind w:left="360" w:right="-30" w:hanging="360"/>
        <w:jc w:val="both"/>
        <w:rPr/>
      </w:pPr>
      <w:r>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1"/>
        </w:numPr>
        <w:spacing w:lineRule="auto" w:line="276" w:before="120" w:after="120"/>
        <w:ind w:left="360" w:right="-30" w:hanging="360"/>
        <w:jc w:val="both"/>
        <w:rPr/>
      </w:pPr>
      <w:r>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
        </w:numPr>
        <w:spacing w:lineRule="auto" w:line="276" w:before="120" w:after="120"/>
        <w:jc w:val="both"/>
        <w:rPr/>
      </w:pPr>
      <w:r>
        <w:rPr>
          <w:color w:val="00000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1"/>
          <w:numId w:val="1"/>
        </w:numPr>
        <w:spacing w:lineRule="auto" w:line="276" w:before="120" w:after="120"/>
        <w:jc w:val="both"/>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1"/>
        </w:numPr>
        <w:spacing w:lineRule="auto" w:line="276" w:before="120" w:after="120"/>
        <w:jc w:val="both"/>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1"/>
        </w:numPr>
        <w:spacing w:lineRule="auto" w:line="276" w:before="120" w:after="120"/>
        <w:ind w:left="425" w:hanging="0"/>
        <w:jc w:val="both"/>
        <w:rPr/>
      </w:pPr>
      <w:r>
        <w:rPr/>
        <w:t>As penalidades serão obrigatoriamente registradas no SICAF.</w:t>
      </w:r>
    </w:p>
    <w:p>
      <w:pPr>
        <w:pStyle w:val="Normal"/>
        <w:keepNext w:val="true"/>
        <w:keepLines/>
        <w:numPr>
          <w:ilvl w:val="0"/>
          <w:numId w:val="1"/>
        </w:numPr>
        <w:spacing w:lineRule="auto" w:line="276" w:before="120" w:after="120"/>
        <w:ind w:left="360" w:right="-30" w:hanging="360"/>
        <w:jc w:val="both"/>
        <w:rPr/>
      </w:pPr>
      <w:r>
        <w:rPr>
          <w:b/>
          <w:color w:val="000000"/>
        </w:rPr>
        <w:t>ESTIMATIVA DE PREÇOS E PREÇOS REFERENCIAIS.</w:t>
      </w:r>
    </w:p>
    <w:p>
      <w:pPr>
        <w:pStyle w:val="Normal"/>
        <w:keepNext w:val="true"/>
        <w:keepLines/>
        <w:numPr>
          <w:ilvl w:val="1"/>
          <w:numId w:val="1"/>
        </w:numPr>
        <w:spacing w:lineRule="auto" w:line="276" w:before="120" w:after="120"/>
        <w:ind w:left="360" w:right="-30" w:hanging="360"/>
        <w:jc w:val="both"/>
        <w:rPr>
          <w:b/>
          <w:b/>
          <w:bCs/>
        </w:rPr>
      </w:pPr>
      <w:r>
        <w:rPr/>
        <w:t>O custo estimado da contratação é de</w:t>
      </w:r>
      <w:r>
        <w:rPr>
          <w:b/>
          <w:bCs/>
        </w:rPr>
        <w:t xml:space="preserve"> R$ 1.165.584,00(um milhão cento e sessenta e cinco mil, quinhentos e oitenta e quatro reais).</w:t>
      </w:r>
    </w:p>
    <w:p>
      <w:pPr>
        <w:pStyle w:val="Normal"/>
        <w:keepNext w:val="true"/>
        <w:keepLines/>
        <w:spacing w:lineRule="auto" w:line="276" w:before="240" w:after="240"/>
        <w:jc w:val="both"/>
        <w:rPr>
          <w:b/>
          <w:b/>
          <w:u w:val="single"/>
        </w:rPr>
      </w:pPr>
      <w:r>
        <w:rPr>
          <w:b/>
          <w:u w:val="single"/>
        </w:rPr>
        <w:t>16. DA SUSTENTABILIDADE</w:t>
      </w:r>
    </w:p>
    <w:p>
      <w:pPr>
        <w:pStyle w:val="Normal"/>
        <w:keepNext w:val="true"/>
        <w:keepLines/>
        <w:spacing w:lineRule="auto" w:line="276" w:before="240" w:after="240"/>
        <w:jc w:val="both"/>
        <w:rPr>
          <w:u w:val="single"/>
        </w:rPr>
      </w:pPr>
      <w:r>
        <w:rPr>
          <w:b/>
          <w:u w:val="single"/>
        </w:rPr>
        <w:t xml:space="preserve">16.1. </w:t>
      </w:r>
      <w:r>
        <w:rPr>
          <w:u w:val="single"/>
        </w:rPr>
        <w:t>Em cumprimento ao disposto no art. 5º da IN/SLTI/MPOG nº 01, de 19 de janeiro de 2010, que dispõe sobre os critérios de sustentabilidade ambiental na aquisição de bens pela Administração Pública Federal Direta, os fornecedores deverão obedecer, aos seguintes critérios:</w:t>
      </w:r>
    </w:p>
    <w:p>
      <w:pPr>
        <w:pStyle w:val="Normal"/>
        <w:keepNext w:val="true"/>
        <w:keepLines/>
        <w:spacing w:lineRule="auto" w:line="276" w:before="240" w:after="240"/>
        <w:ind w:left="566" w:hanging="0"/>
        <w:jc w:val="both"/>
        <w:rPr>
          <w:u w:val="single"/>
        </w:rPr>
      </w:pPr>
      <w:r>
        <w:rPr>
          <w:b/>
          <w:u w:val="single"/>
        </w:rPr>
        <w:t>16.1.1.</w:t>
      </w:r>
      <w:r>
        <w:rPr>
          <w:u w:val="single"/>
        </w:rPr>
        <w:t xml:space="preserve">   que os bens devam ser, preferencialmente, acondicionados em embalagens individual adequada, com o menor volume possível, que utilize materiais recicláveis, de forma a garantir a máxima proteção durante o transporte e o armazenamento;</w:t>
      </w:r>
    </w:p>
    <w:p>
      <w:pPr>
        <w:pStyle w:val="Normal"/>
        <w:keepNext w:val="true"/>
        <w:keepLines/>
        <w:spacing w:lineRule="auto" w:line="276" w:before="240" w:after="240"/>
        <w:ind w:left="560" w:hanging="0"/>
        <w:jc w:val="both"/>
        <w:rPr>
          <w:u w:val="single"/>
        </w:rPr>
      </w:pPr>
      <w:r>
        <w:rPr>
          <w:b/>
          <w:u w:val="single"/>
        </w:rPr>
        <w:t xml:space="preserve">16.1.2.   </w:t>
      </w:r>
      <w:r>
        <w:rPr>
          <w:u w:val="single"/>
        </w:rPr>
        <w:t>que os bens sejam construídos, no todo ou em parte, por material reciclado, atóxico, biodegradável, conforme ABNT NBR – 15448-1 e 15448-2;</w:t>
      </w:r>
    </w:p>
    <w:p>
      <w:pPr>
        <w:pStyle w:val="Normal"/>
        <w:keepNext w:val="true"/>
        <w:keepLines/>
        <w:spacing w:lineRule="auto" w:line="276" w:before="240" w:after="240"/>
        <w:ind w:left="566" w:hanging="0"/>
        <w:jc w:val="both"/>
        <w:rPr>
          <w:u w:val="single"/>
        </w:rPr>
      </w:pPr>
      <w:r>
        <w:rPr>
          <w:b/>
          <w:u w:val="single"/>
        </w:rPr>
        <w:t xml:space="preserve">16.1.3.   </w:t>
      </w:r>
      <w:r>
        <w:rPr>
          <w:u w:val="single"/>
        </w:rPr>
        <w:t>que os bens não contenham substâncias perigosas em concentração acima da recomendada na diretiva RoHS, tais como mercúrio(Hg), chumbo (Pb), cromo hexavalente (Cr(VI)), cádmio (Cd), bifenil-polibromados (PBBs), éteres difenilpolibromados (PBDEs) polibromados (PBDEs);</w:t>
      </w:r>
    </w:p>
    <w:p>
      <w:pPr>
        <w:pStyle w:val="Normal"/>
        <w:keepNext w:val="true"/>
        <w:keepLines/>
        <w:spacing w:lineRule="auto" w:line="276" w:before="240" w:after="240"/>
        <w:ind w:left="566" w:hanging="0"/>
        <w:jc w:val="both"/>
        <w:rPr>
          <w:u w:val="single"/>
        </w:rPr>
      </w:pPr>
      <w:r>
        <w:rPr>
          <w:b/>
          <w:u w:val="single"/>
        </w:rPr>
        <w:t xml:space="preserve">16.1.4. </w:t>
      </w:r>
      <w:r>
        <w:rPr>
          <w:u w:val="single"/>
        </w:rPr>
        <w:t>que sejam observados os requisitos ambientais para a obtenção de certificação do Instituto Nacional de Metrologia, Normalização e Qualidade Industrial – INMETRO como produtos sustentáveis ou de menor impacto ambiental em relação aos seus similares.</w:t>
      </w:r>
    </w:p>
    <w:p>
      <w:pPr>
        <w:pStyle w:val="Normal"/>
        <w:keepNext w:val="true"/>
        <w:keepLines/>
        <w:spacing w:lineRule="auto" w:line="276" w:before="120" w:after="120"/>
        <w:jc w:val="both"/>
        <w:rPr>
          <w:i/>
          <w:i/>
          <w:color w:val="FF0000"/>
          <w:u w:val="single"/>
        </w:rPr>
      </w:pPr>
      <w:r>
        <w:rPr>
          <w:b/>
          <w:u w:val="single"/>
        </w:rPr>
        <w:t>16.2 D</w:t>
      </w:r>
      <w:r>
        <w:rPr>
          <w:u w:val="single"/>
        </w:rPr>
        <w:t>eclaração devidamente assinada pelo responsável da empresa, conforme modelo constante no ANEXO I/D deste Termo.</w:t>
      </w:r>
    </w:p>
    <w:p>
      <w:pPr>
        <w:pStyle w:val="Normal"/>
        <w:keepNext w:val="true"/>
        <w:keepLines/>
        <w:spacing w:lineRule="auto" w:line="276"/>
        <w:ind w:right="-28" w:hanging="0"/>
        <w:jc w:val="both"/>
        <w:rPr>
          <w:b/>
          <w:b/>
        </w:rPr>
      </w:pPr>
      <w:r>
        <w:rPr>
          <w:b/>
        </w:rPr>
        <w:t>17. DOS RECURSOS ORÇAMENTÁRIOS</w:t>
      </w:r>
    </w:p>
    <w:p>
      <w:pPr>
        <w:pStyle w:val="Normal"/>
        <w:keepNext w:val="true"/>
        <w:keepLines/>
        <w:spacing w:lineRule="auto" w:line="276" w:before="240" w:after="240"/>
        <w:jc w:val="both"/>
        <w:rPr/>
      </w:pPr>
      <w:r>
        <w:rPr/>
        <w:t>17.1.</w:t>
        <w:tab/>
        <w:t>A presente contratação se dará através do Sistema de Registro de Preços – SRP, conforme o item 4 do presente Termo de Referência, não havendo necessidade de indicação da dotação orçamentária nesta fase da licitação.</w:t>
      </w:r>
    </w:p>
    <w:p>
      <w:pPr>
        <w:pStyle w:val="Normal"/>
        <w:keepNext w:val="true"/>
        <w:keepLines/>
        <w:spacing w:lineRule="auto" w:line="276" w:before="120" w:after="120"/>
        <w:ind w:right="-30" w:hanging="0"/>
        <w:jc w:val="both"/>
        <w:rPr>
          <w:b/>
          <w:b/>
        </w:rPr>
      </w:pPr>
      <w:r>
        <w:rPr>
          <w:b/>
        </w:rPr>
        <w:t>18. Integram esse Termo de Referência os seguintes anexos:</w:t>
      </w:r>
    </w:p>
    <w:p>
      <w:pPr>
        <w:pStyle w:val="Normal"/>
        <w:keepNext w:val="true"/>
        <w:keepLines/>
        <w:spacing w:before="0" w:after="120"/>
        <w:ind w:left="720" w:hanging="0"/>
        <w:jc w:val="both"/>
        <w:rPr/>
      </w:pPr>
      <w:r>
        <w:rPr/>
        <w:t xml:space="preserve">18.1. </w:t>
      </w:r>
      <w:r>
        <w:rPr>
          <w:b/>
          <w:bCs/>
        </w:rPr>
        <w:t>ANEXO I/A</w:t>
      </w:r>
      <w:r>
        <w:rPr/>
        <w:t xml:space="preserve">: </w:t>
      </w:r>
      <w:r>
        <w:rPr>
          <w:b/>
        </w:rPr>
        <w:t xml:space="preserve">Estudo Técnico preliminar – ETP – </w:t>
      </w:r>
      <w:r>
        <w:rPr/>
        <w:t>Presente no site do IFSertãoPE, no seguinte endereço:</w:t>
      </w:r>
      <w:hyperlink r:id="rId2">
        <w:r>
          <w:rPr>
            <w:b/>
          </w:rPr>
          <w:t xml:space="preserve"> </w:t>
        </w:r>
      </w:hyperlink>
      <w:hyperlink r:id="rId3">
        <w:r>
          <w:rPr>
            <w:b/>
            <w:color w:val="1155CC"/>
            <w:u w:val="single"/>
          </w:rPr>
          <w:t>https://www.ifsertao-pe.edu.br/index.php/licitacoes/pregao-eletronico/pregao-rei?id=11791</w:t>
        </w:r>
      </w:hyperlink>
      <w:r>
        <w:rPr>
          <w:b/>
        </w:rPr>
        <w:t xml:space="preserve">;       </w:t>
      </w:r>
    </w:p>
    <w:p>
      <w:pPr>
        <w:pStyle w:val="Normal"/>
        <w:keepNext w:val="true"/>
        <w:keepLines/>
        <w:spacing w:lineRule="auto" w:line="360"/>
        <w:ind w:firstLine="720"/>
        <w:jc w:val="both"/>
        <w:rPr/>
      </w:pPr>
      <w:r>
        <w:rPr/>
        <w:t xml:space="preserve">18.2. </w:t>
      </w:r>
      <w:r>
        <w:rPr>
          <w:b/>
          <w:bCs/>
        </w:rPr>
        <w:t>ANEXO I/B:</w:t>
      </w:r>
      <w:r>
        <w:rPr/>
        <w:t xml:space="preserve"> Planilha de Preço Máximo Aceitável </w:t>
      </w:r>
    </w:p>
    <w:p>
      <w:pPr>
        <w:pStyle w:val="Normal"/>
        <w:spacing w:before="120" w:after="120"/>
        <w:rPr/>
      </w:pPr>
      <w:r>
        <w:rPr/>
        <w:t xml:space="preserve">            </w:t>
      </w:r>
      <w:r>
        <w:rPr/>
        <w:t xml:space="preserve">18.3 </w:t>
      </w:r>
      <w:r>
        <w:rPr>
          <w:b/>
          <w:bCs/>
        </w:rPr>
        <w:t>ANEXO I/C</w:t>
      </w:r>
      <w:r>
        <w:rPr/>
        <w:t>: Estimativas de Consumo Individualizadas, dos Órgãos Participantes</w:t>
      </w:r>
    </w:p>
    <w:p>
      <w:pPr>
        <w:pStyle w:val="Normal"/>
        <w:rPr/>
      </w:pPr>
      <w:r>
        <w:rPr/>
        <w:t xml:space="preserve">            </w:t>
      </w:r>
      <w:r>
        <w:rPr/>
        <w:t xml:space="preserve">18.4. </w:t>
      </w:r>
      <w:r>
        <w:rPr>
          <w:b/>
          <w:bCs/>
        </w:rPr>
        <w:t>ANEXO I/D:</w:t>
      </w:r>
      <w:r>
        <w:rPr/>
        <w:t xml:space="preserve"> Modelo de Declaração de Sustentabilidade Ambiental</w:t>
      </w:r>
    </w:p>
    <w:p>
      <w:pPr>
        <w:pStyle w:val="Normal"/>
        <w:keepNext w:val="true"/>
        <w:keepLines/>
        <w:spacing w:lineRule="auto" w:line="360" w:before="240" w:after="240"/>
        <w:ind w:left="850" w:hanging="0"/>
        <w:jc w:val="both"/>
        <w:rPr>
          <w:i/>
          <w:i/>
        </w:rPr>
      </w:pPr>
      <w:r>
        <w:rPr>
          <w:i/>
        </w:rPr>
      </w:r>
    </w:p>
    <w:p>
      <w:pPr>
        <w:pStyle w:val="Normal"/>
        <w:spacing w:lineRule="auto" w:line="360" w:before="180" w:after="240"/>
        <w:jc w:val="right"/>
        <w:rPr>
          <w:i/>
          <w:i/>
          <w:color w:val="FF0000"/>
          <w:sz w:val="18"/>
          <w:szCs w:val="18"/>
        </w:rPr>
      </w:pPr>
      <w:r>
        <w:rPr>
          <w:sz w:val="18"/>
          <w:szCs w:val="18"/>
        </w:rPr>
        <w:t>Petrolina-PE 25 de agosto</w:t>
      </w:r>
      <w:bookmarkStart w:id="2" w:name="_GoBack"/>
      <w:bookmarkEnd w:id="2"/>
      <w:r>
        <w:rPr>
          <w:sz w:val="18"/>
          <w:szCs w:val="18"/>
        </w:rPr>
        <w:t xml:space="preserve"> de 2021.</w:t>
      </w:r>
    </w:p>
    <w:p>
      <w:pPr>
        <w:pStyle w:val="Normal"/>
        <w:spacing w:lineRule="auto" w:line="360" w:before="180" w:after="240"/>
        <w:jc w:val="right"/>
        <w:rPr>
          <w:i/>
          <w:i/>
          <w:color w:val="FF0000"/>
          <w:sz w:val="18"/>
          <w:szCs w:val="18"/>
        </w:rPr>
      </w:pPr>
      <w:r>
        <w:rPr/>
      </w:r>
    </w:p>
    <w:p>
      <w:pPr>
        <w:pStyle w:val="Normal"/>
        <w:spacing w:before="0" w:after="132"/>
        <w:ind w:left="-280" w:hanging="0"/>
        <w:jc w:val="center"/>
        <w:rPr>
          <w:b/>
          <w:b/>
          <w:sz w:val="18"/>
          <w:szCs w:val="18"/>
        </w:rPr>
      </w:pPr>
      <w:r>
        <w:rPr>
          <w:b/>
          <w:sz w:val="18"/>
          <w:szCs w:val="18"/>
        </w:rPr>
        <w:t>Jean Carlos Coelho Alencar</w:t>
      </w:r>
    </w:p>
    <w:p>
      <w:pPr>
        <w:pStyle w:val="Normal"/>
        <w:spacing w:before="0" w:after="75"/>
        <w:ind w:left="-280" w:hanging="0"/>
        <w:jc w:val="center"/>
        <w:rPr>
          <w:b/>
          <w:b/>
          <w:sz w:val="18"/>
          <w:szCs w:val="18"/>
        </w:rPr>
      </w:pPr>
      <w:r>
        <w:rPr>
          <w:b/>
          <w:sz w:val="18"/>
          <w:szCs w:val="18"/>
        </w:rPr>
        <w:t xml:space="preserve">Pró-Reitor de Orçamento e Administração </w:t>
      </w:r>
    </w:p>
    <w:p>
      <w:pPr>
        <w:pStyle w:val="Normal"/>
        <w:spacing w:before="0" w:after="360"/>
        <w:ind w:left="-280" w:hanging="0"/>
        <w:jc w:val="center"/>
        <w:rPr>
          <w:b/>
          <w:b/>
          <w:sz w:val="18"/>
          <w:szCs w:val="18"/>
        </w:rPr>
      </w:pPr>
      <w:r>
        <w:rPr>
          <w:b/>
          <w:sz w:val="18"/>
          <w:szCs w:val="18"/>
        </w:rPr>
        <w:t>IF Sertão-PE</w:t>
      </w:r>
    </w:p>
    <w:p>
      <w:pPr>
        <w:pStyle w:val="Normal"/>
        <w:spacing w:before="0" w:after="360"/>
        <w:ind w:left="-280" w:hanging="0"/>
        <w:jc w:val="center"/>
        <w:rPr>
          <w:b/>
          <w:b/>
          <w:sz w:val="18"/>
          <w:szCs w:val="18"/>
        </w:rPr>
      </w:pPr>
      <w:r>
        <w:rPr/>
      </w:r>
    </w:p>
    <w:p>
      <w:pPr>
        <w:pStyle w:val="Normal"/>
        <w:spacing w:before="240" w:after="360"/>
        <w:rPr>
          <w:b/>
          <w:b/>
          <w:sz w:val="18"/>
          <w:szCs w:val="18"/>
        </w:rPr>
      </w:pPr>
      <w:r>
        <w:rPr>
          <w:b/>
          <w:sz w:val="18"/>
          <w:szCs w:val="18"/>
        </w:rPr>
        <w:t xml:space="preserve"> </w:t>
      </w:r>
    </w:p>
    <w:p>
      <w:pPr>
        <w:pStyle w:val="Normal"/>
        <w:spacing w:before="240" w:after="120"/>
        <w:rPr>
          <w:b/>
          <w:b/>
          <w:sz w:val="18"/>
          <w:szCs w:val="18"/>
        </w:rPr>
      </w:pPr>
      <w:r>
        <w:rPr>
          <w:b/>
          <w:sz w:val="18"/>
          <w:szCs w:val="18"/>
        </w:rPr>
      </w:r>
    </w:p>
    <w:p>
      <w:pPr>
        <w:pStyle w:val="Normal"/>
        <w:spacing w:before="240" w:after="360"/>
        <w:rPr>
          <w:b/>
          <w:b/>
          <w:sz w:val="18"/>
          <w:szCs w:val="18"/>
        </w:rPr>
      </w:pPr>
      <w:r>
        <w:rPr/>
      </w:r>
    </w:p>
    <w:p>
      <w:pPr>
        <w:pStyle w:val="Normal"/>
        <w:spacing w:lineRule="auto" w:line="360" w:before="0" w:after="240"/>
        <w:jc w:val="both"/>
        <w:rPr/>
      </w:pPr>
      <w:r>
        <w:rPr>
          <w:b/>
          <w:sz w:val="18"/>
          <w:szCs w:val="18"/>
        </w:rPr>
        <w:t>APROVO o</w:t>
      </w:r>
      <w:r>
        <w:rPr>
          <w:sz w:val="18"/>
          <w:szCs w:val="18"/>
        </w:rPr>
        <w:t xml:space="preserve"> presente Termo de Referência de acordo com o inciso II do Artigo 14º do Decreto nº 10.024/2019, cuja finalidade é subsidiar os licitantes de todas as informações necessárias à </w:t>
      </w:r>
      <w:r>
        <w:rPr>
          <w:b/>
          <w:sz w:val="18"/>
          <w:szCs w:val="18"/>
        </w:rPr>
        <w:t xml:space="preserve">Aquisição de KIT BÁSICO DE ALIMENTOS para atender os </w:t>
      </w:r>
      <w:r>
        <w:rPr>
          <w:b/>
          <w:i/>
          <w:sz w:val="18"/>
          <w:szCs w:val="18"/>
        </w:rPr>
        <w:t xml:space="preserve">campi </w:t>
      </w:r>
      <w:r>
        <w:rPr>
          <w:b/>
          <w:sz w:val="18"/>
          <w:szCs w:val="18"/>
        </w:rPr>
        <w:t>do IFSertãoPE,</w:t>
      </w:r>
      <w:r>
        <w:rPr>
          <w:sz w:val="18"/>
          <w:szCs w:val="18"/>
        </w:rPr>
        <w:t xml:space="preserve"> a partir da data de assinatura do contrato, estando presentes os elementos necessários à identificação do objeto, seu custo e todos os critérios para participação de forma clara e concisa.</w:t>
      </w:r>
    </w:p>
    <w:p>
      <w:pPr>
        <w:pStyle w:val="Normal"/>
        <w:spacing w:lineRule="auto" w:line="360" w:before="180" w:after="240"/>
        <w:jc w:val="right"/>
        <w:rPr>
          <w:sz w:val="18"/>
          <w:szCs w:val="18"/>
        </w:rPr>
      </w:pPr>
      <w:r>
        <w:rPr>
          <w:sz w:val="18"/>
          <w:szCs w:val="18"/>
        </w:rPr>
        <w:t xml:space="preserve">Petrolina-PE </w:t>
      </w:r>
      <w:r>
        <w:rPr>
          <w:sz w:val="18"/>
          <w:szCs w:val="18"/>
        </w:rPr>
        <w:t>25</w:t>
      </w:r>
      <w:r>
        <w:rPr>
          <w:sz w:val="18"/>
          <w:szCs w:val="18"/>
        </w:rPr>
        <w:t xml:space="preserve"> de agosto de 2021.</w:t>
      </w:r>
    </w:p>
    <w:p>
      <w:pPr>
        <w:pStyle w:val="Normal"/>
        <w:spacing w:lineRule="auto" w:line="360" w:before="180" w:after="240"/>
        <w:jc w:val="right"/>
        <w:rPr>
          <w:sz w:val="18"/>
          <w:szCs w:val="18"/>
        </w:rPr>
      </w:pPr>
      <w:r>
        <w:rPr>
          <w:sz w:val="18"/>
          <w:szCs w:val="18"/>
        </w:rPr>
      </w:r>
    </w:p>
    <w:p>
      <w:pPr>
        <w:pStyle w:val="Normal"/>
        <w:spacing w:lineRule="auto" w:line="360" w:before="180" w:after="240"/>
        <w:jc w:val="right"/>
        <w:rPr>
          <w:sz w:val="18"/>
          <w:szCs w:val="18"/>
        </w:rPr>
      </w:pPr>
      <w:r>
        <w:rPr>
          <w:sz w:val="18"/>
          <w:szCs w:val="18"/>
        </w:rPr>
      </w:r>
    </w:p>
    <w:p>
      <w:pPr>
        <w:pStyle w:val="Normal"/>
        <w:ind w:right="-618" w:hanging="0"/>
        <w:jc w:val="center"/>
        <w:rPr>
          <w:b/>
          <w:b/>
        </w:rPr>
      </w:pPr>
      <w:r>
        <w:rPr>
          <w:b/>
        </w:rPr>
        <w:t>Maria Leopoldina Veras Camelo</w:t>
      </w:r>
    </w:p>
    <w:p>
      <w:pPr>
        <w:pStyle w:val="Normal"/>
        <w:ind w:right="-618" w:hanging="0"/>
        <w:jc w:val="center"/>
        <w:rPr/>
      </w:pPr>
      <w:r>
        <w:rPr/>
        <w:t>Reitora</w:t>
      </w:r>
    </w:p>
    <w:p>
      <w:pPr>
        <w:pStyle w:val="Normal"/>
        <w:ind w:right="-618" w:hanging="0"/>
        <w:jc w:val="center"/>
        <w:rPr>
          <w:b/>
          <w:b/>
        </w:rPr>
      </w:pPr>
      <w:r>
        <w:rPr>
          <w:b/>
        </w:rPr>
        <w:t>Decreto Presidencial de 13 de abril de 2020</w:t>
      </w:r>
    </w:p>
    <w:p>
      <w:pPr>
        <w:pStyle w:val="Normal"/>
        <w:spacing w:before="240" w:after="240"/>
        <w:ind w:right="-560" w:hanging="0"/>
        <w:rPr>
          <w:b/>
          <w:b/>
        </w:rPr>
      </w:pPr>
      <w:r>
        <w:rPr>
          <w:b/>
        </w:rPr>
      </w:r>
    </w:p>
    <w:p>
      <w:pPr>
        <w:pStyle w:val="Normal"/>
        <w:keepNext w:val="true"/>
        <w:keepLines/>
        <w:spacing w:lineRule="auto" w:line="360" w:before="120" w:after="0"/>
        <w:ind w:left="850" w:hanging="0"/>
        <w:jc w:val="center"/>
        <w:rPr>
          <w:b/>
          <w:b/>
          <w:sz w:val="22"/>
          <w:szCs w:val="22"/>
        </w:rPr>
      </w:pPr>
      <w:r>
        <w:rPr/>
      </w:r>
    </w:p>
    <w:p>
      <w:pPr>
        <w:pStyle w:val="Normal"/>
        <w:spacing w:lineRule="auto" w:line="360" w:before="120" w:after="0"/>
        <w:ind w:left="850" w:hanging="0"/>
        <w:jc w:val="center"/>
        <w:rPr>
          <w:b/>
          <w:b/>
          <w:sz w:val="22"/>
          <w:szCs w:val="22"/>
        </w:rPr>
      </w:pPr>
      <w:r>
        <w:rPr/>
      </w:r>
    </w:p>
    <w:p>
      <w:pPr>
        <w:pStyle w:val="Normal"/>
        <w:spacing w:lineRule="auto" w:line="360" w:before="120" w:after="0"/>
        <w:ind w:left="850" w:hanging="0"/>
        <w:jc w:val="center"/>
        <w:rPr>
          <w:b/>
          <w:b/>
          <w:sz w:val="22"/>
          <w:szCs w:val="22"/>
        </w:rPr>
      </w:pPr>
      <w:r>
        <w:rPr/>
      </w:r>
    </w:p>
    <w:p>
      <w:pPr>
        <w:pStyle w:val="Normal"/>
        <w:spacing w:lineRule="auto" w:line="360" w:before="120" w:after="0"/>
        <w:ind w:left="850" w:hanging="0"/>
        <w:jc w:val="center"/>
        <w:rPr>
          <w:b/>
          <w:b/>
          <w:sz w:val="22"/>
          <w:szCs w:val="22"/>
        </w:rPr>
      </w:pPr>
      <w:r>
        <w:rPr/>
      </w:r>
    </w:p>
    <w:p>
      <w:pPr>
        <w:pStyle w:val="Normal"/>
        <w:spacing w:lineRule="auto" w:line="360" w:before="120" w:after="0"/>
        <w:ind w:left="850" w:hanging="0"/>
        <w:jc w:val="center"/>
        <w:rPr>
          <w:b/>
          <w:b/>
          <w:sz w:val="22"/>
          <w:szCs w:val="22"/>
        </w:rPr>
      </w:pPr>
      <w:r>
        <w:rPr/>
      </w:r>
    </w:p>
    <w:p>
      <w:pPr>
        <w:pStyle w:val="Normal"/>
        <w:spacing w:lineRule="auto" w:line="360" w:before="120" w:after="0"/>
        <w:ind w:left="850" w:hanging="0"/>
        <w:jc w:val="center"/>
        <w:rPr>
          <w:b/>
          <w:b/>
          <w:sz w:val="22"/>
          <w:szCs w:val="22"/>
        </w:rPr>
      </w:pPr>
      <w:r>
        <w:rPr/>
      </w:r>
    </w:p>
    <w:p>
      <w:pPr>
        <w:pStyle w:val="Normal"/>
        <w:spacing w:lineRule="auto" w:line="360" w:before="120" w:after="0"/>
        <w:ind w:left="850" w:hanging="0"/>
        <w:jc w:val="center"/>
        <w:rPr>
          <w:b/>
          <w:b/>
          <w:sz w:val="22"/>
          <w:szCs w:val="22"/>
        </w:rPr>
      </w:pPr>
      <w:r>
        <w:rPr>
          <w:b/>
          <w:sz w:val="22"/>
          <w:szCs w:val="22"/>
        </w:rPr>
        <w:t xml:space="preserve">ANEXO I/B </w:t>
      </w:r>
    </w:p>
    <w:p>
      <w:pPr>
        <w:pStyle w:val="Normal"/>
        <w:keepNext w:val="true"/>
        <w:keepLines/>
        <w:spacing w:lineRule="auto" w:line="360" w:before="120" w:after="0"/>
        <w:ind w:left="850" w:hanging="0"/>
        <w:jc w:val="center"/>
        <w:rPr>
          <w:b/>
          <w:b/>
          <w:sz w:val="22"/>
          <w:szCs w:val="22"/>
        </w:rPr>
      </w:pPr>
      <w:r>
        <w:rPr>
          <w:b/>
          <w:sz w:val="22"/>
          <w:szCs w:val="22"/>
        </w:rPr>
        <w:t>Planilha de Preço Máximo Aceitável</w:t>
      </w:r>
    </w:p>
    <w:p>
      <w:pPr>
        <w:pStyle w:val="Standard"/>
        <w:rPr/>
      </w:pPr>
      <w:r>
        <w:rPr/>
      </w:r>
    </w:p>
    <w:tbl>
      <w:tblPr>
        <w:tblW w:w="9640" w:type="dxa"/>
        <w:jc w:val="left"/>
        <w:tblInd w:w="-289" w:type="dxa"/>
        <w:tblCellMar>
          <w:top w:w="55" w:type="dxa"/>
          <w:left w:w="55" w:type="dxa"/>
          <w:bottom w:w="55" w:type="dxa"/>
          <w:right w:w="55" w:type="dxa"/>
        </w:tblCellMar>
        <w:tblLook w:firstRow="1" w:noVBand="1" w:lastRow="0" w:firstColumn="1" w:lastColumn="0" w:noHBand="0" w:val="04a0"/>
      </w:tblPr>
      <w:tblGrid>
        <w:gridCol w:w="709"/>
        <w:gridCol w:w="2693"/>
        <w:gridCol w:w="852"/>
        <w:gridCol w:w="851"/>
        <w:gridCol w:w="849"/>
        <w:gridCol w:w="850"/>
        <w:gridCol w:w="852"/>
        <w:gridCol w:w="851"/>
        <w:gridCol w:w="1132"/>
      </w:tblGrid>
      <w:tr>
        <w:trPr/>
        <w:tc>
          <w:tcPr>
            <w:tcW w:w="9639" w:type="dxa"/>
            <w:gridSpan w:val="9"/>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22"/>
                <w:szCs w:val="22"/>
              </w:rPr>
            </w:pPr>
            <w:r>
              <w:rPr>
                <w:rFonts w:ascii="Arial" w:hAnsi="Arial"/>
                <w:b/>
                <w:bCs/>
                <w:sz w:val="22"/>
                <w:szCs w:val="22"/>
              </w:rPr>
              <w:t>ITEM 01</w:t>
            </w:r>
          </w:p>
        </w:tc>
      </w:tr>
      <w:tr>
        <w:trPr/>
        <w:tc>
          <w:tcPr>
            <w:tcW w:w="709"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Item</w:t>
            </w:r>
          </w:p>
        </w:tc>
        <w:tc>
          <w:tcPr>
            <w:tcW w:w="2693"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Descrição</w:t>
            </w:r>
          </w:p>
        </w:tc>
        <w:tc>
          <w:tcPr>
            <w:tcW w:w="852"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ind w:left="-69" w:hanging="0"/>
              <w:jc w:val="center"/>
              <w:rPr>
                <w:rFonts w:ascii="Arial" w:hAnsi="Arial"/>
                <w:b/>
                <w:b/>
                <w:bCs/>
                <w:sz w:val="18"/>
                <w:szCs w:val="18"/>
              </w:rPr>
            </w:pPr>
            <w:r>
              <w:rPr>
                <w:rFonts w:ascii="Arial" w:hAnsi="Arial"/>
                <w:b/>
                <w:bCs/>
                <w:sz w:val="18"/>
                <w:szCs w:val="18"/>
              </w:rPr>
              <w:t>Petrolina</w:t>
            </w:r>
          </w:p>
        </w:tc>
        <w:tc>
          <w:tcPr>
            <w:tcW w:w="849"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ind w:left="-54" w:hanging="0"/>
              <w:jc w:val="center"/>
              <w:rPr>
                <w:rFonts w:ascii="Arial" w:hAnsi="Arial"/>
                <w:b/>
                <w:b/>
                <w:bCs/>
                <w:sz w:val="18"/>
                <w:szCs w:val="18"/>
              </w:rPr>
            </w:pPr>
            <w:r>
              <w:rPr>
                <w:rFonts w:ascii="Arial" w:hAnsi="Arial"/>
                <w:b/>
                <w:bCs/>
                <w:sz w:val="18"/>
                <w:szCs w:val="18"/>
              </w:rPr>
              <w:t>Petrolina Zona Rural</w:t>
            </w:r>
          </w:p>
        </w:tc>
        <w:tc>
          <w:tcPr>
            <w:tcW w:w="850"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Santa Maria da Boa Vista</w:t>
            </w:r>
          </w:p>
        </w:tc>
        <w:tc>
          <w:tcPr>
            <w:tcW w:w="852"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Total</w:t>
            </w:r>
          </w:p>
        </w:tc>
        <w:tc>
          <w:tcPr>
            <w:tcW w:w="851"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Valor Unitário R$</w:t>
            </w:r>
          </w:p>
        </w:tc>
        <w:tc>
          <w:tcPr>
            <w:tcW w:w="1132"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 xml:space="preserve">Valor </w:t>
            </w:r>
          </w:p>
          <w:p>
            <w:pPr>
              <w:pStyle w:val="Contedodatabela"/>
              <w:jc w:val="center"/>
              <w:rPr>
                <w:rFonts w:ascii="Arial" w:hAnsi="Arial"/>
                <w:b/>
                <w:b/>
                <w:bCs/>
                <w:sz w:val="18"/>
                <w:szCs w:val="18"/>
              </w:rPr>
            </w:pPr>
            <w:r>
              <w:rPr>
                <w:rFonts w:ascii="Arial" w:hAnsi="Arial"/>
                <w:b/>
                <w:bCs/>
                <w:sz w:val="18"/>
                <w:szCs w:val="18"/>
              </w:rPr>
              <w:t>Total R$</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01</w:t>
            </w:r>
          </w:p>
        </w:tc>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ascii="Arial" w:hAnsi="Arial"/>
                <w:b/>
                <w:b/>
                <w:bCs/>
                <w:sz w:val="18"/>
                <w:szCs w:val="18"/>
              </w:rPr>
            </w:pPr>
            <w:bookmarkStart w:id="3" w:name="docs-internal-guid-bead79be-7fff-45b8-00"/>
            <w:bookmarkEnd w:id="3"/>
            <w:r>
              <w:rPr>
                <w:rFonts w:ascii="Arial" w:hAnsi="Arial"/>
                <w:b/>
                <w:bCs/>
                <w:sz w:val="18"/>
                <w:szCs w:val="18"/>
              </w:rPr>
              <w:t xml:space="preserve">Kit básico de alimentos, contendo: </w:t>
            </w:r>
          </w:p>
          <w:p>
            <w:pPr>
              <w:pStyle w:val="Standard"/>
              <w:widowControl w:val="false"/>
              <w:jc w:val="both"/>
              <w:rPr>
                <w:rFonts w:ascii="Arial" w:hAnsi="Arial"/>
                <w:sz w:val="18"/>
                <w:szCs w:val="18"/>
              </w:rPr>
            </w:pPr>
            <w:r>
              <w:rPr>
                <w:rFonts w:ascii="Arial" w:hAnsi="Arial"/>
                <w:sz w:val="18"/>
                <w:szCs w:val="18"/>
              </w:rPr>
            </w:r>
          </w:p>
          <w:p>
            <w:pPr>
              <w:pStyle w:val="Standard"/>
              <w:widowControl w:val="false"/>
              <w:jc w:val="both"/>
              <w:rPr>
                <w:rFonts w:ascii="Arial" w:hAnsi="Arial"/>
                <w:sz w:val="18"/>
                <w:szCs w:val="18"/>
              </w:rPr>
            </w:pPr>
            <w:r>
              <w:rPr>
                <w:rFonts w:ascii="Arial" w:hAnsi="Arial"/>
                <w:sz w:val="18"/>
                <w:szCs w:val="18"/>
              </w:rPr>
              <w:t>açúcar tipo cristal; arroz tipo parboilizado; aveia em flocos finos; biscoito tipo cream cracker; café tipo tradicional; farinha de milho tipo flocada; feijão tipo carioca; amido base mandioca tipo tapioca hidratada; leite em pó integral, instantâneo; macarrão tipo espaguete; milho de cor branca (canjica); milho de cor amarela (canjica); proteína de soja texturizada.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4.800</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1.660</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t>6.860</w:t>
            </w:r>
          </w:p>
        </w:tc>
        <w:tc>
          <w:tcPr>
            <w:tcW w:w="851" w:type="dxa"/>
            <w:tcBorders>
              <w:top w:val="single" w:sz="4" w:space="0" w:color="000000"/>
              <w:left w:val="single" w:sz="4" w:space="0" w:color="000000"/>
              <w:bottom w:val="single" w:sz="4" w:space="0" w:color="000000"/>
              <w:right w:val="single" w:sz="4" w:space="0" w:color="000000"/>
            </w:tcBorders>
            <w:shd w:color="auto" w:fill="B4C6E7" w:val="clear"/>
          </w:tcPr>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t>67,20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460.992,00</w:t>
            </w:r>
          </w:p>
        </w:tc>
      </w:tr>
    </w:tbl>
    <w:p>
      <w:pPr>
        <w:pStyle w:val="Standard"/>
        <w:rPr>
          <w:sz w:val="20"/>
          <w:szCs w:val="20"/>
        </w:rPr>
      </w:pPr>
      <w:r>
        <w:rPr>
          <w:rFonts w:ascii="Arial" w:hAnsi="Arial"/>
          <w:b/>
          <w:bCs/>
          <w:sz w:val="20"/>
          <w:szCs w:val="20"/>
          <w:shd w:fill="FFFF00" w:val="clear"/>
        </w:rPr>
        <w:t>Vide descrição complementar de cada item e suas especificações no Termo de Referência.</w:t>
      </w:r>
    </w:p>
    <w:p>
      <w:pPr>
        <w:pStyle w:val="Standard"/>
        <w:rPr>
          <w:sz w:val="20"/>
          <w:szCs w:val="20"/>
        </w:rPr>
      </w:pPr>
      <w:r>
        <w:rPr>
          <w:sz w:val="20"/>
          <w:szCs w:val="20"/>
        </w:rPr>
      </w:r>
    </w:p>
    <w:p>
      <w:pPr>
        <w:pStyle w:val="Standard"/>
        <w:rPr>
          <w:sz w:val="20"/>
          <w:szCs w:val="20"/>
        </w:rPr>
      </w:pPr>
      <w:r>
        <w:rPr>
          <w:rFonts w:ascii="Arial" w:hAnsi="Arial"/>
          <w:b/>
          <w:bCs/>
          <w:sz w:val="20"/>
          <w:szCs w:val="20"/>
          <w:shd w:fill="C0C0C0" w:val="clear"/>
        </w:rPr>
        <w:t>Endereço de Entrega:</w:t>
      </w:r>
    </w:p>
    <w:p>
      <w:pPr>
        <w:pStyle w:val="Standard"/>
        <w:rPr>
          <w:rFonts w:ascii="Arial" w:hAnsi="Arial"/>
          <w:b/>
          <w:b/>
          <w:bCs/>
          <w:sz w:val="20"/>
          <w:szCs w:val="20"/>
        </w:rPr>
      </w:pPr>
      <w:r>
        <w:rPr>
          <w:rFonts w:ascii="Arial" w:hAnsi="Arial"/>
          <w:b/>
          <w:bCs/>
          <w:sz w:val="20"/>
          <w:szCs w:val="20"/>
        </w:rPr>
      </w:r>
    </w:p>
    <w:p>
      <w:pPr>
        <w:pStyle w:val="Standard"/>
        <w:rPr>
          <w:rFonts w:ascii="Arial" w:hAnsi="Arial"/>
          <w:sz w:val="20"/>
          <w:szCs w:val="20"/>
        </w:rPr>
      </w:pPr>
      <w:r>
        <w:rPr>
          <w:rFonts w:ascii="Arial" w:hAnsi="Arial"/>
          <w:sz w:val="20"/>
          <w:szCs w:val="20"/>
        </w:rPr>
        <w:t xml:space="preserve">Campus Petrolina – Rua Maria Luzia de Araújo Gomes Cabral, 791, João de Deus, CEP 56.316-686, </w:t>
      </w:r>
    </w:p>
    <w:p>
      <w:pPr>
        <w:pStyle w:val="Standard"/>
        <w:rPr>
          <w:rFonts w:ascii="Arial" w:hAnsi="Arial"/>
          <w:sz w:val="20"/>
          <w:szCs w:val="20"/>
        </w:rPr>
      </w:pPr>
      <w:r>
        <w:rPr>
          <w:rFonts w:ascii="Arial" w:hAnsi="Arial"/>
          <w:sz w:val="20"/>
          <w:szCs w:val="20"/>
        </w:rPr>
        <w:t>Petrolina/PE – Telefone: (87) 2101-4300</w:t>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t>Campus Petrolina Zona Rural – Rodovia BR 235, Km 22, Projeto Senador Nilo Coelho - N4 – Petrolina – PE – CEP: 56.300-000 – Telefone: (87) 2101-8050</w:t>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t>Campus Santa Maria – BR 428, Km 90, Zona Rural. CEP: 56.380-000 | Santa Maria da Boa Vista/PE - Brasil</w:t>
      </w:r>
    </w:p>
    <w:p>
      <w:pPr>
        <w:pStyle w:val="Standard"/>
        <w:rPr/>
      </w:pPr>
      <w:r>
        <w:rPr/>
      </w:r>
    </w:p>
    <w:p>
      <w:pPr>
        <w:pStyle w:val="Standard"/>
        <w:rPr/>
      </w:pPr>
      <w:r>
        <w:rPr/>
      </w:r>
    </w:p>
    <w:tbl>
      <w:tblPr>
        <w:tblW w:w="9211" w:type="dxa"/>
        <w:jc w:val="left"/>
        <w:tblInd w:w="-2" w:type="dxa"/>
        <w:tblCellMar>
          <w:top w:w="55" w:type="dxa"/>
          <w:left w:w="55" w:type="dxa"/>
          <w:bottom w:w="55" w:type="dxa"/>
          <w:right w:w="55" w:type="dxa"/>
        </w:tblCellMar>
        <w:tblLook w:firstRow="1" w:noVBand="1" w:lastRow="0" w:firstColumn="1" w:lastColumn="0" w:noHBand="0" w:val="04a0"/>
      </w:tblPr>
      <w:tblGrid>
        <w:gridCol w:w="705"/>
        <w:gridCol w:w="2978"/>
        <w:gridCol w:w="992"/>
        <w:gridCol w:w="851"/>
        <w:gridCol w:w="849"/>
        <w:gridCol w:w="711"/>
        <w:gridCol w:w="992"/>
        <w:gridCol w:w="1132"/>
      </w:tblGrid>
      <w:tr>
        <w:trPr/>
        <w:tc>
          <w:tcPr>
            <w:tcW w:w="9210" w:type="dxa"/>
            <w:gridSpan w:val="8"/>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22"/>
                <w:szCs w:val="22"/>
              </w:rPr>
            </w:pPr>
            <w:r>
              <w:rPr>
                <w:rFonts w:ascii="Arial" w:hAnsi="Arial"/>
                <w:b/>
                <w:bCs/>
                <w:sz w:val="22"/>
                <w:szCs w:val="22"/>
              </w:rPr>
              <w:t>ITEM 02</w:t>
            </w:r>
          </w:p>
        </w:tc>
      </w:tr>
      <w:tr>
        <w:trPr/>
        <w:tc>
          <w:tcPr>
            <w:tcW w:w="705"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sz w:val="18"/>
                <w:szCs w:val="18"/>
              </w:rPr>
            </w:pPr>
            <w:r>
              <w:rPr>
                <w:rFonts w:ascii="Arial" w:hAnsi="Arial"/>
                <w:b/>
                <w:bCs/>
                <w:sz w:val="18"/>
                <w:szCs w:val="18"/>
              </w:rPr>
              <w:t>Item</w:t>
            </w:r>
          </w:p>
        </w:tc>
        <w:tc>
          <w:tcPr>
            <w:tcW w:w="2978" w:type="dxa"/>
            <w:tcBorders>
              <w:top w:val="single" w:sz="4" w:space="0" w:color="000000"/>
              <w:left w:val="single" w:sz="4" w:space="0" w:color="000000"/>
              <w:bottom w:val="single" w:sz="4" w:space="0" w:color="000000"/>
              <w:right w:val="single" w:sz="4" w:space="0" w:color="000000"/>
            </w:tcBorders>
            <w:shd w:color="auto" w:fill="99FFCC" w:val="clear"/>
          </w:tcPr>
          <w:p>
            <w:pPr>
              <w:pStyle w:val="Standard"/>
              <w:widowControl w:val="false"/>
              <w:jc w:val="center"/>
              <w:rPr>
                <w:sz w:val="18"/>
                <w:szCs w:val="18"/>
              </w:rPr>
            </w:pPr>
            <w:r>
              <w:rPr>
                <w:rFonts w:ascii="Arial" w:hAnsi="Arial"/>
                <w:b/>
                <w:bCs/>
                <w:sz w:val="18"/>
                <w:szCs w:val="18"/>
              </w:rPr>
              <w:t>Descrição</w:t>
            </w:r>
          </w:p>
        </w:tc>
        <w:tc>
          <w:tcPr>
            <w:tcW w:w="992" w:type="dxa"/>
            <w:tcBorders>
              <w:top w:val="single" w:sz="4" w:space="0" w:color="000000"/>
              <w:left w:val="single" w:sz="4" w:space="0" w:color="000000"/>
              <w:bottom w:val="single" w:sz="4" w:space="0" w:color="000000"/>
              <w:right w:val="single" w:sz="4" w:space="0" w:color="000000"/>
            </w:tcBorders>
            <w:shd w:color="auto" w:fill="99FFCC" w:val="clear"/>
          </w:tcPr>
          <w:p>
            <w:pPr>
              <w:pStyle w:val="ListParagraph"/>
              <w:widowControl w:val="false"/>
              <w:ind w:left="0" w:hanging="0"/>
              <w:jc w:val="center"/>
              <w:rPr>
                <w:sz w:val="18"/>
                <w:szCs w:val="18"/>
              </w:rPr>
            </w:pPr>
            <w:r>
              <w:rPr>
                <w:rFonts w:ascii="Arial" w:hAnsi="Arial"/>
                <w:b/>
                <w:bCs/>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sz w:val="18"/>
                <w:szCs w:val="18"/>
              </w:rPr>
            </w:pPr>
            <w:r>
              <w:rPr>
                <w:rFonts w:ascii="Arial" w:hAnsi="Arial"/>
                <w:b/>
                <w:bCs/>
                <w:sz w:val="18"/>
                <w:szCs w:val="18"/>
              </w:rPr>
              <w:t>Floresta</w:t>
            </w:r>
          </w:p>
        </w:tc>
        <w:tc>
          <w:tcPr>
            <w:tcW w:w="849"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sz w:val="18"/>
                <w:szCs w:val="18"/>
              </w:rPr>
            </w:pPr>
            <w:r>
              <w:rPr>
                <w:rFonts w:ascii="Arial" w:hAnsi="Arial"/>
                <w:b/>
                <w:bCs/>
                <w:sz w:val="18"/>
                <w:szCs w:val="18"/>
              </w:rPr>
              <w:t>Serra Talhada</w:t>
            </w:r>
          </w:p>
        </w:tc>
        <w:tc>
          <w:tcPr>
            <w:tcW w:w="711"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Total</w:t>
            </w:r>
          </w:p>
        </w:tc>
        <w:tc>
          <w:tcPr>
            <w:tcW w:w="992"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Valor Unitário R$</w:t>
            </w:r>
          </w:p>
        </w:tc>
        <w:tc>
          <w:tcPr>
            <w:tcW w:w="1132"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 xml:space="preserve">Valor </w:t>
            </w:r>
          </w:p>
          <w:p>
            <w:pPr>
              <w:pStyle w:val="Contedodatabela"/>
              <w:jc w:val="center"/>
              <w:rPr>
                <w:sz w:val="18"/>
                <w:szCs w:val="18"/>
              </w:rPr>
            </w:pPr>
            <w:r>
              <w:rPr>
                <w:rFonts w:ascii="Arial" w:hAnsi="Arial"/>
                <w:b/>
                <w:bCs/>
                <w:sz w:val="18"/>
                <w:szCs w:val="18"/>
              </w:rPr>
              <w:t>Total R$</w:t>
            </w:r>
          </w:p>
        </w:tc>
      </w:tr>
      <w:tr>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02</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ascii="Arial" w:hAnsi="Arial"/>
                <w:b/>
                <w:b/>
                <w:bCs/>
                <w:sz w:val="18"/>
                <w:szCs w:val="18"/>
              </w:rPr>
            </w:pPr>
            <w:r>
              <w:rPr>
                <w:rFonts w:ascii="Arial" w:hAnsi="Arial"/>
                <w:b/>
                <w:bCs/>
                <w:sz w:val="18"/>
                <w:szCs w:val="18"/>
              </w:rPr>
              <w:t xml:space="preserve">Kit básico de alimentos, contendo: </w:t>
            </w:r>
          </w:p>
          <w:p>
            <w:pPr>
              <w:pStyle w:val="Standard"/>
              <w:widowControl w:val="false"/>
              <w:jc w:val="both"/>
              <w:rPr>
                <w:rFonts w:ascii="Arial" w:hAnsi="Arial"/>
                <w:sz w:val="18"/>
                <w:szCs w:val="18"/>
              </w:rPr>
            </w:pPr>
            <w:r>
              <w:rPr>
                <w:rFonts w:ascii="Arial" w:hAnsi="Arial"/>
                <w:sz w:val="18"/>
                <w:szCs w:val="18"/>
              </w:rPr>
            </w:r>
          </w:p>
          <w:p>
            <w:pPr>
              <w:pStyle w:val="Standard"/>
              <w:widowControl w:val="false"/>
              <w:jc w:val="both"/>
              <w:rPr>
                <w:sz w:val="18"/>
                <w:szCs w:val="18"/>
              </w:rPr>
            </w:pPr>
            <w:r>
              <w:rPr>
                <w:rFonts w:ascii="Arial" w:hAnsi="Arial"/>
                <w:sz w:val="18"/>
                <w:szCs w:val="18"/>
              </w:rPr>
              <w:t>açúcar tipo cristal; arroz tipo parboilizado; aveia em flocos finos; biscoito tipo cream cracker; café tipo tradicional; farinha de milho tipo flocada; feijão tipo carioca; amido base mandioca tipo tapioca hidratada; leite em pó integral, instantâneo; macarrão tipo espaguete; milho de cor branca (canjica); milho de cor amarela (canjica); proteína de soja texturizada.</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1.822</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1.407</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t>3.229</w:t>
            </w:r>
          </w:p>
        </w:tc>
        <w:tc>
          <w:tcPr>
            <w:tcW w:w="992" w:type="dxa"/>
            <w:tcBorders>
              <w:top w:val="single" w:sz="4" w:space="0" w:color="000000"/>
              <w:left w:val="single" w:sz="4" w:space="0" w:color="000000"/>
              <w:bottom w:val="single" w:sz="4" w:space="0" w:color="000000"/>
              <w:right w:val="single" w:sz="4" w:space="0" w:color="000000"/>
            </w:tcBorders>
            <w:shd w:color="auto" w:fill="B4C6E7" w:val="clear"/>
          </w:tcPr>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t>67,20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216.988,80</w:t>
            </w:r>
          </w:p>
        </w:tc>
      </w:tr>
    </w:tbl>
    <w:p>
      <w:pPr>
        <w:pStyle w:val="Standard"/>
        <w:rPr>
          <w:sz w:val="20"/>
          <w:szCs w:val="20"/>
        </w:rPr>
      </w:pPr>
      <w:r>
        <w:rPr>
          <w:rFonts w:ascii="Arial" w:hAnsi="Arial"/>
          <w:b/>
          <w:bCs/>
          <w:sz w:val="20"/>
          <w:szCs w:val="20"/>
          <w:shd w:fill="FFFF00" w:val="clear"/>
        </w:rPr>
        <w:t>Vide descrição complementar de cada item e suas especificações no Termo de Referência.</w:t>
      </w:r>
    </w:p>
    <w:p>
      <w:pPr>
        <w:pStyle w:val="Standard"/>
        <w:rPr>
          <w:sz w:val="20"/>
          <w:szCs w:val="20"/>
        </w:rPr>
      </w:pPr>
      <w:r>
        <w:rPr>
          <w:sz w:val="20"/>
          <w:szCs w:val="20"/>
        </w:rPr>
      </w:r>
    </w:p>
    <w:p>
      <w:pPr>
        <w:pStyle w:val="Standard"/>
        <w:rPr/>
      </w:pPr>
      <w:r>
        <w:rPr>
          <w:rFonts w:ascii="Arial" w:hAnsi="Arial"/>
          <w:b/>
          <w:bCs/>
          <w:sz w:val="22"/>
          <w:szCs w:val="22"/>
          <w:shd w:fill="C0C0C0" w:val="clear"/>
        </w:rPr>
        <w:t>Endereço de Entrega:</w:t>
      </w:r>
    </w:p>
    <w:p>
      <w:pPr>
        <w:pStyle w:val="Standard"/>
        <w:rPr>
          <w:rFonts w:ascii="Arial" w:hAnsi="Arial"/>
          <w:b/>
          <w:b/>
          <w:bCs/>
          <w:sz w:val="22"/>
          <w:szCs w:val="22"/>
        </w:rPr>
      </w:pPr>
      <w:r>
        <w:rPr>
          <w:rFonts w:ascii="Arial" w:hAnsi="Arial"/>
          <w:b/>
          <w:bCs/>
          <w:sz w:val="22"/>
          <w:szCs w:val="22"/>
        </w:rPr>
      </w:r>
    </w:p>
    <w:p>
      <w:pPr>
        <w:pStyle w:val="Standard"/>
        <w:rPr>
          <w:rFonts w:ascii="Arial" w:hAnsi="Arial"/>
          <w:sz w:val="20"/>
          <w:szCs w:val="20"/>
        </w:rPr>
      </w:pPr>
      <w:r>
        <w:rPr>
          <w:rFonts w:ascii="Arial" w:hAnsi="Arial"/>
          <w:sz w:val="20"/>
          <w:szCs w:val="20"/>
        </w:rPr>
        <w:t>Campus Floresta – Rua Projetada, s/n, Caetano II, Floresta – PE – CEP 56.400-000 – Telefone (87) 3877.2825 / (87) 3877-1104</w:t>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t xml:space="preserve">Campus Serra Talhada – Rodovia PE 320, KM 126, Zona Rural.  CEP: 56.915-899, Caixa Postal 78 | Serra Talhada/PE </w:t>
      </w:r>
    </w:p>
    <w:p>
      <w:pPr>
        <w:pStyle w:val="Standard"/>
        <w:rPr/>
      </w:pPr>
      <w:r>
        <w:rPr/>
      </w:r>
    </w:p>
    <w:p>
      <w:pPr>
        <w:pStyle w:val="Standard"/>
        <w:rPr/>
      </w:pPr>
      <w:r>
        <w:rPr/>
      </w:r>
    </w:p>
    <w:tbl>
      <w:tblPr>
        <w:tblW w:w="9211" w:type="dxa"/>
        <w:jc w:val="left"/>
        <w:tblInd w:w="-2" w:type="dxa"/>
        <w:tblCellMar>
          <w:top w:w="55" w:type="dxa"/>
          <w:left w:w="55" w:type="dxa"/>
          <w:bottom w:w="55" w:type="dxa"/>
          <w:right w:w="55" w:type="dxa"/>
        </w:tblCellMar>
        <w:tblLook w:firstRow="1" w:noVBand="1" w:lastRow="0" w:firstColumn="1" w:lastColumn="0" w:noHBand="0" w:val="04a0"/>
      </w:tblPr>
      <w:tblGrid>
        <w:gridCol w:w="705"/>
        <w:gridCol w:w="2835"/>
        <w:gridCol w:w="851"/>
        <w:gridCol w:w="850"/>
        <w:gridCol w:w="993"/>
        <w:gridCol w:w="852"/>
        <w:gridCol w:w="850"/>
        <w:gridCol w:w="1274"/>
      </w:tblGrid>
      <w:tr>
        <w:trPr/>
        <w:tc>
          <w:tcPr>
            <w:tcW w:w="9210" w:type="dxa"/>
            <w:gridSpan w:val="8"/>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22"/>
                <w:szCs w:val="22"/>
              </w:rPr>
            </w:pPr>
            <w:r>
              <w:rPr>
                <w:rFonts w:ascii="Arial" w:hAnsi="Arial"/>
                <w:b/>
                <w:bCs/>
                <w:sz w:val="22"/>
                <w:szCs w:val="22"/>
              </w:rPr>
              <w:t>ITEM 03</w:t>
            </w:r>
          </w:p>
        </w:tc>
      </w:tr>
      <w:tr>
        <w:trPr/>
        <w:tc>
          <w:tcPr>
            <w:tcW w:w="705"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sz w:val="18"/>
                <w:szCs w:val="18"/>
              </w:rPr>
            </w:pPr>
            <w:r>
              <w:rPr>
                <w:rFonts w:ascii="Arial" w:hAnsi="Arial"/>
                <w:b/>
                <w:bCs/>
                <w:sz w:val="18"/>
                <w:szCs w:val="18"/>
              </w:rPr>
              <w:t>Item</w:t>
            </w:r>
          </w:p>
        </w:tc>
        <w:tc>
          <w:tcPr>
            <w:tcW w:w="2835" w:type="dxa"/>
            <w:tcBorders>
              <w:top w:val="single" w:sz="4" w:space="0" w:color="000000"/>
              <w:left w:val="single" w:sz="4" w:space="0" w:color="000000"/>
              <w:bottom w:val="single" w:sz="4" w:space="0" w:color="000000"/>
              <w:right w:val="single" w:sz="4" w:space="0" w:color="000000"/>
            </w:tcBorders>
            <w:shd w:color="auto" w:fill="99FFCC" w:val="clear"/>
          </w:tcPr>
          <w:p>
            <w:pPr>
              <w:pStyle w:val="Standard"/>
              <w:widowControl w:val="false"/>
              <w:jc w:val="center"/>
              <w:rPr>
                <w:sz w:val="18"/>
                <w:szCs w:val="18"/>
              </w:rPr>
            </w:pPr>
            <w:r>
              <w:rPr>
                <w:rFonts w:ascii="Arial" w:hAnsi="Arial"/>
                <w:b/>
                <w:bCs/>
                <w:sz w:val="18"/>
                <w:szCs w:val="18"/>
              </w:rPr>
              <w:t>Descrição</w:t>
            </w:r>
          </w:p>
        </w:tc>
        <w:tc>
          <w:tcPr>
            <w:tcW w:w="851" w:type="dxa"/>
            <w:tcBorders>
              <w:top w:val="single" w:sz="4" w:space="0" w:color="000000"/>
              <w:left w:val="single" w:sz="4" w:space="0" w:color="000000"/>
              <w:bottom w:val="single" w:sz="4" w:space="0" w:color="000000"/>
              <w:right w:val="single" w:sz="4" w:space="0" w:color="000000"/>
            </w:tcBorders>
            <w:shd w:color="auto" w:fill="99FFCC" w:val="clear"/>
          </w:tcPr>
          <w:p>
            <w:pPr>
              <w:pStyle w:val="ListParagraph"/>
              <w:widowControl w:val="false"/>
              <w:ind w:left="0" w:hanging="0"/>
              <w:jc w:val="center"/>
              <w:rPr>
                <w:sz w:val="18"/>
                <w:szCs w:val="18"/>
              </w:rPr>
            </w:pPr>
            <w:r>
              <w:rPr>
                <w:rFonts w:ascii="Arial" w:hAnsi="Arial"/>
                <w:b/>
                <w:bCs/>
                <w:sz w:val="18"/>
                <w:szCs w:val="18"/>
              </w:rPr>
              <w:t>Unidade</w:t>
            </w:r>
          </w:p>
        </w:tc>
        <w:tc>
          <w:tcPr>
            <w:tcW w:w="850"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sz w:val="18"/>
                <w:szCs w:val="18"/>
              </w:rPr>
            </w:pPr>
            <w:r>
              <w:rPr>
                <w:rFonts w:ascii="Arial" w:hAnsi="Arial"/>
                <w:b/>
                <w:bCs/>
                <w:sz w:val="18"/>
                <w:szCs w:val="18"/>
              </w:rPr>
              <w:t>Ouricuri</w:t>
            </w:r>
          </w:p>
        </w:tc>
        <w:tc>
          <w:tcPr>
            <w:tcW w:w="993"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sz w:val="18"/>
                <w:szCs w:val="18"/>
              </w:rPr>
            </w:pPr>
            <w:r>
              <w:rPr>
                <w:rFonts w:ascii="Arial" w:hAnsi="Arial"/>
                <w:b/>
                <w:bCs/>
                <w:sz w:val="18"/>
                <w:szCs w:val="18"/>
              </w:rPr>
              <w:t>Salgueiro</w:t>
            </w:r>
          </w:p>
        </w:tc>
        <w:tc>
          <w:tcPr>
            <w:tcW w:w="852"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Total</w:t>
            </w:r>
          </w:p>
        </w:tc>
        <w:tc>
          <w:tcPr>
            <w:tcW w:w="850"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Valor Unitário</w:t>
            </w:r>
          </w:p>
        </w:tc>
        <w:tc>
          <w:tcPr>
            <w:tcW w:w="1274" w:type="dxa"/>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sz w:val="18"/>
                <w:szCs w:val="18"/>
              </w:rPr>
            </w:pPr>
            <w:r>
              <w:rPr>
                <w:rFonts w:ascii="Arial" w:hAnsi="Arial"/>
                <w:b/>
                <w:bCs/>
                <w:sz w:val="18"/>
                <w:szCs w:val="18"/>
              </w:rPr>
              <w:t>Valor Total</w:t>
            </w:r>
          </w:p>
        </w:tc>
      </w:tr>
      <w:tr>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03</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ascii="Arial" w:hAnsi="Arial"/>
                <w:b/>
                <w:b/>
                <w:bCs/>
                <w:sz w:val="18"/>
                <w:szCs w:val="18"/>
              </w:rPr>
            </w:pPr>
            <w:r>
              <w:rPr>
                <w:rFonts w:ascii="Arial" w:hAnsi="Arial"/>
                <w:b/>
                <w:bCs/>
                <w:sz w:val="18"/>
                <w:szCs w:val="18"/>
              </w:rPr>
              <w:t xml:space="preserve">Kit básico de alimentos, contendo: </w:t>
            </w:r>
          </w:p>
          <w:p>
            <w:pPr>
              <w:pStyle w:val="Standard"/>
              <w:widowControl w:val="false"/>
              <w:jc w:val="both"/>
              <w:rPr>
                <w:rFonts w:ascii="Arial" w:hAnsi="Arial"/>
                <w:sz w:val="18"/>
                <w:szCs w:val="18"/>
              </w:rPr>
            </w:pPr>
            <w:r>
              <w:rPr>
                <w:rFonts w:ascii="Arial" w:hAnsi="Arial"/>
                <w:sz w:val="18"/>
                <w:szCs w:val="18"/>
              </w:rPr>
            </w:r>
          </w:p>
          <w:p>
            <w:pPr>
              <w:pStyle w:val="Standard"/>
              <w:widowControl w:val="false"/>
              <w:jc w:val="both"/>
              <w:rPr>
                <w:sz w:val="18"/>
                <w:szCs w:val="18"/>
              </w:rPr>
            </w:pPr>
            <w:r>
              <w:rPr>
                <w:rFonts w:ascii="Arial" w:hAnsi="Arial"/>
                <w:sz w:val="18"/>
                <w:szCs w:val="18"/>
              </w:rPr>
              <w:t>açúcar tipo cristal; arroz tipo parboilizado; aveia em flocos finos; biscoito tipo cream cracker; café tipo tradicional; farinha de milho tipo flocada; feijão tipo carioca; amido base mandioca tipo tapioca hidratada; leite em pó integral, instantâneo; macarrão tipo espaguete; milho de cor branca (canjica); milho de cor amarela (canjica); proteína de soja texturizada.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jc w:val="center"/>
              <w:rPr>
                <w:rFonts w:ascii="Arial" w:hAnsi="Arial"/>
                <w:color w:val="000000"/>
                <w:sz w:val="18"/>
                <w:szCs w:val="18"/>
              </w:rPr>
            </w:pPr>
            <w:r>
              <w:rPr>
                <w:rFonts w:ascii="Arial" w:hAnsi="Arial"/>
                <w:color w:val="000000"/>
                <w:sz w:val="18"/>
                <w:szCs w:val="18"/>
              </w:rPr>
            </w:r>
          </w:p>
          <w:p>
            <w:pPr>
              <w:pStyle w:val="ListParagraph"/>
              <w:widowControl w:val="false"/>
              <w:ind w:left="0" w:hanging="0"/>
              <w:rPr>
                <w:rFonts w:ascii="Arial" w:hAnsi="Arial"/>
                <w:color w:val="000000"/>
                <w:sz w:val="18"/>
                <w:szCs w:val="18"/>
              </w:rPr>
            </w:pPr>
            <w:r>
              <w:rPr>
                <w:rFonts w:ascii="Arial" w:hAnsi="Arial"/>
                <w:color w:val="000000"/>
                <w:sz w:val="18"/>
                <w:szCs w:val="18"/>
              </w:rPr>
              <w:t>Unidade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rPr>
                <w:rFonts w:ascii="Arial" w:hAnsi="Arial"/>
                <w:sz w:val="18"/>
                <w:szCs w:val="18"/>
              </w:rPr>
            </w:pPr>
            <w:r>
              <w:rPr>
                <w:rFonts w:ascii="Arial" w:hAnsi="Arial"/>
                <w:sz w:val="18"/>
                <w:szCs w:val="18"/>
              </w:rPr>
              <w:t>2.600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t>4.656</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t>7.256</w:t>
            </w:r>
          </w:p>
        </w:tc>
        <w:tc>
          <w:tcPr>
            <w:tcW w:w="850" w:type="dxa"/>
            <w:tcBorders>
              <w:top w:val="single" w:sz="4" w:space="0" w:color="000000"/>
              <w:left w:val="single" w:sz="4" w:space="0" w:color="000000"/>
              <w:bottom w:val="single" w:sz="4" w:space="0" w:color="000000"/>
              <w:right w:val="single" w:sz="4" w:space="0" w:color="000000"/>
            </w:tcBorders>
            <w:shd w:color="auto" w:fill="B4C6E7" w:val="clear"/>
          </w:tcPr>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r>
          </w:p>
          <w:p>
            <w:pPr>
              <w:pStyle w:val="Contedodatabela"/>
              <w:jc w:val="center"/>
              <w:rPr>
                <w:rFonts w:ascii="Arial" w:hAnsi="Arial"/>
                <w:b/>
                <w:b/>
                <w:bCs/>
                <w:sz w:val="18"/>
                <w:szCs w:val="18"/>
              </w:rPr>
            </w:pPr>
            <w:r>
              <w:rPr>
                <w:rFonts w:ascii="Arial" w:hAnsi="Arial"/>
                <w:b/>
                <w:bCs/>
                <w:sz w:val="18"/>
                <w:szCs w:val="18"/>
              </w:rPr>
              <w:t>67,20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highlight w:val="yellow"/>
              </w:rPr>
              <w:t>487.603,20</w:t>
            </w:r>
          </w:p>
        </w:tc>
      </w:tr>
      <w:tr>
        <w:trPr/>
        <w:tc>
          <w:tcPr>
            <w:tcW w:w="9210" w:type="dxa"/>
            <w:gridSpan w:val="8"/>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r>
          </w:p>
        </w:tc>
      </w:tr>
      <w:tr>
        <w:trPr/>
        <w:tc>
          <w:tcPr>
            <w:tcW w:w="7936" w:type="dxa"/>
            <w:gridSpan w:val="7"/>
            <w:tcBorders>
              <w:top w:val="single" w:sz="4" w:space="0" w:color="000000"/>
              <w:left w:val="single" w:sz="4" w:space="0" w:color="000000"/>
              <w:bottom w:val="single" w:sz="4" w:space="0" w:color="000000"/>
              <w:right w:val="single" w:sz="4" w:space="0" w:color="000000"/>
            </w:tcBorders>
            <w:shd w:color="auto" w:fill="99FFCC" w:val="clear"/>
          </w:tcPr>
          <w:p>
            <w:pPr>
              <w:pStyle w:val="Contedodatabela"/>
              <w:jc w:val="center"/>
              <w:rPr>
                <w:rFonts w:ascii="Arial" w:hAnsi="Arial"/>
                <w:b/>
                <w:b/>
                <w:bCs/>
                <w:sz w:val="18"/>
                <w:szCs w:val="18"/>
              </w:rPr>
            </w:pPr>
            <w:r>
              <w:rPr>
                <w:rFonts w:ascii="Arial" w:hAnsi="Arial"/>
                <w:b/>
                <w:bCs/>
                <w:sz w:val="18"/>
                <w:szCs w:val="18"/>
              </w:rPr>
              <w:t>Valor Total Estimado da Aquisição (Todos os Itens) R$</w:t>
            </w:r>
          </w:p>
        </w:tc>
        <w:tc>
          <w:tcPr>
            <w:tcW w:w="1274" w:type="dxa"/>
            <w:tcBorders>
              <w:top w:val="single" w:sz="4" w:space="0" w:color="000000"/>
              <w:left w:val="single" w:sz="4" w:space="0" w:color="000000"/>
              <w:bottom w:val="single" w:sz="4" w:space="0" w:color="000000"/>
              <w:right w:val="single" w:sz="4" w:space="0" w:color="000000"/>
            </w:tcBorders>
            <w:shd w:color="auto" w:fill="FFFF66" w:val="clear"/>
          </w:tcPr>
          <w:p>
            <w:pPr>
              <w:pStyle w:val="Contedodatabela"/>
              <w:jc w:val="center"/>
              <w:rPr>
                <w:rFonts w:ascii="Arial" w:hAnsi="Arial"/>
                <w:b/>
                <w:b/>
                <w:bCs/>
                <w:sz w:val="18"/>
                <w:szCs w:val="18"/>
              </w:rPr>
            </w:pPr>
            <w:r>
              <w:rPr>
                <w:rFonts w:ascii="Arial" w:hAnsi="Arial"/>
                <w:b/>
                <w:bCs/>
                <w:sz w:val="18"/>
                <w:szCs w:val="18"/>
              </w:rPr>
              <w:t>1.165.584,00</w:t>
            </w:r>
          </w:p>
        </w:tc>
      </w:tr>
    </w:tbl>
    <w:p>
      <w:pPr>
        <w:pStyle w:val="Standard"/>
        <w:rPr>
          <w:sz w:val="20"/>
          <w:szCs w:val="20"/>
        </w:rPr>
      </w:pPr>
      <w:r>
        <w:rPr>
          <w:rFonts w:ascii="Arial" w:hAnsi="Arial"/>
          <w:b/>
          <w:bCs/>
          <w:sz w:val="20"/>
          <w:szCs w:val="20"/>
          <w:shd w:fill="FFFF00" w:val="clear"/>
        </w:rPr>
        <w:t>Vide descrição complementar de cada item e suas especificações no Termo de Referência.</w:t>
      </w:r>
    </w:p>
    <w:p>
      <w:pPr>
        <w:pStyle w:val="Standard"/>
        <w:rPr/>
      </w:pPr>
      <w:r>
        <w:rPr/>
      </w:r>
    </w:p>
    <w:p>
      <w:pPr>
        <w:pStyle w:val="Standard"/>
        <w:rPr>
          <w:sz w:val="20"/>
          <w:szCs w:val="20"/>
        </w:rPr>
      </w:pPr>
      <w:r>
        <w:rPr>
          <w:rFonts w:ascii="Arial" w:hAnsi="Arial"/>
          <w:b/>
          <w:bCs/>
          <w:sz w:val="20"/>
          <w:szCs w:val="20"/>
          <w:shd w:fill="C0C0C0" w:val="clear"/>
        </w:rPr>
        <w:t>Endereço de Entrega:</w:t>
      </w:r>
    </w:p>
    <w:p>
      <w:pPr>
        <w:pStyle w:val="Standard"/>
        <w:rPr>
          <w:sz w:val="20"/>
          <w:szCs w:val="20"/>
        </w:rPr>
      </w:pPr>
      <w:r>
        <w:rPr>
          <w:sz w:val="20"/>
          <w:szCs w:val="20"/>
        </w:rPr>
      </w:r>
    </w:p>
    <w:p>
      <w:pPr>
        <w:pStyle w:val="Standard"/>
        <w:jc w:val="both"/>
        <w:rPr>
          <w:rFonts w:ascii="Arial" w:hAnsi="Arial"/>
          <w:sz w:val="20"/>
          <w:szCs w:val="20"/>
        </w:rPr>
      </w:pPr>
      <w:r>
        <w:rPr>
          <w:rFonts w:ascii="Arial" w:hAnsi="Arial"/>
          <w:sz w:val="20"/>
          <w:szCs w:val="20"/>
        </w:rPr>
        <w:t>Campus Ouricuri – End. Estrada do Tamburil s/n - Ouricuri-PE, CEP 56.200-000 – Telefone (87) 98125-2473/ (87) 98125-2489</w:t>
      </w:r>
    </w:p>
    <w:p>
      <w:pPr>
        <w:pStyle w:val="Standard"/>
        <w:rPr>
          <w:rFonts w:ascii="Arial" w:hAnsi="Arial"/>
          <w:sz w:val="20"/>
          <w:szCs w:val="20"/>
        </w:rPr>
      </w:pPr>
      <w:r>
        <w:rPr>
          <w:rFonts w:ascii="Arial" w:hAnsi="Arial"/>
          <w:sz w:val="20"/>
          <w:szCs w:val="20"/>
        </w:rPr>
      </w:r>
    </w:p>
    <w:p>
      <w:pPr>
        <w:pStyle w:val="Standard"/>
        <w:jc w:val="both"/>
        <w:rPr/>
      </w:pPr>
      <w:r>
        <w:rPr>
          <w:rFonts w:ascii="Arial" w:hAnsi="Arial"/>
          <w:sz w:val="20"/>
          <w:szCs w:val="20"/>
        </w:rPr>
        <w:t>Campus Salgueiro do IF Sertão - PE, no seguinte endereço: Rodovia BR 232, KM 508, Zona Rural, Salgueiro - PE – Telefone (87) 3421-0050</w:t>
      </w:r>
      <w:r>
        <w:rPr/>
        <w:t xml:space="preserve">  </w:t>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center"/>
        <w:rPr>
          <w:rFonts w:ascii="Times New Roman" w:hAnsi="Times New Roman" w:cs="Times New Roman"/>
          <w:b/>
          <w:b/>
          <w:bCs/>
          <w:sz w:val="22"/>
          <w:szCs w:val="22"/>
        </w:rPr>
      </w:pPr>
      <w:r>
        <w:rPr>
          <w:rFonts w:cs="Times New Roman" w:ascii="Times New Roman" w:hAnsi="Times New Roman"/>
          <w:b/>
          <w:bCs/>
          <w:sz w:val="22"/>
          <w:szCs w:val="22"/>
        </w:rPr>
        <w:t>ANEXO I/C</w:t>
      </w:r>
    </w:p>
    <w:p>
      <w:pPr>
        <w:pStyle w:val="ListParagraph"/>
        <w:jc w:val="center"/>
        <w:rPr>
          <w:rFonts w:ascii="Times New Roman" w:hAnsi="Times New Roman" w:cs="Times New Roman"/>
          <w:sz w:val="22"/>
          <w:szCs w:val="22"/>
        </w:rPr>
      </w:pPr>
      <w:r>
        <w:rPr>
          <w:rFonts w:cs="Times New Roman" w:ascii="Times New Roman" w:hAnsi="Times New Roman"/>
          <w:sz w:val="22"/>
          <w:szCs w:val="22"/>
        </w:rPr>
      </w:r>
    </w:p>
    <w:p>
      <w:pPr>
        <w:pStyle w:val="ListParagraph"/>
        <w:ind w:left="-142" w:hanging="0"/>
        <w:jc w:val="center"/>
        <w:rPr>
          <w:rFonts w:ascii="Times New Roman" w:hAnsi="Times New Roman" w:cs="Times New Roman"/>
          <w:sz w:val="22"/>
          <w:szCs w:val="22"/>
        </w:rPr>
      </w:pPr>
      <w:r>
        <w:rPr>
          <w:rFonts w:cs="Times New Roman" w:ascii="Times New Roman" w:hAnsi="Times New Roman"/>
          <w:sz w:val="22"/>
          <w:szCs w:val="22"/>
        </w:rPr>
        <w:t>ESTIMATIVAS DE CONSUMO INDIVIDUALIZADAS, DOS ÓRGÃOS PARTICIPANTES</w:t>
      </w:r>
    </w:p>
    <w:p>
      <w:pPr>
        <w:pStyle w:val="ListParagraph"/>
        <w:rPr/>
      </w:pPr>
      <w:r>
        <w:rPr/>
      </w:r>
    </w:p>
    <w:p>
      <w:pPr>
        <w:pStyle w:val="Normal"/>
        <w:ind w:left="360" w:hanging="0"/>
        <w:rPr>
          <w:i/>
          <w:i/>
        </w:rPr>
      </w:pPr>
      <w:r>
        <w:rPr>
          <w:i/>
        </w:rPr>
      </w:r>
    </w:p>
    <w:tbl>
      <w:tblPr>
        <w:tblW w:w="9325" w:type="dxa"/>
        <w:jc w:val="left"/>
        <w:tblInd w:w="-147" w:type="dxa"/>
        <w:tblCellMar>
          <w:top w:w="0" w:type="dxa"/>
          <w:left w:w="108" w:type="dxa"/>
          <w:bottom w:w="0" w:type="dxa"/>
          <w:right w:w="108" w:type="dxa"/>
        </w:tblCellMar>
        <w:tblLook w:firstRow="0" w:noVBand="1" w:lastRow="0" w:firstColumn="0" w:lastColumn="0" w:noHBand="0" w:val="0400"/>
      </w:tblPr>
      <w:tblGrid>
        <w:gridCol w:w="586"/>
        <w:gridCol w:w="3343"/>
        <w:gridCol w:w="816"/>
        <w:gridCol w:w="1166"/>
        <w:gridCol w:w="1147"/>
        <w:gridCol w:w="1201"/>
        <w:gridCol w:w="1065"/>
      </w:tblGrid>
      <w:tr>
        <w:trPr>
          <w:trHeight w:val="300" w:hRule="atLeast"/>
        </w:trPr>
        <w:tc>
          <w:tcPr>
            <w:tcW w:w="9324" w:type="dxa"/>
            <w:gridSpan w:val="7"/>
            <w:tcBorders>
              <w:top w:val="single" w:sz="4" w:space="0" w:color="000000"/>
              <w:left w:val="single" w:sz="4" w:space="0" w:color="000000"/>
              <w:bottom w:val="single" w:sz="4" w:space="0" w:color="000000"/>
              <w:right w:val="single" w:sz="4" w:space="0" w:color="000000"/>
            </w:tcBorders>
            <w:shd w:color="auto" w:fill="B6D7A8" w:val="clear"/>
          </w:tcPr>
          <w:p>
            <w:pPr>
              <w:pStyle w:val="Normal"/>
              <w:ind w:left="360" w:hanging="0"/>
              <w:rPr>
                <w:b/>
                <w:b/>
                <w:highlight w:val="green"/>
              </w:rPr>
            </w:pPr>
            <w:r>
              <w:rPr>
                <w:b/>
                <w:shd w:fill="B6D7A8" w:val="clear"/>
              </w:rPr>
              <w:t>ITEM 01: Campi Petrolina, Petrolina Zona Rural e Santa Maria da Boa Vista</w:t>
            </w:r>
          </w:p>
        </w:tc>
      </w:tr>
      <w:tr>
        <w:trPr>
          <w:trHeight w:val="300"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ind w:right="-176" w:hanging="0"/>
              <w:jc w:val="center"/>
              <w:rPr>
                <w:b/>
                <w:b/>
                <w:sz w:val="18"/>
                <w:szCs w:val="18"/>
              </w:rPr>
            </w:pPr>
            <w:r>
              <w:rPr>
                <w:b/>
                <w:sz w:val="18"/>
                <w:szCs w:val="18"/>
              </w:rPr>
              <w:t>Item</w:t>
            </w:r>
          </w:p>
          <w:p>
            <w:pPr>
              <w:pStyle w:val="Normal"/>
              <w:widowControl w:val="false"/>
              <w:jc w:val="center"/>
              <w:rPr>
                <w:b/>
                <w:b/>
                <w:sz w:val="18"/>
                <w:szCs w:val="18"/>
              </w:rPr>
            </w:pPr>
            <w:r>
              <w:rPr>
                <w:b/>
                <w:sz w:val="18"/>
                <w:szCs w:val="18"/>
              </w:rPr>
            </w:r>
          </w:p>
        </w:tc>
        <w:tc>
          <w:tcPr>
            <w:tcW w:w="3343" w:type="dxa"/>
            <w:tcBorders>
              <w:top w:val="single" w:sz="4" w:space="0" w:color="000000"/>
              <w:left w:val="single" w:sz="4" w:space="0" w:color="000000"/>
              <w:bottom w:val="single" w:sz="4" w:space="0" w:color="000000"/>
              <w:right w:val="single" w:sz="4" w:space="0" w:color="000000"/>
            </w:tcBorders>
          </w:tcPr>
          <w:p>
            <w:pPr>
              <w:pStyle w:val="Normal"/>
              <w:jc w:val="center"/>
              <w:rPr>
                <w:b/>
                <w:b/>
                <w:sz w:val="18"/>
                <w:szCs w:val="18"/>
              </w:rPr>
            </w:pPr>
            <w:r>
              <w:rPr>
                <w:b/>
                <w:sz w:val="18"/>
                <w:szCs w:val="18"/>
              </w:rPr>
              <w:t>Descrição/Especificação</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ind w:left="-112" w:right="-106" w:hanging="0"/>
              <w:jc w:val="center"/>
              <w:rPr>
                <w:b/>
                <w:b/>
                <w:sz w:val="18"/>
                <w:szCs w:val="18"/>
              </w:rPr>
            </w:pPr>
            <w:r>
              <w:rPr>
                <w:b/>
                <w:sz w:val="18"/>
                <w:szCs w:val="18"/>
              </w:rPr>
              <w:t xml:space="preserve">Unidade </w:t>
            </w:r>
          </w:p>
          <w:p>
            <w:pPr>
              <w:pStyle w:val="Normal"/>
              <w:widowControl w:val="false"/>
              <w:ind w:left="-112" w:right="-106" w:hanging="0"/>
              <w:jc w:val="center"/>
              <w:rPr>
                <w:b/>
                <w:b/>
                <w:sz w:val="18"/>
                <w:szCs w:val="18"/>
              </w:rPr>
            </w:pPr>
            <w:r>
              <w:rPr>
                <w:b/>
                <w:sz w:val="18"/>
                <w:szCs w:val="18"/>
              </w:rPr>
              <w:t xml:space="preserve">de Medida </w:t>
            </w:r>
          </w:p>
        </w:tc>
        <w:tc>
          <w:tcPr>
            <w:tcW w:w="11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8"/>
                <w:szCs w:val="18"/>
              </w:rPr>
            </w:pPr>
            <w:r>
              <w:rPr>
                <w:b/>
                <w:sz w:val="18"/>
                <w:szCs w:val="18"/>
              </w:rPr>
              <w:t xml:space="preserve"> </w:t>
            </w:r>
            <w:r>
              <w:rPr>
                <w:b/>
                <w:sz w:val="18"/>
                <w:szCs w:val="18"/>
              </w:rPr>
              <w:t xml:space="preserve">Petrolina </w:t>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8"/>
                <w:szCs w:val="18"/>
              </w:rPr>
            </w:pPr>
            <w:r>
              <w:rPr>
                <w:b/>
                <w:sz w:val="18"/>
                <w:szCs w:val="18"/>
              </w:rPr>
              <w:t xml:space="preserve">Petrolina Zona Rural </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8"/>
                <w:szCs w:val="18"/>
              </w:rPr>
            </w:pPr>
            <w:r>
              <w:rPr>
                <w:b/>
                <w:sz w:val="18"/>
                <w:szCs w:val="18"/>
              </w:rPr>
              <w:t xml:space="preserve">Campus Santa Maria </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ind w:left="-141" w:right="-108" w:hanging="0"/>
              <w:jc w:val="center"/>
              <w:rPr>
                <w:b/>
                <w:b/>
                <w:sz w:val="18"/>
                <w:szCs w:val="18"/>
              </w:rPr>
            </w:pPr>
            <w:r>
              <w:rPr>
                <w:b/>
                <w:sz w:val="18"/>
                <w:szCs w:val="18"/>
              </w:rPr>
              <w:t xml:space="preserve">Quantidade Total  </w:t>
            </w:r>
          </w:p>
        </w:tc>
      </w:tr>
      <w:tr>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t>1</w:t>
            </w:r>
          </w:p>
        </w:tc>
        <w:tc>
          <w:tcPr>
            <w:tcW w:w="3343"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Kit básico de alimentos contendo: </w:t>
            </w:r>
          </w:p>
          <w:p>
            <w:pPr>
              <w:pStyle w:val="Normal"/>
              <w:jc w:val="both"/>
              <w:rPr/>
            </w:pPr>
            <w:r>
              <w:rPr/>
            </w:r>
          </w:p>
          <w:p>
            <w:pPr>
              <w:pStyle w:val="Normal"/>
              <w:widowControl w:val="false"/>
              <w:spacing w:lineRule="auto" w:line="276" w:before="0" w:after="120"/>
              <w:jc w:val="both"/>
              <w:rPr/>
            </w:pPr>
            <w:r>
              <w:rPr>
                <w:b/>
              </w:rPr>
              <w:t>- 1kg Açúcar</w:t>
            </w:r>
            <w:r>
              <w:rPr/>
              <w:t>, tipo: cristal, branco, pacote com 01 Kg. Quantidade: 01.</w:t>
            </w:r>
          </w:p>
          <w:p>
            <w:pPr>
              <w:pStyle w:val="Normal"/>
              <w:jc w:val="both"/>
              <w:rPr/>
            </w:pPr>
            <w:r>
              <w:rPr>
                <w:b/>
              </w:rPr>
              <w:t>- 01 kg arroz</w:t>
            </w:r>
            <w:r>
              <w:rPr/>
              <w:t xml:space="preserve"> beneficiado, tipo: parboilizado, subgrupo: polido, classe: longo fino, qualidade: tipo 1. pacote com 01 Kg.  Quantidade: 01.</w:t>
            </w:r>
          </w:p>
          <w:p>
            <w:pPr>
              <w:pStyle w:val="Normal"/>
              <w:jc w:val="both"/>
              <w:rPr/>
            </w:pPr>
            <w:r>
              <w:rPr/>
            </w:r>
          </w:p>
          <w:p>
            <w:pPr>
              <w:pStyle w:val="Normal"/>
              <w:jc w:val="both"/>
              <w:rPr/>
            </w:pPr>
            <w:r>
              <w:rPr/>
              <w:t xml:space="preserve">- </w:t>
            </w:r>
            <w:r>
              <w:rPr>
                <w:b/>
              </w:rPr>
              <w:t>01</w:t>
            </w:r>
            <w:r>
              <w:rPr/>
              <w:t xml:space="preserve"> </w:t>
            </w:r>
            <w:r>
              <w:rPr>
                <w:b/>
              </w:rPr>
              <w:t>Aveia beneficiada</w:t>
            </w:r>
            <w:r>
              <w:rPr/>
              <w:t xml:space="preserve">, classe: branca, apresentação: em flocos finos, presença de glúten: embalagem de 165g 170 g. Quantidade: 01. </w:t>
            </w:r>
          </w:p>
          <w:p>
            <w:pPr>
              <w:pStyle w:val="Normal"/>
              <w:jc w:val="both"/>
              <w:rPr/>
            </w:pPr>
            <w:r>
              <w:rPr/>
            </w:r>
          </w:p>
          <w:p>
            <w:pPr>
              <w:pStyle w:val="Normal"/>
              <w:jc w:val="both"/>
              <w:rPr/>
            </w:pPr>
            <w:r>
              <w:rPr>
                <w:b/>
              </w:rPr>
              <w:t>- 01 Pacote de Biscoito</w:t>
            </w:r>
            <w:r>
              <w:rPr/>
              <w:t xml:space="preserve">, apresentação: quadrado, classificação: salgado, tipo: cream cracker. Pacote de 400g. Quantidade: 01. </w:t>
            </w:r>
          </w:p>
          <w:p>
            <w:pPr>
              <w:pStyle w:val="Normal"/>
              <w:jc w:val="both"/>
              <w:rPr/>
            </w:pPr>
            <w:r>
              <w:rPr/>
            </w:r>
          </w:p>
          <w:p>
            <w:pPr>
              <w:pStyle w:val="Normal"/>
              <w:jc w:val="both"/>
              <w:rPr/>
            </w:pPr>
            <w:r>
              <w:rPr>
                <w:b/>
              </w:rPr>
              <w:t>01 Pacote de Café</w:t>
            </w:r>
            <w:r>
              <w:rPr/>
              <w:t xml:space="preserve">, apresentação: torrado moído, intensidade: média, tipo: tradicional. Pacote com 250g. Quantidade: 01. </w:t>
            </w:r>
          </w:p>
          <w:p>
            <w:pPr>
              <w:pStyle w:val="Normal"/>
              <w:jc w:val="both"/>
              <w:rPr/>
            </w:pPr>
            <w:r>
              <w:rPr/>
            </w:r>
          </w:p>
          <w:p>
            <w:pPr>
              <w:pStyle w:val="Normal"/>
              <w:jc w:val="both"/>
              <w:rPr/>
            </w:pPr>
            <w:r>
              <w:rPr>
                <w:b/>
              </w:rPr>
              <w:t>- 02 pacotes de Farinha de milho</w:t>
            </w:r>
            <w:r>
              <w:rPr/>
              <w:t xml:space="preserve">, grão: amarelo, tipo: flocada, apresentação: pré-cozida, pacote de 500g. Quantidade: 02. </w:t>
            </w:r>
          </w:p>
          <w:p>
            <w:pPr>
              <w:pStyle w:val="Normal"/>
              <w:jc w:val="both"/>
              <w:rPr/>
            </w:pPr>
            <w:r>
              <w:rPr/>
            </w:r>
          </w:p>
          <w:p>
            <w:pPr>
              <w:pStyle w:val="Normal"/>
              <w:jc w:val="both"/>
              <w:rPr/>
            </w:pPr>
            <w:r>
              <w:rPr>
                <w:b/>
              </w:rPr>
              <w:t>- 01 Kg de Leguminosa</w:t>
            </w:r>
            <w:r>
              <w:rPr/>
              <w:t xml:space="preserve">, variedade: </w:t>
            </w:r>
            <w:r>
              <w:rPr>
                <w:b/>
              </w:rPr>
              <w:t>feijão carioca</w:t>
            </w:r>
            <w:r>
              <w:rPr/>
              <w:t xml:space="preserve">, tipo: tipo 1. Embalagem de 1kg. Quantidade: 01. </w:t>
            </w:r>
          </w:p>
          <w:p>
            <w:pPr>
              <w:pStyle w:val="Normal"/>
              <w:jc w:val="both"/>
              <w:rPr/>
            </w:pPr>
            <w:r>
              <w:rPr/>
            </w:r>
          </w:p>
          <w:p>
            <w:pPr>
              <w:pStyle w:val="Normal"/>
              <w:jc w:val="both"/>
              <w:rPr/>
            </w:pPr>
            <w:r>
              <w:rPr>
                <w:b/>
              </w:rPr>
              <w:t>- 01 Caixa de Amido</w:t>
            </w:r>
            <w:r>
              <w:rPr/>
              <w:t xml:space="preserve">, base: de mandioca, grupo: tapioca, subgrupo: goma, Embalagem 500g. Quantidade: 01. </w:t>
            </w:r>
          </w:p>
          <w:p>
            <w:pPr>
              <w:pStyle w:val="Normal"/>
              <w:jc w:val="both"/>
              <w:rPr/>
            </w:pPr>
            <w:r>
              <w:rPr/>
            </w:r>
          </w:p>
          <w:p>
            <w:pPr>
              <w:pStyle w:val="Normal"/>
              <w:jc w:val="both"/>
              <w:rPr/>
            </w:pPr>
            <w:r>
              <w:rPr/>
              <w:t xml:space="preserve">- </w:t>
            </w:r>
            <w:r>
              <w:rPr>
                <w:b/>
              </w:rPr>
              <w:t>02 Pacotes de Leite em pó</w:t>
            </w:r>
            <w:r>
              <w:rPr/>
              <w:t xml:space="preserve">, origem: de vaca, teor gordura: integral. Unidade de medida: Pacote de 200g. Quantidade: 02. </w:t>
            </w:r>
          </w:p>
          <w:p>
            <w:pPr>
              <w:pStyle w:val="Normal"/>
              <w:jc w:val="both"/>
              <w:rPr/>
            </w:pPr>
            <w:r>
              <w:rPr/>
            </w:r>
          </w:p>
          <w:p>
            <w:pPr>
              <w:pStyle w:val="Normal"/>
              <w:jc w:val="both"/>
              <w:rPr/>
            </w:pPr>
            <w:r>
              <w:rPr/>
              <w:t xml:space="preserve">- </w:t>
            </w:r>
            <w:r>
              <w:rPr>
                <w:b/>
              </w:rPr>
              <w:t>02 pacotes de macarrão</w:t>
            </w:r>
            <w:r>
              <w:rPr/>
              <w:t xml:space="preserve">, base da massa: de farinha de trigo, apresentação: espaguete. Pacote com 500 g. Quantidade: 02. </w:t>
            </w:r>
          </w:p>
          <w:p>
            <w:pPr>
              <w:pStyle w:val="Normal"/>
              <w:jc w:val="both"/>
              <w:rPr/>
            </w:pPr>
            <w:r>
              <w:rPr/>
            </w:r>
          </w:p>
          <w:p>
            <w:pPr>
              <w:pStyle w:val="Normal"/>
              <w:jc w:val="both"/>
              <w:rPr/>
            </w:pPr>
            <w:r>
              <w:rPr>
                <w:b/>
              </w:rPr>
              <w:t>01 pacote de Canjica</w:t>
            </w:r>
            <w:r>
              <w:rPr/>
              <w:t xml:space="preserve">, branca, qualidade: tipo 1.  pacote com 500g. Quantidade: 01. </w:t>
            </w:r>
          </w:p>
          <w:p>
            <w:pPr>
              <w:pStyle w:val="Normal"/>
              <w:jc w:val="both"/>
              <w:rPr/>
            </w:pPr>
            <w:r>
              <w:rPr/>
            </w:r>
          </w:p>
          <w:p>
            <w:pPr>
              <w:pStyle w:val="Normal"/>
              <w:jc w:val="both"/>
              <w:rPr/>
            </w:pPr>
            <w:r>
              <w:rPr>
                <w:b/>
              </w:rPr>
              <w:t>- 01 pacote de Milho</w:t>
            </w:r>
            <w:r>
              <w:rPr/>
              <w:t xml:space="preserve">, tipo grão, aplicação munguzá (canjica). Pacote com 500g. Quantidade: 01. </w:t>
            </w:r>
          </w:p>
          <w:p>
            <w:pPr>
              <w:pStyle w:val="Normal"/>
              <w:jc w:val="both"/>
              <w:rPr/>
            </w:pPr>
            <w:r>
              <w:rPr/>
            </w:r>
          </w:p>
          <w:p>
            <w:pPr>
              <w:pStyle w:val="Normal"/>
              <w:jc w:val="both"/>
              <w:rPr/>
            </w:pPr>
            <w:r>
              <w:rPr>
                <w:b/>
              </w:rPr>
              <w:t>- 01 pacote de Proteína texturizada soja</w:t>
            </w:r>
            <w:r>
              <w:rPr/>
              <w:t xml:space="preserve">, sabor: carne bovina. Pacote com 400 g. Quantidade: 01. </w:t>
            </w:r>
          </w:p>
          <w:p>
            <w:pPr>
              <w:pStyle w:val="Normal"/>
              <w:jc w:val="both"/>
              <w:rPr/>
            </w:pPr>
            <w:r>
              <w:rPr/>
            </w:r>
          </w:p>
          <w:p>
            <w:pPr>
              <w:pStyle w:val="Normal"/>
              <w:jc w:val="both"/>
              <w:rPr>
                <w:b/>
                <w:b/>
                <w:color w:val="FF0000"/>
              </w:rPr>
            </w:pPr>
            <w:r>
              <w:rPr>
                <w:b/>
              </w:rPr>
              <w:t xml:space="preserve">CATMAT: </w:t>
            </w:r>
          </w:p>
          <w:p>
            <w:pPr>
              <w:pStyle w:val="Normal"/>
              <w:widowControl w:val="false"/>
              <w:spacing w:lineRule="auto" w:line="276" w:before="0" w:after="120"/>
              <w:jc w:val="both"/>
              <w:rPr/>
            </w:pPr>
            <w:r>
              <w:rPr/>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left="-141" w:right="-165" w:hanging="0"/>
              <w:rPr>
                <w:sz w:val="18"/>
                <w:szCs w:val="18"/>
              </w:rPr>
            </w:pPr>
            <w:r>
              <w:rPr>
                <w:sz w:val="18"/>
                <w:szCs w:val="18"/>
              </w:rPr>
              <w:t xml:space="preserve"> </w:t>
            </w:r>
            <w:r>
              <w:rPr>
                <w:sz w:val="18"/>
                <w:szCs w:val="18"/>
              </w:rPr>
              <w:t>Unidade</w:t>
            </w:r>
          </w:p>
          <w:p>
            <w:pPr>
              <w:pStyle w:val="Normal"/>
              <w:widowControl w:val="false"/>
              <w:spacing w:lineRule="auto" w:line="276" w:before="0" w:after="120"/>
              <w:rPr>
                <w:sz w:val="18"/>
                <w:szCs w:val="18"/>
              </w:rPr>
            </w:pPr>
            <w:r>
              <w:rPr>
                <w:sz w:val="18"/>
                <w:szCs w:val="18"/>
              </w:rPr>
            </w:r>
          </w:p>
        </w:tc>
        <w:tc>
          <w:tcPr>
            <w:tcW w:w="1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left="-114" w:hanging="0"/>
              <w:rPr>
                <w:b/>
                <w:b/>
                <w:sz w:val="18"/>
                <w:szCs w:val="18"/>
              </w:rPr>
            </w:pPr>
            <w:r>
              <w:rPr>
                <w:sz w:val="18"/>
                <w:szCs w:val="18"/>
              </w:rPr>
              <w:t xml:space="preserve">Total: </w:t>
            </w:r>
            <w:r>
              <w:rPr>
                <w:b/>
                <w:sz w:val="18"/>
                <w:szCs w:val="18"/>
              </w:rPr>
              <w:t>4.800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62" w:hanging="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 xml:space="preserve">Quantidade mínima por entrega: </w:t>
            </w:r>
            <w:r>
              <w:rPr>
                <w:b/>
                <w:sz w:val="18"/>
                <w:szCs w:val="18"/>
              </w:rPr>
              <w:t xml:space="preserve">200 </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62" w:hanging="0"/>
              <w:rPr>
                <w:sz w:val="18"/>
                <w:szCs w:val="18"/>
              </w:rPr>
            </w:pPr>
            <w:r>
              <w:rPr>
                <w:sz w:val="18"/>
                <w:szCs w:val="18"/>
              </w:rPr>
              <w:t>Quantidade máxima por entrega:</w:t>
            </w:r>
          </w:p>
          <w:p>
            <w:pPr>
              <w:pStyle w:val="Normal"/>
              <w:widowControl w:val="false"/>
              <w:spacing w:lineRule="auto" w:line="276" w:before="0" w:after="120"/>
              <w:ind w:right="-62" w:hanging="0"/>
              <w:rPr>
                <w:b/>
                <w:b/>
                <w:sz w:val="18"/>
                <w:szCs w:val="18"/>
              </w:rPr>
            </w:pPr>
            <w:r>
              <w:rPr>
                <w:b/>
                <w:sz w:val="18"/>
                <w:szCs w:val="18"/>
              </w:rPr>
              <w:t>4800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b/>
                <w:b/>
                <w:sz w:val="18"/>
                <w:szCs w:val="18"/>
              </w:rPr>
            </w:pPr>
            <w:r>
              <w:rPr>
                <w:sz w:val="18"/>
                <w:szCs w:val="18"/>
              </w:rPr>
              <w:t xml:space="preserve">Total: </w:t>
            </w:r>
            <w:r>
              <w:rPr>
                <w:b/>
                <w:sz w:val="18"/>
                <w:szCs w:val="18"/>
              </w:rPr>
              <w:t>400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137" w:hanging="0"/>
              <w:rPr>
                <w:b/>
                <w:b/>
                <w:sz w:val="18"/>
                <w:szCs w:val="18"/>
              </w:rPr>
            </w:pPr>
            <w:r>
              <w:rPr>
                <w:sz w:val="18"/>
                <w:szCs w:val="18"/>
              </w:rPr>
              <w:t xml:space="preserve">Quantidade mínima por entrega: </w:t>
            </w:r>
            <w:r>
              <w:rPr>
                <w:b/>
                <w:sz w:val="18"/>
                <w:szCs w:val="18"/>
              </w:rPr>
              <w:t xml:space="preserve">100 </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137" w:hanging="0"/>
              <w:rPr>
                <w:b/>
                <w:b/>
                <w:sz w:val="18"/>
                <w:szCs w:val="18"/>
              </w:rPr>
            </w:pPr>
            <w:r>
              <w:rPr>
                <w:sz w:val="18"/>
                <w:szCs w:val="18"/>
              </w:rPr>
              <w:t xml:space="preserve">Quantidade máxima por entrega: </w:t>
            </w:r>
            <w:r>
              <w:rPr>
                <w:b/>
                <w:sz w:val="18"/>
                <w:szCs w:val="18"/>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b/>
                <w:b/>
                <w:sz w:val="18"/>
                <w:szCs w:val="18"/>
              </w:rPr>
            </w:pPr>
            <w:r>
              <w:rPr>
                <w:sz w:val="18"/>
                <w:szCs w:val="18"/>
              </w:rPr>
              <w:t xml:space="preserve">Total: </w:t>
            </w:r>
            <w:r>
              <w:rPr>
                <w:b/>
                <w:sz w:val="18"/>
                <w:szCs w:val="18"/>
              </w:rPr>
              <w:t>1.660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 xml:space="preserve">Quantidade mínima por entrega: </w:t>
            </w:r>
            <w:r>
              <w:rPr>
                <w:b/>
                <w:sz w:val="18"/>
                <w:szCs w:val="18"/>
              </w:rPr>
              <w:t xml:space="preserve"> 50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 xml:space="preserve">Quantidade máxima por entrega: </w:t>
            </w:r>
            <w:r>
              <w:rPr>
                <w:b/>
                <w:sz w:val="18"/>
                <w:szCs w:val="18"/>
              </w:rPr>
              <w:t>1.660</w:t>
            </w:r>
          </w:p>
          <w:p>
            <w:pPr>
              <w:pStyle w:val="Normal"/>
              <w:widowControl w:val="false"/>
              <w:spacing w:lineRule="auto" w:line="276" w:before="0" w:after="120"/>
              <w:rPr>
                <w:sz w:val="18"/>
                <w:szCs w:val="18"/>
              </w:rPr>
            </w:pPr>
            <w:r>
              <w:rPr>
                <w:sz w:val="18"/>
                <w:szCs w:val="18"/>
              </w:rPr>
            </w:r>
          </w:p>
        </w:tc>
        <w:tc>
          <w:tcPr>
            <w:tcW w:w="1065" w:type="dxa"/>
            <w:tcBorders>
              <w:top w:val="single" w:sz="4" w:space="0" w:color="000000"/>
              <w:left w:val="single" w:sz="4" w:space="0" w:color="000000"/>
              <w:bottom w:val="single" w:sz="4" w:space="0" w:color="000000"/>
              <w:right w:val="single" w:sz="4" w:space="0" w:color="000000"/>
            </w:tcBorders>
          </w:tcPr>
          <w:p>
            <w:pPr>
              <w:pStyle w:val="Normal"/>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b/>
                <w:b/>
                <w:sz w:val="18"/>
                <w:szCs w:val="18"/>
              </w:rPr>
            </w:pPr>
            <w:r>
              <w:rPr>
                <w:b/>
                <w:sz w:val="18"/>
                <w:szCs w:val="18"/>
              </w:rPr>
              <w:t>6.860</w:t>
            </w:r>
          </w:p>
        </w:tc>
      </w:tr>
    </w:tbl>
    <w:p>
      <w:pPr>
        <w:pStyle w:val="Normal"/>
        <w:spacing w:lineRule="auto" w:line="276" w:before="0" w:after="120"/>
        <w:jc w:val="both"/>
        <w:rPr/>
      </w:pPr>
      <w:r>
        <w:rPr/>
      </w:r>
    </w:p>
    <w:p>
      <w:pPr>
        <w:pStyle w:val="Normal"/>
        <w:ind w:left="360" w:hanging="0"/>
        <w:rPr/>
      </w:pPr>
      <w:r>
        <w:rPr/>
      </w:r>
    </w:p>
    <w:p>
      <w:pPr>
        <w:pStyle w:val="Normal"/>
        <w:ind w:left="360" w:hanging="0"/>
        <w:rPr/>
      </w:pPr>
      <w:r>
        <w:rPr/>
      </w:r>
    </w:p>
    <w:tbl>
      <w:tblPr>
        <w:tblW w:w="9300" w:type="dxa"/>
        <w:jc w:val="left"/>
        <w:tblInd w:w="-147" w:type="dxa"/>
        <w:tblCellMar>
          <w:top w:w="0" w:type="dxa"/>
          <w:left w:w="108" w:type="dxa"/>
          <w:bottom w:w="0" w:type="dxa"/>
          <w:right w:w="108" w:type="dxa"/>
        </w:tblCellMar>
        <w:tblLook w:firstRow="0" w:noVBand="1" w:lastRow="0" w:firstColumn="0" w:lastColumn="0" w:noHBand="0" w:val="0400"/>
      </w:tblPr>
      <w:tblGrid>
        <w:gridCol w:w="612"/>
        <w:gridCol w:w="3878"/>
        <w:gridCol w:w="888"/>
        <w:gridCol w:w="1362"/>
        <w:gridCol w:w="1420"/>
        <w:gridCol w:w="1139"/>
      </w:tblGrid>
      <w:tr>
        <w:trPr>
          <w:trHeight w:val="300" w:hRule="atLeast"/>
        </w:trPr>
        <w:tc>
          <w:tcPr>
            <w:tcW w:w="9299" w:type="dxa"/>
            <w:gridSpan w:val="6"/>
            <w:tcBorders>
              <w:top w:val="single" w:sz="4" w:space="0" w:color="000000"/>
              <w:left w:val="single" w:sz="4" w:space="0" w:color="000000"/>
              <w:bottom w:val="single" w:sz="4" w:space="0" w:color="000000"/>
              <w:right w:val="single" w:sz="4" w:space="0" w:color="000000"/>
            </w:tcBorders>
            <w:shd w:color="auto" w:fill="B6D7A8" w:val="clear"/>
          </w:tcPr>
          <w:p>
            <w:pPr>
              <w:pStyle w:val="Normal"/>
              <w:ind w:left="360" w:hanging="0"/>
              <w:rPr>
                <w:b/>
                <w:b/>
                <w:sz w:val="16"/>
                <w:szCs w:val="16"/>
                <w:highlight w:val="green"/>
              </w:rPr>
            </w:pPr>
            <w:r>
              <w:rPr>
                <w:b/>
                <w:shd w:fill="B6D7A8" w:val="clear"/>
              </w:rPr>
              <w:t>ITEM 02: Campi Floresta e Serra Talhada</w:t>
            </w:r>
          </w:p>
        </w:tc>
      </w:tr>
      <w:tr>
        <w:trPr>
          <w:trHeight w:val="300" w:hRule="atLeast"/>
        </w:trPr>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ind w:right="-50" w:hanging="0"/>
              <w:jc w:val="center"/>
              <w:rPr>
                <w:b/>
                <w:b/>
                <w:sz w:val="18"/>
                <w:szCs w:val="18"/>
              </w:rPr>
            </w:pPr>
            <w:r>
              <w:rPr>
                <w:b/>
                <w:sz w:val="18"/>
                <w:szCs w:val="18"/>
              </w:rPr>
              <w:t>Item</w:t>
            </w:r>
          </w:p>
          <w:p>
            <w:pPr>
              <w:pStyle w:val="Normal"/>
              <w:widowControl w:val="false"/>
              <w:jc w:val="center"/>
              <w:rPr>
                <w:b/>
                <w:b/>
                <w:sz w:val="18"/>
                <w:szCs w:val="18"/>
              </w:rPr>
            </w:pPr>
            <w:r>
              <w:rPr>
                <w:b/>
                <w:sz w:val="18"/>
                <w:szCs w:val="18"/>
              </w:rPr>
            </w:r>
          </w:p>
        </w:tc>
        <w:tc>
          <w:tcPr>
            <w:tcW w:w="3878" w:type="dxa"/>
            <w:tcBorders>
              <w:top w:val="single" w:sz="4" w:space="0" w:color="000000"/>
              <w:left w:val="single" w:sz="4" w:space="0" w:color="000000"/>
              <w:bottom w:val="single" w:sz="4" w:space="0" w:color="000000"/>
              <w:right w:val="single" w:sz="4" w:space="0" w:color="000000"/>
            </w:tcBorders>
          </w:tcPr>
          <w:p>
            <w:pPr>
              <w:pStyle w:val="Normal"/>
              <w:jc w:val="center"/>
              <w:rPr>
                <w:b/>
                <w:b/>
                <w:sz w:val="18"/>
                <w:szCs w:val="18"/>
              </w:rPr>
            </w:pPr>
            <w:r>
              <w:rPr>
                <w:b/>
                <w:sz w:val="18"/>
                <w:szCs w:val="18"/>
              </w:rPr>
              <w:t>Descrição/Especificação</w:t>
            </w:r>
          </w:p>
        </w:tc>
        <w:tc>
          <w:tcPr>
            <w:tcW w:w="888" w:type="dxa"/>
            <w:tcBorders>
              <w:top w:val="single" w:sz="4" w:space="0" w:color="000000"/>
              <w:left w:val="single" w:sz="4" w:space="0" w:color="000000"/>
              <w:bottom w:val="single" w:sz="4" w:space="0" w:color="000000"/>
              <w:right w:val="single" w:sz="4" w:space="0" w:color="000000"/>
            </w:tcBorders>
          </w:tcPr>
          <w:p>
            <w:pPr>
              <w:pStyle w:val="Normal"/>
              <w:widowControl w:val="false"/>
              <w:ind w:left="-112" w:right="-106" w:hanging="0"/>
              <w:jc w:val="center"/>
              <w:rPr>
                <w:b/>
                <w:b/>
                <w:sz w:val="18"/>
                <w:szCs w:val="18"/>
              </w:rPr>
            </w:pPr>
            <w:r>
              <w:rPr>
                <w:b/>
                <w:sz w:val="18"/>
                <w:szCs w:val="18"/>
              </w:rPr>
              <w:t xml:space="preserve">Unidade de Medida </w:t>
            </w:r>
          </w:p>
        </w:tc>
        <w:tc>
          <w:tcPr>
            <w:tcW w:w="13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8"/>
                <w:szCs w:val="18"/>
              </w:rPr>
            </w:pPr>
            <w:r>
              <w:rPr>
                <w:b/>
                <w:sz w:val="18"/>
                <w:szCs w:val="18"/>
              </w:rPr>
              <w:t>Floresta</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jc w:val="center"/>
              <w:rPr>
                <w:b/>
                <w:b/>
                <w:sz w:val="18"/>
                <w:szCs w:val="18"/>
              </w:rPr>
            </w:pPr>
            <w:r>
              <w:rPr>
                <w:b/>
                <w:sz w:val="18"/>
                <w:szCs w:val="18"/>
              </w:rPr>
              <w:t xml:space="preserve">Serra Talhada </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ind w:left="-141" w:right="-108" w:hanging="0"/>
              <w:jc w:val="center"/>
              <w:rPr>
                <w:b/>
                <w:b/>
                <w:sz w:val="18"/>
                <w:szCs w:val="18"/>
              </w:rPr>
            </w:pPr>
            <w:r>
              <w:rPr>
                <w:b/>
                <w:sz w:val="18"/>
                <w:szCs w:val="18"/>
              </w:rPr>
              <w:t>Quantidade Total</w:t>
            </w:r>
          </w:p>
        </w:tc>
      </w:tr>
      <w:tr>
        <w:trPr/>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rPr>
                <w:b/>
                <w:b/>
              </w:rPr>
            </w:pPr>
            <w:r>
              <w:rPr>
                <w:b/>
              </w:rPr>
              <w:t>2</w:t>
            </w:r>
          </w:p>
        </w:tc>
        <w:tc>
          <w:tcPr>
            <w:tcW w:w="3878"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Kit básico de alimentos contendo: </w:t>
            </w:r>
          </w:p>
          <w:p>
            <w:pPr>
              <w:pStyle w:val="Normal"/>
              <w:jc w:val="both"/>
              <w:rPr/>
            </w:pPr>
            <w:r>
              <w:rPr/>
            </w:r>
          </w:p>
          <w:p>
            <w:pPr>
              <w:pStyle w:val="Normal"/>
              <w:widowControl w:val="false"/>
              <w:spacing w:lineRule="auto" w:line="276" w:before="0" w:after="120"/>
              <w:jc w:val="both"/>
              <w:rPr/>
            </w:pPr>
            <w:r>
              <w:rPr>
                <w:b/>
              </w:rPr>
              <w:t>- 1kg Açúcar</w:t>
            </w:r>
            <w:r>
              <w:rPr/>
              <w:t>, tipo: cristal, branco, pacote com 01 Kg. Quantidade: 01.</w:t>
            </w:r>
          </w:p>
          <w:p>
            <w:pPr>
              <w:pStyle w:val="Normal"/>
              <w:jc w:val="both"/>
              <w:rPr/>
            </w:pPr>
            <w:r>
              <w:rPr>
                <w:b/>
              </w:rPr>
              <w:t>- 01 kg arroz</w:t>
            </w:r>
            <w:r>
              <w:rPr/>
              <w:t xml:space="preserve"> beneficiado, tipo: parboilizado, subgrupo: polido, classe: longo fino, qualidade: tipo 1. pacote com 01 Kg.  Quantidade: 01.</w:t>
            </w:r>
          </w:p>
          <w:p>
            <w:pPr>
              <w:pStyle w:val="Normal"/>
              <w:jc w:val="both"/>
              <w:rPr/>
            </w:pPr>
            <w:r>
              <w:rPr/>
            </w:r>
          </w:p>
          <w:p>
            <w:pPr>
              <w:pStyle w:val="Normal"/>
              <w:jc w:val="both"/>
              <w:rPr/>
            </w:pPr>
            <w:r>
              <w:rPr/>
              <w:t xml:space="preserve">- </w:t>
            </w:r>
            <w:r>
              <w:rPr>
                <w:b/>
              </w:rPr>
              <w:t>01</w:t>
            </w:r>
            <w:r>
              <w:rPr/>
              <w:t xml:space="preserve"> </w:t>
            </w:r>
            <w:r>
              <w:rPr>
                <w:b/>
              </w:rPr>
              <w:t>Aveia beneficiada</w:t>
            </w:r>
            <w:r>
              <w:rPr/>
              <w:t xml:space="preserve">, classe: branca, apresentação: em flocos finos, presença de glúten: embalagem de 165g a 170g. Quantidade: 01. </w:t>
            </w:r>
          </w:p>
          <w:p>
            <w:pPr>
              <w:pStyle w:val="Normal"/>
              <w:jc w:val="both"/>
              <w:rPr/>
            </w:pPr>
            <w:r>
              <w:rPr/>
            </w:r>
          </w:p>
          <w:p>
            <w:pPr>
              <w:pStyle w:val="Normal"/>
              <w:jc w:val="both"/>
              <w:rPr/>
            </w:pPr>
            <w:r>
              <w:rPr>
                <w:b/>
              </w:rPr>
              <w:t>- 01 Pacote de Biscoito</w:t>
            </w:r>
            <w:r>
              <w:rPr/>
              <w:t xml:space="preserve">, apresentação: quadrado, classificação: salgado, tipo: cream cracker. Pacote de 400g. Quantidade: 01. </w:t>
            </w:r>
          </w:p>
          <w:p>
            <w:pPr>
              <w:pStyle w:val="Normal"/>
              <w:jc w:val="both"/>
              <w:rPr/>
            </w:pPr>
            <w:r>
              <w:rPr/>
            </w:r>
          </w:p>
          <w:p>
            <w:pPr>
              <w:pStyle w:val="Normal"/>
              <w:jc w:val="both"/>
              <w:rPr/>
            </w:pPr>
            <w:r>
              <w:rPr>
                <w:b/>
              </w:rPr>
              <w:t>01 Pacote de Café</w:t>
            </w:r>
            <w:r>
              <w:rPr/>
              <w:t xml:space="preserve">, apresentação: torrado moído, intensidade: média, tipo: tradicional. Pacote com 250g. Quantidade: 01. </w:t>
            </w:r>
          </w:p>
          <w:p>
            <w:pPr>
              <w:pStyle w:val="Normal"/>
              <w:jc w:val="both"/>
              <w:rPr/>
            </w:pPr>
            <w:r>
              <w:rPr/>
            </w:r>
          </w:p>
          <w:p>
            <w:pPr>
              <w:pStyle w:val="Normal"/>
              <w:jc w:val="both"/>
              <w:rPr/>
            </w:pPr>
            <w:r>
              <w:rPr>
                <w:b/>
              </w:rPr>
              <w:t>- 02 pacotes de Farinha de milho</w:t>
            </w:r>
            <w:r>
              <w:rPr/>
              <w:t xml:space="preserve">, grão: amarelo, tipo: flocada, apresentação: pré-cozida, pacote de 500g. Quantidade: 02. </w:t>
            </w:r>
          </w:p>
          <w:p>
            <w:pPr>
              <w:pStyle w:val="Normal"/>
              <w:jc w:val="both"/>
              <w:rPr/>
            </w:pPr>
            <w:r>
              <w:rPr/>
            </w:r>
          </w:p>
          <w:p>
            <w:pPr>
              <w:pStyle w:val="Normal"/>
              <w:jc w:val="both"/>
              <w:rPr/>
            </w:pPr>
            <w:r>
              <w:rPr>
                <w:b/>
              </w:rPr>
              <w:t>- 01 Kg de Leguminosa</w:t>
            </w:r>
            <w:r>
              <w:rPr/>
              <w:t xml:space="preserve">, variedade: </w:t>
            </w:r>
            <w:r>
              <w:rPr>
                <w:b/>
              </w:rPr>
              <w:t>feijão carioca</w:t>
            </w:r>
            <w:r>
              <w:rPr/>
              <w:t xml:space="preserve">, tipo: tipo 1. Embalagem de 1kg. Quantidade: 01. </w:t>
            </w:r>
          </w:p>
          <w:p>
            <w:pPr>
              <w:pStyle w:val="Normal"/>
              <w:jc w:val="both"/>
              <w:rPr/>
            </w:pPr>
            <w:r>
              <w:rPr/>
            </w:r>
          </w:p>
          <w:p>
            <w:pPr>
              <w:pStyle w:val="Normal"/>
              <w:jc w:val="both"/>
              <w:rPr/>
            </w:pPr>
            <w:r>
              <w:rPr>
                <w:b/>
              </w:rPr>
              <w:t>- 01 Caixa de Amido</w:t>
            </w:r>
            <w:r>
              <w:rPr/>
              <w:t xml:space="preserve">, base: de mandioca, grupo: tapioca, subgrupo: goma, Embalagem 500g. Quantidade: 01. </w:t>
            </w:r>
          </w:p>
          <w:p>
            <w:pPr>
              <w:pStyle w:val="Normal"/>
              <w:jc w:val="both"/>
              <w:rPr/>
            </w:pPr>
            <w:r>
              <w:rPr/>
            </w:r>
          </w:p>
          <w:p>
            <w:pPr>
              <w:pStyle w:val="Normal"/>
              <w:jc w:val="both"/>
              <w:rPr/>
            </w:pPr>
            <w:r>
              <w:rPr/>
              <w:t xml:space="preserve">- </w:t>
            </w:r>
            <w:r>
              <w:rPr>
                <w:b/>
              </w:rPr>
              <w:t>02 Pacotes de Leite em pó</w:t>
            </w:r>
            <w:r>
              <w:rPr/>
              <w:t xml:space="preserve">, origem: de vaca, teor gordura: integral. Unidade de medida: Pacote de 200g. Quantidade: 02. </w:t>
            </w:r>
          </w:p>
          <w:p>
            <w:pPr>
              <w:pStyle w:val="Normal"/>
              <w:jc w:val="both"/>
              <w:rPr/>
            </w:pPr>
            <w:r>
              <w:rPr/>
            </w:r>
          </w:p>
          <w:p>
            <w:pPr>
              <w:pStyle w:val="Normal"/>
              <w:jc w:val="both"/>
              <w:rPr/>
            </w:pPr>
            <w:r>
              <w:rPr/>
              <w:t xml:space="preserve">- </w:t>
            </w:r>
            <w:r>
              <w:rPr>
                <w:b/>
              </w:rPr>
              <w:t>02 pacotes de macarrão</w:t>
            </w:r>
            <w:r>
              <w:rPr/>
              <w:t xml:space="preserve">, base da massa: de farinha de trigo, apresentação: espaguete. Pacote com 500 g. Quantidade: 02. </w:t>
            </w:r>
          </w:p>
          <w:p>
            <w:pPr>
              <w:pStyle w:val="Normal"/>
              <w:jc w:val="both"/>
              <w:rPr/>
            </w:pPr>
            <w:r>
              <w:rPr/>
            </w:r>
          </w:p>
          <w:p>
            <w:pPr>
              <w:pStyle w:val="Normal"/>
              <w:jc w:val="both"/>
              <w:rPr/>
            </w:pPr>
            <w:r>
              <w:rPr>
                <w:b/>
              </w:rPr>
              <w:t>01 pacote de Canjica</w:t>
            </w:r>
            <w:r>
              <w:rPr/>
              <w:t xml:space="preserve">, branca, qualidade: tipo 1.  pacote com 500g. Quantidade: 01. </w:t>
            </w:r>
          </w:p>
          <w:p>
            <w:pPr>
              <w:pStyle w:val="Normal"/>
              <w:jc w:val="both"/>
              <w:rPr/>
            </w:pPr>
            <w:r>
              <w:rPr/>
            </w:r>
          </w:p>
          <w:p>
            <w:pPr>
              <w:pStyle w:val="Normal"/>
              <w:jc w:val="both"/>
              <w:rPr/>
            </w:pPr>
            <w:r>
              <w:rPr>
                <w:b/>
              </w:rPr>
              <w:t>- 01 pacote de Milho</w:t>
            </w:r>
            <w:r>
              <w:rPr/>
              <w:t xml:space="preserve">, tipo grão, aplicação munguzá (canjica). Pacote com 500g. Quantidade: 01. </w:t>
            </w:r>
          </w:p>
          <w:p>
            <w:pPr>
              <w:pStyle w:val="Normal"/>
              <w:jc w:val="both"/>
              <w:rPr/>
            </w:pPr>
            <w:r>
              <w:rPr/>
            </w:r>
          </w:p>
          <w:p>
            <w:pPr>
              <w:pStyle w:val="Normal"/>
              <w:jc w:val="both"/>
              <w:rPr/>
            </w:pPr>
            <w:r>
              <w:rPr>
                <w:b/>
              </w:rPr>
              <w:t>- 01 pacote de Proteína texturizada soja</w:t>
            </w:r>
            <w:r>
              <w:rPr/>
              <w:t xml:space="preserve">, sabor: carne bovina. Pacote com 400 g. Quantidade: 01. </w:t>
            </w:r>
          </w:p>
          <w:p>
            <w:pPr>
              <w:pStyle w:val="Normal"/>
              <w:jc w:val="both"/>
              <w:rPr/>
            </w:pPr>
            <w:r>
              <w:rPr/>
            </w:r>
          </w:p>
          <w:p>
            <w:pPr>
              <w:pStyle w:val="Normal"/>
              <w:jc w:val="both"/>
              <w:rPr>
                <w:b/>
                <w:b/>
                <w:color w:val="FF0000"/>
              </w:rPr>
            </w:pPr>
            <w:r>
              <w:rPr>
                <w:b/>
              </w:rPr>
              <w:t xml:space="preserve">CATMAT: </w:t>
            </w:r>
          </w:p>
          <w:p>
            <w:pPr>
              <w:pStyle w:val="Normal"/>
              <w:widowControl w:val="false"/>
              <w:spacing w:lineRule="auto" w:line="276" w:before="0" w:after="120"/>
              <w:jc w:val="both"/>
              <w:rPr/>
            </w:pPr>
            <w:r>
              <w:rPr/>
            </w:r>
          </w:p>
        </w:tc>
        <w:tc>
          <w:tcPr>
            <w:tcW w:w="8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93" w:hanging="0"/>
              <w:rPr>
                <w:sz w:val="18"/>
                <w:szCs w:val="18"/>
              </w:rPr>
            </w:pPr>
            <w:r>
              <w:rPr>
                <w:sz w:val="18"/>
                <w:szCs w:val="18"/>
              </w:rPr>
            </w:r>
          </w:p>
          <w:p>
            <w:pPr>
              <w:pStyle w:val="Normal"/>
              <w:widowControl w:val="false"/>
              <w:spacing w:lineRule="auto" w:line="276" w:before="0" w:after="120"/>
              <w:ind w:right="-93" w:hanging="0"/>
              <w:rPr>
                <w:sz w:val="18"/>
                <w:szCs w:val="18"/>
              </w:rPr>
            </w:pPr>
            <w:r>
              <w:rPr>
                <w:sz w:val="18"/>
                <w:szCs w:val="18"/>
              </w:rPr>
              <w:t xml:space="preserve">   </w:t>
            </w:r>
            <w:r>
              <w:rPr>
                <w:sz w:val="18"/>
                <w:szCs w:val="18"/>
              </w:rPr>
              <w:t>Unidade</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tc>
        <w:tc>
          <w:tcPr>
            <w:tcW w:w="1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left="-141" w:hanging="0"/>
              <w:rPr>
                <w:b/>
                <w:b/>
                <w:sz w:val="18"/>
                <w:szCs w:val="18"/>
              </w:rPr>
            </w:pPr>
            <w:r>
              <w:rPr>
                <w:sz w:val="18"/>
                <w:szCs w:val="18"/>
              </w:rPr>
              <w:t xml:space="preserve">   </w:t>
            </w:r>
            <w:r>
              <w:rPr>
                <w:sz w:val="18"/>
                <w:szCs w:val="18"/>
              </w:rPr>
              <w:t xml:space="preserve">Total:  </w:t>
            </w:r>
            <w:r>
              <w:rPr>
                <w:b/>
                <w:sz w:val="18"/>
                <w:szCs w:val="18"/>
              </w:rPr>
              <w:t>1.822</w:t>
            </w:r>
          </w:p>
          <w:p>
            <w:pPr>
              <w:pStyle w:val="Normal"/>
              <w:widowControl w:val="false"/>
              <w:spacing w:lineRule="auto" w:line="276" w:before="0" w:after="120"/>
              <w:ind w:left="-141" w:hanging="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 xml:space="preserve">Quantidade mínima por entrega:  </w:t>
            </w:r>
            <w:r>
              <w:rPr>
                <w:b/>
                <w:sz w:val="18"/>
                <w:szCs w:val="18"/>
              </w:rPr>
              <w:t>50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 xml:space="preserve">Quantidade máxima por entrega: </w:t>
            </w:r>
            <w:r>
              <w:rPr>
                <w:b/>
                <w:sz w:val="18"/>
                <w:szCs w:val="18"/>
              </w:rPr>
              <w:t>1.822</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left="-141" w:hanging="0"/>
              <w:rPr>
                <w:b/>
                <w:b/>
                <w:sz w:val="18"/>
                <w:szCs w:val="18"/>
              </w:rPr>
            </w:pPr>
            <w:r>
              <w:rPr>
                <w:sz w:val="18"/>
                <w:szCs w:val="18"/>
              </w:rPr>
              <w:t xml:space="preserve">     </w:t>
            </w:r>
            <w:r>
              <w:rPr>
                <w:sz w:val="18"/>
                <w:szCs w:val="18"/>
              </w:rPr>
              <w:t xml:space="preserve">Total:  </w:t>
            </w:r>
            <w:bookmarkStart w:id="4" w:name="_Hlk80703396"/>
            <w:r>
              <w:rPr>
                <w:b/>
                <w:sz w:val="18"/>
                <w:szCs w:val="18"/>
              </w:rPr>
              <w:t>1.407</w:t>
            </w:r>
            <w:bookmarkEnd w:id="4"/>
          </w:p>
          <w:p>
            <w:pPr>
              <w:pStyle w:val="Normal"/>
              <w:widowControl w:val="false"/>
              <w:spacing w:lineRule="auto" w:line="276" w:before="0" w:after="120"/>
              <w:ind w:left="-141" w:hanging="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 xml:space="preserve">Quantidade mínima por entrega: </w:t>
            </w:r>
            <w:r>
              <w:rPr>
                <w:b/>
                <w:sz w:val="18"/>
                <w:szCs w:val="18"/>
              </w:rPr>
              <w:t xml:space="preserve"> 50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 xml:space="preserve">Quantidade máxima por entrega: </w:t>
            </w:r>
            <w:r>
              <w:rPr>
                <w:b/>
                <w:sz w:val="18"/>
                <w:szCs w:val="18"/>
              </w:rPr>
              <w:t>1.407</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b/>
                <w:b/>
                <w:sz w:val="18"/>
                <w:szCs w:val="18"/>
              </w:rPr>
            </w:pPr>
            <w:r>
              <w:rPr>
                <w:b/>
                <w:sz w:val="18"/>
                <w:szCs w:val="18"/>
              </w:rPr>
              <w:t xml:space="preserve"> </w:t>
            </w:r>
            <w:r>
              <w:rPr>
                <w:b/>
                <w:sz w:val="18"/>
                <w:szCs w:val="18"/>
              </w:rPr>
              <w:t>3.229</w:t>
            </w:r>
          </w:p>
        </w:tc>
      </w:tr>
    </w:tbl>
    <w:p>
      <w:pPr>
        <w:pStyle w:val="Normal"/>
        <w:ind w:left="360" w:hanging="0"/>
        <w:rPr>
          <w:b/>
          <w:b/>
          <w:sz w:val="16"/>
          <w:szCs w:val="16"/>
          <w:highlight w:val="green"/>
        </w:rPr>
      </w:pPr>
      <w:r>
        <w:rPr>
          <w:b/>
          <w:sz w:val="16"/>
          <w:szCs w:val="16"/>
          <w:highlight w:val="green"/>
        </w:rPr>
      </w:r>
    </w:p>
    <w:p>
      <w:pPr>
        <w:pStyle w:val="Normal"/>
        <w:ind w:left="360" w:hanging="0"/>
        <w:rPr/>
      </w:pPr>
      <w:r>
        <w:rPr/>
      </w:r>
    </w:p>
    <w:p>
      <w:pPr>
        <w:pStyle w:val="Normal"/>
        <w:ind w:left="360" w:hanging="0"/>
        <w:rPr/>
      </w:pPr>
      <w:r>
        <w:rPr/>
      </w:r>
    </w:p>
    <w:tbl>
      <w:tblPr>
        <w:tblW w:w="9325" w:type="dxa"/>
        <w:jc w:val="left"/>
        <w:tblInd w:w="-147" w:type="dxa"/>
        <w:tblCellMar>
          <w:top w:w="0" w:type="dxa"/>
          <w:left w:w="108" w:type="dxa"/>
          <w:bottom w:w="0" w:type="dxa"/>
          <w:right w:w="108" w:type="dxa"/>
        </w:tblCellMar>
        <w:tblLook w:firstRow="0" w:noVBand="1" w:lastRow="0" w:firstColumn="0" w:lastColumn="0" w:noHBand="0" w:val="0400"/>
      </w:tblPr>
      <w:tblGrid>
        <w:gridCol w:w="607"/>
        <w:gridCol w:w="3647"/>
        <w:gridCol w:w="854"/>
        <w:gridCol w:w="1530"/>
        <w:gridCol w:w="1514"/>
        <w:gridCol w:w="1172"/>
      </w:tblGrid>
      <w:tr>
        <w:trPr>
          <w:trHeight w:val="300" w:hRule="atLeast"/>
        </w:trPr>
        <w:tc>
          <w:tcPr>
            <w:tcW w:w="9324" w:type="dxa"/>
            <w:gridSpan w:val="6"/>
            <w:tcBorders>
              <w:top w:val="single" w:sz="4" w:space="0" w:color="000000"/>
              <w:left w:val="single" w:sz="4" w:space="0" w:color="000000"/>
              <w:bottom w:val="single" w:sz="4" w:space="0" w:color="000000"/>
              <w:right w:val="single" w:sz="4" w:space="0" w:color="000000"/>
            </w:tcBorders>
            <w:shd w:color="auto" w:fill="B6D7A8" w:val="clear"/>
          </w:tcPr>
          <w:p>
            <w:pPr>
              <w:pStyle w:val="Normal"/>
              <w:ind w:left="360" w:hanging="0"/>
              <w:rPr>
                <w:b/>
                <w:b/>
                <w:sz w:val="16"/>
                <w:szCs w:val="16"/>
                <w:highlight w:val="green"/>
              </w:rPr>
            </w:pPr>
            <w:r>
              <w:rPr>
                <w:b/>
                <w:shd w:fill="B6D7A8" w:val="clear"/>
              </w:rPr>
              <w:t xml:space="preserve">ITEM 03: Campi Ouricuri e Salgueiro </w:t>
            </w:r>
          </w:p>
        </w:tc>
      </w:tr>
      <w:tr>
        <w:trPr>
          <w:trHeight w:val="300"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ind w:right="-50" w:hanging="0"/>
              <w:jc w:val="center"/>
              <w:rPr>
                <w:b/>
                <w:b/>
                <w:sz w:val="18"/>
                <w:szCs w:val="18"/>
              </w:rPr>
            </w:pPr>
            <w:r>
              <w:rPr>
                <w:b/>
                <w:sz w:val="18"/>
                <w:szCs w:val="18"/>
              </w:rPr>
              <w:t>Item</w:t>
            </w:r>
          </w:p>
          <w:p>
            <w:pPr>
              <w:pStyle w:val="Normal"/>
              <w:widowControl w:val="false"/>
              <w:jc w:val="center"/>
              <w:rPr>
                <w:b/>
                <w:b/>
                <w:sz w:val="18"/>
                <w:szCs w:val="18"/>
              </w:rPr>
            </w:pPr>
            <w:r>
              <w:rPr>
                <w:b/>
                <w:sz w:val="18"/>
                <w:szCs w:val="18"/>
              </w:rPr>
            </w:r>
          </w:p>
        </w:tc>
        <w:tc>
          <w:tcPr>
            <w:tcW w:w="3647" w:type="dxa"/>
            <w:tcBorders>
              <w:top w:val="single" w:sz="4" w:space="0" w:color="000000"/>
              <w:left w:val="single" w:sz="4" w:space="0" w:color="000000"/>
              <w:bottom w:val="single" w:sz="4" w:space="0" w:color="000000"/>
              <w:right w:val="single" w:sz="4" w:space="0" w:color="000000"/>
            </w:tcBorders>
          </w:tcPr>
          <w:p>
            <w:pPr>
              <w:pStyle w:val="Normal"/>
              <w:jc w:val="center"/>
              <w:rPr>
                <w:b/>
                <w:b/>
                <w:sz w:val="18"/>
                <w:szCs w:val="18"/>
              </w:rPr>
            </w:pPr>
            <w:r>
              <w:rPr>
                <w:b/>
                <w:sz w:val="18"/>
                <w:szCs w:val="18"/>
              </w:rPr>
              <w:t>Descrição/Especificação</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ind w:left="-112" w:right="-106" w:hanging="0"/>
              <w:jc w:val="center"/>
              <w:rPr>
                <w:b/>
                <w:b/>
                <w:sz w:val="18"/>
                <w:szCs w:val="18"/>
              </w:rPr>
            </w:pPr>
            <w:r>
              <w:rPr>
                <w:b/>
                <w:sz w:val="18"/>
                <w:szCs w:val="18"/>
              </w:rPr>
              <w:t xml:space="preserve">Unidade de Medida </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8"/>
                <w:szCs w:val="18"/>
              </w:rPr>
            </w:pPr>
            <w:r>
              <w:rPr>
                <w:b/>
                <w:sz w:val="18"/>
                <w:szCs w:val="18"/>
              </w:rPr>
              <w:t xml:space="preserve">Ouricuri </w:t>
            </w:r>
          </w:p>
        </w:tc>
        <w:tc>
          <w:tcPr>
            <w:tcW w:w="151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jc w:val="center"/>
              <w:rPr>
                <w:b/>
                <w:b/>
                <w:sz w:val="18"/>
                <w:szCs w:val="18"/>
              </w:rPr>
            </w:pPr>
            <w:r>
              <w:rPr>
                <w:b/>
                <w:sz w:val="18"/>
                <w:szCs w:val="18"/>
              </w:rPr>
              <w:t xml:space="preserve">Salgueiro </w:t>
            </w:r>
          </w:p>
        </w:tc>
        <w:tc>
          <w:tcPr>
            <w:tcW w:w="1172" w:type="dxa"/>
            <w:tcBorders>
              <w:top w:val="single" w:sz="4" w:space="0" w:color="000000"/>
              <w:left w:val="single" w:sz="4" w:space="0" w:color="000000"/>
              <w:bottom w:val="single" w:sz="4" w:space="0" w:color="000000"/>
              <w:right w:val="single" w:sz="4" w:space="0" w:color="000000"/>
            </w:tcBorders>
          </w:tcPr>
          <w:p>
            <w:pPr>
              <w:pStyle w:val="Normal"/>
              <w:widowControl w:val="false"/>
              <w:ind w:left="-141" w:right="-108" w:hanging="0"/>
              <w:jc w:val="center"/>
              <w:rPr>
                <w:b/>
                <w:b/>
                <w:sz w:val="18"/>
                <w:szCs w:val="18"/>
              </w:rPr>
            </w:pPr>
            <w:r>
              <w:rPr>
                <w:b/>
                <w:sz w:val="18"/>
                <w:szCs w:val="18"/>
              </w:rPr>
              <w:t xml:space="preserve">Quantidade total </w:t>
            </w:r>
          </w:p>
        </w:tc>
      </w:tr>
      <w:tr>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r>
          </w:p>
          <w:p>
            <w:pPr>
              <w:pStyle w:val="Normal"/>
              <w:widowControl w:val="false"/>
              <w:spacing w:lineRule="auto" w:line="276" w:before="0" w:after="120"/>
              <w:jc w:val="center"/>
              <w:rPr>
                <w:b/>
                <w:b/>
              </w:rPr>
            </w:pPr>
            <w:r>
              <w:rPr>
                <w:b/>
              </w:rPr>
              <w:t>3</w:t>
            </w:r>
          </w:p>
        </w:tc>
        <w:tc>
          <w:tcPr>
            <w:tcW w:w="3647"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Kit básico de alimentos contendo: </w:t>
            </w:r>
          </w:p>
          <w:p>
            <w:pPr>
              <w:pStyle w:val="Normal"/>
              <w:jc w:val="both"/>
              <w:rPr/>
            </w:pPr>
            <w:r>
              <w:rPr/>
            </w:r>
          </w:p>
          <w:p>
            <w:pPr>
              <w:pStyle w:val="Normal"/>
              <w:widowControl w:val="false"/>
              <w:spacing w:lineRule="auto" w:line="276" w:before="0" w:after="120"/>
              <w:jc w:val="both"/>
              <w:rPr/>
            </w:pPr>
            <w:r>
              <w:rPr>
                <w:b/>
              </w:rPr>
              <w:t>- 1kg Açúcar</w:t>
            </w:r>
            <w:r>
              <w:rPr/>
              <w:t>, tipo: cristal, branco, pacote com 01 Kg. Quantidade: 01.</w:t>
            </w:r>
          </w:p>
          <w:p>
            <w:pPr>
              <w:pStyle w:val="Normal"/>
              <w:jc w:val="both"/>
              <w:rPr/>
            </w:pPr>
            <w:r>
              <w:rPr>
                <w:b/>
              </w:rPr>
              <w:t>- 01 kg arroz</w:t>
            </w:r>
            <w:r>
              <w:rPr/>
              <w:t xml:space="preserve"> beneficiado, tipo: parboilizado, subgrupo: polido, classe: longo fino, qualidade: tipo 1. pacote com 01 Kg.  Quantidade: 01.</w:t>
            </w:r>
          </w:p>
          <w:p>
            <w:pPr>
              <w:pStyle w:val="Normal"/>
              <w:jc w:val="both"/>
              <w:rPr/>
            </w:pPr>
            <w:r>
              <w:rPr/>
            </w:r>
          </w:p>
          <w:p>
            <w:pPr>
              <w:pStyle w:val="Normal"/>
              <w:jc w:val="both"/>
              <w:rPr/>
            </w:pPr>
            <w:r>
              <w:rPr/>
              <w:t xml:space="preserve">- </w:t>
            </w:r>
            <w:r>
              <w:rPr>
                <w:b/>
              </w:rPr>
              <w:t>01</w:t>
            </w:r>
            <w:r>
              <w:rPr/>
              <w:t xml:space="preserve"> </w:t>
            </w:r>
            <w:r>
              <w:rPr>
                <w:b/>
              </w:rPr>
              <w:t>Aveia beneficiada</w:t>
            </w:r>
            <w:r>
              <w:rPr/>
              <w:t xml:space="preserve">, classe: branca, apresentação: em flocos finos, presença de glúten: embalagem de 165g a 170g. Quantidade: 01. </w:t>
            </w:r>
          </w:p>
          <w:p>
            <w:pPr>
              <w:pStyle w:val="Normal"/>
              <w:jc w:val="both"/>
              <w:rPr/>
            </w:pPr>
            <w:r>
              <w:rPr/>
            </w:r>
          </w:p>
          <w:p>
            <w:pPr>
              <w:pStyle w:val="Normal"/>
              <w:jc w:val="both"/>
              <w:rPr/>
            </w:pPr>
            <w:r>
              <w:rPr>
                <w:b/>
              </w:rPr>
              <w:t>- 01 Pacote de Biscoito</w:t>
            </w:r>
            <w:r>
              <w:rPr/>
              <w:t xml:space="preserve">, apresentação: quadrado, classificação: salgado, tipo: cream cracker. Pacote de 400g. Quantidade: 01. </w:t>
            </w:r>
          </w:p>
          <w:p>
            <w:pPr>
              <w:pStyle w:val="Normal"/>
              <w:jc w:val="both"/>
              <w:rPr/>
            </w:pPr>
            <w:r>
              <w:rPr/>
            </w:r>
          </w:p>
          <w:p>
            <w:pPr>
              <w:pStyle w:val="Normal"/>
              <w:jc w:val="both"/>
              <w:rPr/>
            </w:pPr>
            <w:r>
              <w:rPr>
                <w:b/>
              </w:rPr>
              <w:t>01 Pacote de Café</w:t>
            </w:r>
            <w:r>
              <w:rPr/>
              <w:t xml:space="preserve">, apresentação: torrado moído, intensidade: média, tipo: tradicional. Pacote com 250g. Quantidade: 01. </w:t>
            </w:r>
          </w:p>
          <w:p>
            <w:pPr>
              <w:pStyle w:val="Normal"/>
              <w:jc w:val="both"/>
              <w:rPr/>
            </w:pPr>
            <w:r>
              <w:rPr/>
            </w:r>
          </w:p>
          <w:p>
            <w:pPr>
              <w:pStyle w:val="Normal"/>
              <w:jc w:val="both"/>
              <w:rPr/>
            </w:pPr>
            <w:r>
              <w:rPr>
                <w:b/>
              </w:rPr>
              <w:t>- 02 pacotes de Farinha de milho</w:t>
            </w:r>
            <w:r>
              <w:rPr/>
              <w:t xml:space="preserve">, grão: amarelo, tipo: flocada, apresentação: pré-cozida, pacote de 500g. Quantidade: 02. </w:t>
            </w:r>
          </w:p>
          <w:p>
            <w:pPr>
              <w:pStyle w:val="Normal"/>
              <w:jc w:val="both"/>
              <w:rPr/>
            </w:pPr>
            <w:r>
              <w:rPr/>
            </w:r>
          </w:p>
          <w:p>
            <w:pPr>
              <w:pStyle w:val="Normal"/>
              <w:jc w:val="both"/>
              <w:rPr/>
            </w:pPr>
            <w:r>
              <w:rPr>
                <w:b/>
              </w:rPr>
              <w:t>- 01 Kg de Leguminosa</w:t>
            </w:r>
            <w:r>
              <w:rPr/>
              <w:t xml:space="preserve">, variedade: </w:t>
            </w:r>
            <w:r>
              <w:rPr>
                <w:b/>
              </w:rPr>
              <w:t>feijão carioca</w:t>
            </w:r>
            <w:r>
              <w:rPr/>
              <w:t xml:space="preserve">, tipo: tipo 1. Embalagem de 1kg. Quantidade: 01. </w:t>
            </w:r>
          </w:p>
          <w:p>
            <w:pPr>
              <w:pStyle w:val="Normal"/>
              <w:jc w:val="both"/>
              <w:rPr/>
            </w:pPr>
            <w:r>
              <w:rPr/>
            </w:r>
          </w:p>
          <w:p>
            <w:pPr>
              <w:pStyle w:val="Normal"/>
              <w:jc w:val="both"/>
              <w:rPr/>
            </w:pPr>
            <w:r>
              <w:rPr>
                <w:b/>
              </w:rPr>
              <w:t>- 01 Caixa de Amido</w:t>
            </w:r>
            <w:r>
              <w:rPr/>
              <w:t xml:space="preserve">, base: de mandioca, grupo: tapioca, subgrupo: goma, Embalagem 500g. Quantidade: 01. </w:t>
            </w:r>
          </w:p>
          <w:p>
            <w:pPr>
              <w:pStyle w:val="Normal"/>
              <w:jc w:val="both"/>
              <w:rPr/>
            </w:pPr>
            <w:r>
              <w:rPr/>
            </w:r>
          </w:p>
          <w:p>
            <w:pPr>
              <w:pStyle w:val="Normal"/>
              <w:jc w:val="both"/>
              <w:rPr/>
            </w:pPr>
            <w:r>
              <w:rPr/>
              <w:t xml:space="preserve">- </w:t>
            </w:r>
            <w:r>
              <w:rPr>
                <w:b/>
              </w:rPr>
              <w:t>02 Pacotes de Leite em pó</w:t>
            </w:r>
            <w:r>
              <w:rPr/>
              <w:t xml:space="preserve">, origem: de vaca, teor gordura: integral. Unidade de medida: Pacote de 200g. Quantidade: 02. </w:t>
            </w:r>
          </w:p>
          <w:p>
            <w:pPr>
              <w:pStyle w:val="Normal"/>
              <w:jc w:val="both"/>
              <w:rPr/>
            </w:pPr>
            <w:r>
              <w:rPr/>
            </w:r>
          </w:p>
          <w:p>
            <w:pPr>
              <w:pStyle w:val="Normal"/>
              <w:jc w:val="both"/>
              <w:rPr/>
            </w:pPr>
            <w:r>
              <w:rPr>
                <w:b/>
              </w:rPr>
              <w:t>- 02 pacotes de macarrão</w:t>
            </w:r>
            <w:r>
              <w:rPr/>
              <w:t xml:space="preserve">, base da massa: de farinha de trigo, apresentação: espaguete. Pacote com 500 g. Quantidade: 02. </w:t>
            </w:r>
          </w:p>
          <w:p>
            <w:pPr>
              <w:pStyle w:val="Normal"/>
              <w:jc w:val="both"/>
              <w:rPr/>
            </w:pPr>
            <w:r>
              <w:rPr/>
            </w:r>
          </w:p>
          <w:p>
            <w:pPr>
              <w:pStyle w:val="Normal"/>
              <w:jc w:val="both"/>
              <w:rPr/>
            </w:pPr>
            <w:r>
              <w:rPr>
                <w:b/>
              </w:rPr>
              <w:t>01 pacote de Canjica</w:t>
            </w:r>
            <w:r>
              <w:rPr/>
              <w:t xml:space="preserve">, branca, qualidade: tipo 1.  pacote com 500g. Quantidade: 01. </w:t>
            </w:r>
          </w:p>
          <w:p>
            <w:pPr>
              <w:pStyle w:val="Normal"/>
              <w:jc w:val="both"/>
              <w:rPr/>
            </w:pPr>
            <w:r>
              <w:rPr/>
            </w:r>
          </w:p>
          <w:p>
            <w:pPr>
              <w:pStyle w:val="Normal"/>
              <w:jc w:val="both"/>
              <w:rPr/>
            </w:pPr>
            <w:r>
              <w:rPr>
                <w:b/>
              </w:rPr>
              <w:t>- 01 pacote de Milho</w:t>
            </w:r>
            <w:r>
              <w:rPr/>
              <w:t xml:space="preserve">, tipo grão, aplicação munguzá (canjica). Pacote com 500g. Quantidade: 01. </w:t>
            </w:r>
          </w:p>
          <w:p>
            <w:pPr>
              <w:pStyle w:val="Normal"/>
              <w:jc w:val="both"/>
              <w:rPr/>
            </w:pPr>
            <w:r>
              <w:rPr/>
            </w:r>
          </w:p>
          <w:p>
            <w:pPr>
              <w:pStyle w:val="Normal"/>
              <w:jc w:val="both"/>
              <w:rPr/>
            </w:pPr>
            <w:r>
              <w:rPr>
                <w:b/>
              </w:rPr>
              <w:t>- 01 pacote de Proteína texturizada soja</w:t>
            </w:r>
            <w:r>
              <w:rPr/>
              <w:t xml:space="preserve">, sabor: carne bovina. Pacote com 400 g. Quantidade: 01. </w:t>
            </w:r>
          </w:p>
          <w:p>
            <w:pPr>
              <w:pStyle w:val="Normal"/>
              <w:jc w:val="both"/>
              <w:rPr/>
            </w:pPr>
            <w:r>
              <w:rPr/>
            </w:r>
          </w:p>
          <w:p>
            <w:pPr>
              <w:pStyle w:val="Normal"/>
              <w:jc w:val="both"/>
              <w:rPr>
                <w:b/>
                <w:b/>
                <w:color w:val="FF0000"/>
              </w:rPr>
            </w:pPr>
            <w:r>
              <w:rPr>
                <w:b/>
              </w:rPr>
              <w:t xml:space="preserve">CATMAT: </w:t>
            </w:r>
          </w:p>
          <w:p>
            <w:pPr>
              <w:pStyle w:val="Normal"/>
              <w:widowControl w:val="false"/>
              <w:spacing w:lineRule="auto" w:line="276" w:before="0" w:after="120"/>
              <w:jc w:val="both"/>
              <w:rPr/>
            </w:pPr>
            <w:r>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left="-118" w:right="-117" w:hanging="0"/>
              <w:rPr>
                <w:sz w:val="18"/>
                <w:szCs w:val="18"/>
              </w:rPr>
            </w:pPr>
            <w:r>
              <w:rPr>
                <w:sz w:val="18"/>
                <w:szCs w:val="18"/>
              </w:rPr>
              <w:t>Unidade</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b/>
                <w:b/>
                <w:sz w:val="18"/>
                <w:szCs w:val="18"/>
              </w:rPr>
            </w:pPr>
            <w:r>
              <w:rPr>
                <w:sz w:val="18"/>
                <w:szCs w:val="18"/>
              </w:rPr>
              <w:t xml:space="preserve">Total: </w:t>
            </w:r>
            <w:r>
              <w:rPr>
                <w:b/>
                <w:sz w:val="18"/>
                <w:szCs w:val="18"/>
              </w:rPr>
              <w:t>2.600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 xml:space="preserve">Quantidade mínima por entrega:  </w:t>
            </w:r>
            <w:r>
              <w:rPr>
                <w:b/>
                <w:sz w:val="18"/>
                <w:szCs w:val="18"/>
              </w:rPr>
              <w:t>90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Quantidade máxima por entrega:</w:t>
            </w:r>
            <w:r>
              <w:rPr>
                <w:b/>
                <w:sz w:val="18"/>
                <w:szCs w:val="18"/>
              </w:rPr>
              <w:t xml:space="preserve"> 2.600</w:t>
            </w:r>
          </w:p>
        </w:tc>
        <w:tc>
          <w:tcPr>
            <w:tcW w:w="1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b/>
                <w:b/>
                <w:sz w:val="18"/>
                <w:szCs w:val="18"/>
              </w:rPr>
            </w:pPr>
            <w:r>
              <w:rPr>
                <w:sz w:val="18"/>
                <w:szCs w:val="18"/>
              </w:rPr>
              <w:t xml:space="preserve">Total: </w:t>
            </w:r>
            <w:r>
              <w:rPr>
                <w:b/>
                <w:sz w:val="18"/>
                <w:szCs w:val="18"/>
              </w:rPr>
              <w:t>4.656</w:t>
            </w:r>
          </w:p>
          <w:p>
            <w:pPr>
              <w:pStyle w:val="Normal"/>
              <w:widowControl w:val="false"/>
              <w:spacing w:lineRule="auto" w:line="276" w:before="0" w:after="120"/>
              <w:ind w:right="-62" w:hanging="0"/>
              <w:rPr>
                <w:sz w:val="18"/>
                <w:szCs w:val="18"/>
              </w:rPr>
            </w:pPr>
            <w:r>
              <w:rPr>
                <w:sz w:val="18"/>
                <w:szCs w:val="18"/>
              </w:rPr>
            </w:r>
          </w:p>
          <w:p>
            <w:pPr>
              <w:pStyle w:val="Normal"/>
              <w:widowControl w:val="false"/>
              <w:spacing w:lineRule="auto" w:line="276" w:before="0" w:after="120"/>
              <w:ind w:right="-62" w:hanging="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 xml:space="preserve">Quantidade mínima por entrega:  </w:t>
            </w:r>
            <w:r>
              <w:rPr>
                <w:b/>
                <w:sz w:val="18"/>
                <w:szCs w:val="18"/>
              </w:rPr>
              <w:t>50</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ind w:right="-62" w:hanging="0"/>
              <w:rPr>
                <w:b/>
                <w:b/>
                <w:sz w:val="18"/>
                <w:szCs w:val="18"/>
              </w:rPr>
            </w:pPr>
            <w:r>
              <w:rPr>
                <w:sz w:val="18"/>
                <w:szCs w:val="18"/>
              </w:rPr>
              <w:t>Quantidade máxima por entrega:</w:t>
            </w:r>
            <w:r>
              <w:rPr>
                <w:b/>
                <w:sz w:val="18"/>
                <w:szCs w:val="18"/>
              </w:rPr>
              <w:t>4.656</w:t>
            </w:r>
          </w:p>
        </w:tc>
        <w:tc>
          <w:tcPr>
            <w:tcW w:w="11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b/>
                <w:b/>
                <w:sz w:val="18"/>
                <w:szCs w:val="18"/>
              </w:rPr>
            </w:pPr>
            <w:r>
              <w:rPr>
                <w:b/>
                <w:sz w:val="18"/>
                <w:szCs w:val="18"/>
              </w:rPr>
              <w:t>7.256</w:t>
            </w:r>
          </w:p>
        </w:tc>
      </w:tr>
    </w:tbl>
    <w:p>
      <w:pPr>
        <w:pStyle w:val="Normal"/>
        <w:spacing w:lineRule="auto" w:line="276" w:before="0" w:after="120"/>
        <w:jc w:val="both"/>
        <w:rPr/>
      </w:pPr>
      <w:r>
        <w:rPr/>
      </w:r>
    </w:p>
    <w:p>
      <w:pPr>
        <w:pStyle w:val="Standard"/>
        <w:jc w:val="both"/>
        <w:rPr/>
      </w:pPr>
      <w:r>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r>
    </w:p>
    <w:p>
      <w:pPr>
        <w:pStyle w:val="Normal"/>
        <w:spacing w:before="240" w:after="240"/>
        <w:ind w:right="-560" w:hanging="0"/>
        <w:jc w:val="center"/>
        <w:rPr>
          <w:b/>
          <w:b/>
        </w:rPr>
      </w:pPr>
      <w:r>
        <w:rPr>
          <w:b/>
        </w:rPr>
        <w:t>ANEXO I/D</w:t>
      </w:r>
    </w:p>
    <w:p>
      <w:pPr>
        <w:pStyle w:val="Normal"/>
        <w:spacing w:before="240" w:after="240"/>
        <w:ind w:right="-560" w:hanging="0"/>
        <w:rPr>
          <w:b/>
          <w:b/>
        </w:rPr>
      </w:pPr>
      <w:r>
        <w:rPr>
          <w:b/>
        </w:rPr>
      </w:r>
    </w:p>
    <w:p>
      <w:pPr>
        <w:pStyle w:val="Normal"/>
        <w:spacing w:lineRule="auto" w:line="276" w:before="240" w:after="240"/>
        <w:ind w:right="-560" w:hanging="0"/>
        <w:jc w:val="center"/>
        <w:rPr>
          <w:b/>
          <w:b/>
        </w:rPr>
      </w:pPr>
      <w:r>
        <w:rPr>
          <w:b/>
        </w:rPr>
        <w:t>MODELO DE DECLARAÇÃO DE SUSTENTABILIDADE AMBIENTAL</w:t>
      </w:r>
    </w:p>
    <w:p>
      <w:pPr>
        <w:pStyle w:val="Normal"/>
        <w:spacing w:lineRule="auto" w:line="276" w:before="240" w:after="240"/>
        <w:ind w:right="-560" w:hanging="0"/>
        <w:jc w:val="center"/>
        <w:rPr>
          <w:b/>
          <w:b/>
        </w:rPr>
      </w:pPr>
      <w:r>
        <w:rPr>
          <w:b/>
        </w:rPr>
        <w:t>PREGÃO ELETRÔNICO PARA REGISTRO DE PREÇOS Nº 07/2021</w:t>
      </w:r>
    </w:p>
    <w:p>
      <w:pPr>
        <w:pStyle w:val="Normal"/>
        <w:spacing w:lineRule="auto" w:line="360" w:before="240" w:after="240"/>
        <w:ind w:right="282" w:hanging="0"/>
        <w:jc w:val="both"/>
        <w:rPr>
          <w:b/>
          <w:b/>
        </w:rPr>
      </w:pPr>
      <w:r>
        <w:rPr>
          <w:b/>
        </w:rPr>
        <w:t xml:space="preserve">Declaramos, sob as penas da lei, na qualidade de participante do procedimento licitatório, Nome da Empresa:___________________________, CNPJ n°.:___________________________, sob a modalidade do Pregão Eletrônico – SRP n°: 07/2021, cujo objeto é Aquisição de KIT BÁSICO DE ALIMENTOS para atender os </w:t>
      </w:r>
      <w:r>
        <w:rPr>
          <w:b/>
          <w:i/>
        </w:rPr>
        <w:t xml:space="preserve">campi </w:t>
      </w:r>
      <w:r>
        <w:rPr>
          <w:b/>
        </w:rPr>
        <w:t>do IFSertãoPE para os Campi do Instituto Federal de Educação, Ciência e Tecnologia do Sertão Pernambucano, de que atendemos aos critérios de sustentabilidade ambiental, respeitando as normas de proteção do meio ambiente, conforme estabelece a Instrução Normativa no 01, de 19 de janeiro de 2010, nos casos em que a referida instrução se aplica ao objeto.</w:t>
      </w:r>
    </w:p>
    <w:p>
      <w:pPr>
        <w:pStyle w:val="Normal"/>
        <w:spacing w:lineRule="auto" w:line="276" w:before="240" w:after="240"/>
        <w:ind w:right="-560" w:hanging="0"/>
        <w:jc w:val="both"/>
        <w:rPr>
          <w:b/>
          <w:b/>
        </w:rPr>
      </w:pPr>
      <w:r>
        <w:rPr>
          <w:b/>
        </w:rPr>
        <w:t>Por ser a expressão da verdade, firmamos o presente.</w:t>
      </w:r>
    </w:p>
    <w:p>
      <w:pPr>
        <w:pStyle w:val="Normal"/>
        <w:spacing w:lineRule="auto" w:line="276" w:before="240" w:after="240"/>
        <w:ind w:right="-560" w:hanging="0"/>
        <w:jc w:val="both"/>
        <w:rPr>
          <w:b/>
          <w:b/>
        </w:rPr>
      </w:pPr>
      <w:r>
        <w:rPr>
          <w:b/>
        </w:rPr>
      </w:r>
    </w:p>
    <w:p>
      <w:pPr>
        <w:pStyle w:val="Normal"/>
        <w:spacing w:lineRule="auto" w:line="276" w:before="240" w:after="240"/>
        <w:ind w:right="-560" w:hanging="0"/>
        <w:jc w:val="right"/>
        <w:rPr>
          <w:b/>
          <w:b/>
        </w:rPr>
      </w:pPr>
      <w:r>
        <w:rPr>
          <w:b/>
        </w:rPr>
        <w:t>Local, …...de ............................ de 2021.</w:t>
      </w:r>
    </w:p>
    <w:p>
      <w:pPr>
        <w:pStyle w:val="Normal"/>
        <w:spacing w:before="240" w:after="240"/>
        <w:ind w:right="-560" w:hanging="0"/>
        <w:rPr>
          <w:b/>
          <w:b/>
        </w:rPr>
      </w:pPr>
      <w:r>
        <w:rPr>
          <w:b/>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________________________________</w:t>
      </w:r>
    </w:p>
    <w:p>
      <w:pPr>
        <w:pStyle w:val="Normal"/>
        <w:rPr/>
      </w:pPr>
      <w:r>
        <w:rPr/>
        <w:t xml:space="preserve">                                                     </w:t>
      </w:r>
      <w:r>
        <w:rPr/>
        <w:t>Nome:</w:t>
      </w:r>
    </w:p>
    <w:p>
      <w:pPr>
        <w:pStyle w:val="Normal"/>
        <w:rPr/>
      </w:pPr>
      <w:r>
        <w:rPr/>
        <w:t xml:space="preserve">                                                     </w:t>
      </w:r>
      <w:r>
        <w:rPr/>
        <w:t>CPF:</w:t>
      </w:r>
    </w:p>
    <w:p>
      <w:pPr>
        <w:pStyle w:val="Normal"/>
        <w:ind w:left="1440" w:firstLine="720"/>
        <w:rPr/>
      </w:pPr>
      <w:r>
        <w:rPr/>
        <w:t xml:space="preserve">             </w:t>
      </w:r>
      <w:r>
        <w:rPr/>
        <w:t xml:space="preserve">Cargo:     </w:t>
      </w:r>
    </w:p>
    <w:p>
      <w:pPr>
        <w:pStyle w:val="Normal"/>
        <w:ind w:left="1440" w:firstLine="720"/>
        <w:rPr/>
      </w:pPr>
      <w:r>
        <w:rPr/>
      </w:r>
    </w:p>
    <w:p>
      <w:pPr>
        <w:pStyle w:val="Standard"/>
        <w:jc w:val="both"/>
        <w:rPr>
          <w:rFonts w:ascii="Arial" w:hAnsi="Arial"/>
          <w:sz w:val="20"/>
          <w:szCs w:val="20"/>
        </w:rPr>
      </w:pPr>
      <w:r>
        <w:rPr/>
        <w:t xml:space="preserve">       </w:t>
      </w:r>
    </w:p>
    <w:sectPr>
      <w:headerReference w:type="default" r:id="rId4"/>
      <w:footerReference w:type="default" r:id="rId5"/>
      <w:type w:val="nextPage"/>
      <w:pgSz w:w="11906" w:h="16838"/>
      <w:pgMar w:left="1701" w:right="1134" w:header="709" w:top="1418" w:footer="709" w:bottom="1418"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Termo de Referência - Modelo para Pregão Eletrônico – Compras</w:t>
    </w:r>
  </w:p>
  <w:p>
    <w:pPr>
      <w:pStyle w:val="Normal"/>
      <w:tabs>
        <w:tab w:val="clear" w:pos="720"/>
        <w:tab w:val="center" w:pos="4252" w:leader="none"/>
        <w:tab w:val="right" w:pos="8504" w:leader="none"/>
      </w:tabs>
      <w:rPr>
        <w:color w:val="000000"/>
      </w:rPr>
    </w:pPr>
    <w:r>
      <w:rPr>
        <w:color w:val="000000"/>
        <w:sz w:val="12"/>
        <w:szCs w:val="12"/>
      </w:rPr>
      <w:t>Atualização: Outubro/2020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r>
      <w:rPr/>
      <w:drawing>
        <wp:inline distT="0" distB="0" distL="0" distR="0">
          <wp:extent cx="722630" cy="6477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sz w:val="20"/>
        <w:b w:val="false"/>
        <w:szCs w:val="20"/>
        <w:rFonts w:eastAsia="Arial" w:cs="Arial"/>
        <w:color w:val="000000"/>
      </w:rPr>
    </w:lvl>
    <w:lvl w:ilvl="1">
      <w:start w:val="1"/>
      <w:numFmt w:val="decimal"/>
      <w:lvlText w:val="%1.%2"/>
      <w:lvlJc w:val="left"/>
      <w:pPr>
        <w:tabs>
          <w:tab w:val="num" w:pos="0"/>
        </w:tabs>
        <w:ind w:left="360" w:hanging="360"/>
      </w:pPr>
      <w:rPr>
        <w:sz w:val="20"/>
        <w:i w:val="false"/>
        <w:b/>
        <w:szCs w:val="20"/>
        <w:bCs/>
        <w:rFonts w:eastAsia="Arial" w:cs="Arial"/>
        <w:color w:val="000000"/>
      </w:rPr>
    </w:lvl>
    <w:lvl w:ilvl="2">
      <w:start w:val="1"/>
      <w:numFmt w:val="decimal"/>
      <w:lvlText w:val="%1.%2.%3"/>
      <w:lvlJc w:val="left"/>
      <w:pPr>
        <w:tabs>
          <w:tab w:val="num" w:pos="0"/>
        </w:tabs>
        <w:ind w:left="720" w:hanging="720"/>
      </w:pPr>
      <w:rPr>
        <w:sz w:val="20"/>
        <w:b w:val="false"/>
        <w:szCs w:val="20"/>
        <w:rFonts w:eastAsia="Arial" w:cs="Arial"/>
        <w:color w:val="000000"/>
      </w:rPr>
    </w:lvl>
    <w:lvl w:ilvl="3">
      <w:start w:val="1"/>
      <w:numFmt w:val="decimal"/>
      <w:lvlText w:val="%1.%2.%3.%4"/>
      <w:lvlJc w:val="left"/>
      <w:pPr>
        <w:tabs>
          <w:tab w:val="num" w:pos="0"/>
        </w:tabs>
        <w:ind w:left="720" w:hanging="720"/>
      </w:pPr>
      <w:rPr>
        <w:sz w:val="20"/>
        <w:b w:val="false"/>
        <w:szCs w:val="20"/>
        <w:rFonts w:eastAsia="Arial" w:cs="Arial"/>
      </w:rPr>
    </w:lvl>
    <w:lvl w:ilvl="4">
      <w:start w:val="1"/>
      <w:numFmt w:val="decimal"/>
      <w:lvlText w:val="%1.%2.%3.%4.%5"/>
      <w:lvlJc w:val="left"/>
      <w:pPr>
        <w:tabs>
          <w:tab w:val="num" w:pos="0"/>
        </w:tabs>
        <w:ind w:left="1080" w:hanging="1080"/>
      </w:pPr>
      <w:rPr>
        <w:sz w:val="20"/>
        <w:b w:val="false"/>
        <w:szCs w:val="20"/>
        <w:rFonts w:eastAsia="Arial" w:cs="Arial"/>
      </w:rPr>
    </w:lvl>
    <w:lvl w:ilvl="5">
      <w:start w:val="1"/>
      <w:numFmt w:val="decimal"/>
      <w:lvlText w:val="%1.%2.%3.%4.%5.%6"/>
      <w:lvlJc w:val="left"/>
      <w:pPr>
        <w:tabs>
          <w:tab w:val="num" w:pos="0"/>
        </w:tabs>
        <w:ind w:left="1080" w:hanging="1080"/>
      </w:pPr>
      <w:rPr>
        <w:sz w:val="20"/>
        <w:b w:val="false"/>
        <w:szCs w:val="20"/>
        <w:rFonts w:eastAsia="Arial" w:cs="Arial"/>
      </w:rPr>
    </w:lvl>
    <w:lvl w:ilvl="6">
      <w:start w:val="1"/>
      <w:numFmt w:val="decimal"/>
      <w:lvlText w:val="%1.%2.%3.%4.%5.%6.%7"/>
      <w:lvlJc w:val="left"/>
      <w:pPr>
        <w:tabs>
          <w:tab w:val="num" w:pos="0"/>
        </w:tabs>
        <w:ind w:left="1440" w:hanging="1440"/>
      </w:pPr>
      <w:rPr>
        <w:sz w:val="20"/>
        <w:b w:val="false"/>
        <w:szCs w:val="20"/>
        <w:rFonts w:eastAsia="Arial" w:cs="Arial"/>
      </w:rPr>
    </w:lvl>
    <w:lvl w:ilvl="7">
      <w:start w:val="1"/>
      <w:numFmt w:val="decimal"/>
      <w:lvlText w:val="%1.%2.%3.%4.%5.%6.%7.%8"/>
      <w:lvlJc w:val="left"/>
      <w:pPr>
        <w:tabs>
          <w:tab w:val="num" w:pos="0"/>
        </w:tabs>
        <w:ind w:left="1440" w:hanging="1440"/>
      </w:pPr>
      <w:rPr>
        <w:sz w:val="20"/>
        <w:b w:val="false"/>
        <w:szCs w:val="20"/>
        <w:rFonts w:eastAsia="Arial" w:cs="Arial"/>
      </w:rPr>
    </w:lvl>
    <w:lvl w:ilvl="8">
      <w:start w:val="1"/>
      <w:numFmt w:val="decimal"/>
      <w:lvlText w:val="%1.%2.%3.%4.%5.%6.%7.%8.%9"/>
      <w:lvlJc w:val="left"/>
      <w:pPr>
        <w:tabs>
          <w:tab w:val="num" w:pos="0"/>
        </w:tabs>
        <w:ind w:left="1800" w:hanging="1800"/>
      </w:pPr>
      <w:rPr>
        <w:sz w:val="20"/>
        <w:b w:val="false"/>
        <w:szCs w:val="20"/>
        <w:rFonts w:eastAsia="Arial" w:cs="Arial"/>
      </w:rPr>
    </w:lvl>
  </w:abstractNum>
  <w:abstractNum w:abstractNumId="2">
    <w:lvl w:ilvl="0">
      <w:start w:val="1"/>
      <w:numFmt w:val="decimal"/>
      <w:lvlText w:val="%1."/>
      <w:lvlJc w:val="left"/>
      <w:pPr>
        <w:tabs>
          <w:tab w:val="num" w:pos="0"/>
        </w:tabs>
        <w:ind w:left="360" w:hanging="360"/>
      </w:pPr>
      <w:rPr>
        <w:b/>
        <w:color w:val="000000"/>
      </w:rPr>
    </w:lvl>
    <w:lvl w:ilvl="1">
      <w:start w:val="1"/>
      <w:numFmt w:val="decimal"/>
      <w:lvlText w:val="%1.%2."/>
      <w:lvlJc w:val="left"/>
      <w:pPr>
        <w:tabs>
          <w:tab w:val="num" w:pos="0"/>
        </w:tabs>
        <w:ind w:left="716" w:hanging="432"/>
      </w:pPr>
      <w:rPr>
        <w:dstrike w:val="false"/>
        <w:strike w:val="false"/>
        <w:i w:val="false"/>
        <w:b w:val="false"/>
        <w:color w:val="000000"/>
      </w:rPr>
    </w:lvl>
    <w:lvl w:ilvl="2">
      <w:start w:val="1"/>
      <w:numFmt w:val="decimal"/>
      <w:lvlText w:val="%1.%2.%3."/>
      <w:lvlJc w:val="left"/>
      <w:pPr>
        <w:tabs>
          <w:tab w:val="num" w:pos="0"/>
        </w:tabs>
        <w:ind w:left="930" w:hanging="504"/>
      </w:pPr>
      <w:rPr>
        <w:i w:val="false"/>
        <w:b w:val="false"/>
        <w:color w:val="00000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pt-BR"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before="0" w:after="0"/>
      <w:jc w:val="left"/>
    </w:pPr>
    <w:rPr>
      <w:rFonts w:ascii="Arial" w:hAnsi="Arial" w:eastAsia="Arial" w:cs="Arial"/>
      <w:color w:val="auto"/>
      <w:kern w:val="0"/>
      <w:sz w:val="20"/>
      <w:szCs w:val="20"/>
      <w:lang w:val="pt-BR" w:eastAsia="pt-BR" w:bidi="ar-SA"/>
    </w:rPr>
  </w:style>
  <w:style w:type="paragraph" w:styleId="Ttulo1">
    <w:name w:val="Heading 1"/>
    <w:basedOn w:val="Normal"/>
    <w:next w:val="Normal"/>
    <w:uiPriority w:val="9"/>
    <w:qFormat/>
    <w:pPr>
      <w:keepNext w:val="true"/>
      <w:keepLines/>
      <w:spacing w:before="240" w:after="0"/>
      <w:outlineLvl w:val="0"/>
    </w:pPr>
    <w:rPr>
      <w:rFonts w:ascii="Cambria" w:hAnsi="Cambria" w:eastAsia="Cambria" w:cs="Cambria"/>
      <w:color w:val="366091"/>
      <w:sz w:val="32"/>
      <w:szCs w:val="32"/>
    </w:rPr>
  </w:style>
  <w:style w:type="paragraph" w:styleId="Ttulo2">
    <w:name w:val="Heading 2"/>
    <w:basedOn w:val="Normal"/>
    <w:next w:val="Normal"/>
    <w:uiPriority w:val="9"/>
    <w:semiHidden/>
    <w:unhideWhenUsed/>
    <w:qFormat/>
    <w:pPr>
      <w:keepNext w:val="true"/>
      <w:tabs>
        <w:tab w:val="clear" w:pos="720"/>
        <w:tab w:val="left" w:pos="1701" w:leader="none"/>
      </w:tabs>
      <w:jc w:val="center"/>
      <w:outlineLvl w:val="1"/>
    </w:pPr>
    <w:rPr>
      <w:rFonts w:ascii="Times New Roman" w:hAnsi="Times New Roman" w:eastAsia="Times New Roman" w:cs="Times New Roman"/>
      <w:b/>
      <w:color w:val="000000"/>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LinkdaInternet" w:customStyle="1">
    <w:name w:val="Link da Interne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tandard" w:customStyle="1">
    <w:name w:val="Standard"/>
    <w:qFormat/>
    <w:rsid w:val="00af220b"/>
    <w:pPr>
      <w:widowControl/>
      <w:suppressAutoHyphens w:val="true"/>
      <w:bidi w:val="0"/>
      <w:spacing w:before="0" w:after="0"/>
      <w:jc w:val="left"/>
      <w:textAlignment w:val="baseline"/>
    </w:pPr>
    <w:rPr>
      <w:rFonts w:ascii="Liberation Serif" w:hAnsi="Liberation Serif" w:eastAsia="SimSun" w:cs="Arial"/>
      <w:color w:val="auto"/>
      <w:kern w:val="2"/>
      <w:sz w:val="24"/>
      <w:szCs w:val="24"/>
      <w:lang w:eastAsia="zh-CN" w:bidi="hi-IN" w:val="pt-BR"/>
    </w:rPr>
  </w:style>
  <w:style w:type="paragraph" w:styleId="Contedodatabela" w:customStyle="1">
    <w:name w:val="Conteúdo da tabela"/>
    <w:basedOn w:val="Standard"/>
    <w:qFormat/>
    <w:rsid w:val="00af220b"/>
    <w:pPr>
      <w:suppressLineNumbers/>
    </w:pPr>
    <w:rPr/>
  </w:style>
  <w:style w:type="paragraph" w:styleId="ListParagraph">
    <w:name w:val="List Paragraph"/>
    <w:basedOn w:val="Standard"/>
    <w:qFormat/>
    <w:rsid w:val="00af220b"/>
    <w:pPr>
      <w:ind w:left="720" w:hanging="0"/>
    </w:pPr>
    <w:rPr/>
  </w:style>
  <w:style w:type="paragraph" w:styleId="CabealhoeRodap" w:customStyle="1">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fsertao-pe.edu.br/index.php/licitacoes/pregao-eletronico/pregao-rei?id=11791" TargetMode="External"/><Relationship Id="rId3" Type="http://schemas.openxmlformats.org/officeDocument/2006/relationships/hyperlink" Target="https://www.ifsertao-pe.edu.br/index.php/licitacoes/pregao-eletronico/pregao-rei?id=11791"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D1BF6-5C24-4963-BBE5-F8B3E1BD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Application>LibreOffice/6.4.6.2$Windows_X86_64 LibreOffice_project/0ce51a4fd21bff07a5c061082cc82c5ed232f115</Application>
  <Pages>22</Pages>
  <Words>6572</Words>
  <Characters>35489</Characters>
  <CharactersWithSpaces>41978</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2021-07-14T00:42:00Z</dcterms:created>
  <dc:creator>USUARIO</dc:creator>
  <dc:description/>
  <dc:language>pt-BR</dc:language>
  <cp:lastModifiedBy/>
  <cp:lastPrinted>2021-07-14T13:12:00Z</cp:lastPrinted>
  <dcterms:modified xsi:type="dcterms:W3CDTF">2021-08-30T15:16:46Z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