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Arial"/>
          <w:b/>
          <w:bCs/>
          <w:color w:val="000000"/>
          <w:szCs w:val="20"/>
        </w:rPr>
        <w:t>ANEXO I</w:t>
      </w:r>
    </w:p>
    <w:p>
      <w:pPr>
        <w:pStyle w:val="Normal"/>
        <w:jc w:val="center"/>
        <w:rPr>
          <w:rFonts w:cs="Arial"/>
          <w:b/>
          <w:b/>
          <w:bCs/>
          <w:color w:val="000000"/>
          <w:szCs w:val="20"/>
        </w:rPr>
      </w:pPr>
      <w:r>
        <w:rPr>
          <w:rFonts w:cs="Arial"/>
          <w:b/>
          <w:bCs/>
          <w:color w:val="000000"/>
          <w:szCs w:val="20"/>
        </w:rPr>
        <w:t>MODELO DE TERMO DE REFERÊNCIA</w:t>
      </w:r>
    </w:p>
    <w:p>
      <w:pPr>
        <w:pStyle w:val="Normal"/>
        <w:jc w:val="center"/>
        <w:rPr>
          <w:rFonts w:cs="Arial"/>
          <w:b/>
          <w:b/>
          <w:bCs/>
          <w:color w:val="000000"/>
          <w:szCs w:val="20"/>
        </w:rPr>
      </w:pPr>
      <w:r>
        <w:rPr>
          <w:rFonts w:cs="Arial"/>
          <w:b/>
          <w:bCs/>
          <w:color w:val="000000"/>
          <w:szCs w:val="20"/>
        </w:rPr>
        <w:t xml:space="preserve">PREGÃO ELETRÔNICO </w:t>
      </w:r>
    </w:p>
    <w:p>
      <w:pPr>
        <w:pStyle w:val="Normal"/>
        <w:jc w:val="center"/>
        <w:rPr>
          <w:rFonts w:cs="Arial"/>
          <w:b/>
          <w:b/>
          <w:bCs/>
          <w:iCs/>
          <w:color w:val="000000"/>
          <w:szCs w:val="20"/>
        </w:rPr>
      </w:pPr>
      <w:r>
        <w:rPr>
          <w:rFonts w:cs="Arial"/>
          <w:b/>
          <w:bCs/>
          <w:iCs/>
          <w:color w:val="000000"/>
          <w:szCs w:val="20"/>
        </w:rPr>
        <w:t>(COMPRAS)</w:t>
      </w:r>
    </w:p>
    <w:p>
      <w:pPr>
        <w:pStyle w:val="Normal"/>
        <w:spacing w:lineRule="auto" w:line="276" w:before="0" w:after="120"/>
        <w:ind w:right="-15" w:hanging="0"/>
        <w:jc w:val="center"/>
        <w:rPr>
          <w:rFonts w:cs="Arial"/>
          <w:b/>
          <w:b/>
          <w:bCs/>
          <w:i/>
          <w:i/>
          <w:color w:val="FF0000"/>
          <w:szCs w:val="20"/>
        </w:rPr>
      </w:pPr>
      <w:r>
        <w:rPr>
          <w:rFonts w:cs="Arial"/>
          <w:b/>
          <w:bCs/>
          <w:i/>
          <w:color w:val="FF0000"/>
          <w:szCs w:val="20"/>
        </w:rPr>
      </w:r>
    </w:p>
    <w:p>
      <w:pPr>
        <w:pStyle w:val="Normal"/>
        <w:tabs>
          <w:tab w:val="clear" w:pos="720"/>
          <w:tab w:val="left" w:pos="900" w:leader="none"/>
        </w:tabs>
        <w:spacing w:lineRule="auto" w:line="276" w:before="120" w:after="120"/>
        <w:ind w:left="425" w:hanging="0"/>
        <w:jc w:val="both"/>
        <w:rPr>
          <w:rFonts w:cs="Arial"/>
          <w:b/>
          <w:b/>
          <w:bCs/>
          <w:color w:val="000000"/>
          <w:szCs w:val="20"/>
        </w:rPr>
      </w:pPr>
      <w:r>
        <w:rPr>
          <w:rFonts w:cs="Arial"/>
          <w:b/>
          <w:bCs/>
          <w:color w:val="000000"/>
          <w:szCs w:val="20"/>
          <w:highlight w:val="white"/>
        </w:rPr>
        <w:t>Instituto Federal de Educação, Ciência e Tecnologia do Sertão Pernambucano</w:t>
      </w:r>
    </w:p>
    <w:p>
      <w:pPr>
        <w:pStyle w:val="Normal"/>
        <w:spacing w:lineRule="auto" w:line="276"/>
        <w:jc w:val="center"/>
        <w:rPr>
          <w:rFonts w:cs="Arial"/>
          <w:b/>
          <w:b/>
          <w:bCs/>
          <w:color w:val="000000"/>
          <w:szCs w:val="20"/>
        </w:rPr>
      </w:pPr>
      <w:r>
        <w:rPr>
          <w:rFonts w:cs="Arial"/>
          <w:b/>
          <w:bCs/>
          <w:color w:val="000000"/>
          <w:szCs w:val="20"/>
        </w:rPr>
        <w:t>PREGÃO Nº 12/2021</w:t>
      </w:r>
    </w:p>
    <w:p>
      <w:pPr>
        <w:pStyle w:val="Normal"/>
        <w:spacing w:lineRule="auto" w:line="276"/>
        <w:jc w:val="center"/>
        <w:rPr>
          <w:rFonts w:cs="Arial"/>
          <w:b/>
          <w:b/>
          <w:bCs/>
          <w:color w:val="000000"/>
          <w:szCs w:val="20"/>
        </w:rPr>
      </w:pPr>
      <w:r>
        <w:rPr>
          <w:rFonts w:cs="Arial"/>
          <w:b/>
          <w:bCs/>
          <w:color w:val="000000"/>
          <w:szCs w:val="20"/>
        </w:rPr>
        <w:t>(Processo Administrativo n.°...........)</w:t>
      </w:r>
    </w:p>
    <w:p>
      <w:pPr>
        <w:pStyle w:val="Normal"/>
        <w:spacing w:lineRule="auto" w:line="276" w:before="0" w:after="120"/>
        <w:ind w:right="-15" w:hanging="0"/>
        <w:jc w:val="center"/>
        <w:rPr>
          <w:rFonts w:cs="Arial"/>
          <w:b/>
          <w:b/>
          <w:bCs/>
          <w:color w:val="000000"/>
          <w:szCs w:val="20"/>
        </w:rPr>
      </w:pPr>
      <w:r>
        <w:rPr>
          <w:rFonts w:cs="Arial"/>
          <w:b/>
          <w:bCs/>
          <w:color w:val="000000"/>
          <w:szCs w:val="20"/>
        </w:rPr>
      </w:r>
    </w:p>
    <w:p>
      <w:pPr>
        <w:pStyle w:val="Nivel1"/>
        <w:numPr>
          <w:ilvl w:val="0"/>
          <w:numId w:val="1"/>
        </w:numPr>
        <w:rPr/>
      </w:pPr>
      <w:r>
        <w:rPr/>
        <w:t>DO OBJETO</w:t>
      </w:r>
    </w:p>
    <w:p>
      <w:pPr>
        <w:pStyle w:val="Normal"/>
        <w:numPr>
          <w:ilvl w:val="1"/>
          <w:numId w:val="1"/>
        </w:numPr>
        <w:tabs>
          <w:tab w:val="clear" w:pos="720"/>
          <w:tab w:val="left" w:pos="900" w:leader="none"/>
        </w:tabs>
        <w:spacing w:lineRule="auto" w:line="276" w:before="120" w:after="120"/>
        <w:ind w:left="425" w:hanging="0"/>
        <w:jc w:val="both"/>
        <w:rPr>
          <w:rFonts w:cs="Arial"/>
          <w:color w:val="000000"/>
          <w:szCs w:val="20"/>
        </w:rPr>
      </w:pPr>
      <w:r>
        <w:rPr>
          <w:rFonts w:cs="Arial"/>
          <w:color w:val="000000"/>
          <w:szCs w:val="20"/>
          <w:highlight w:val="white"/>
        </w:rPr>
        <w:t>Aquisição de materiais zootécnicos e medicamentos veterinários para os campi do Instituto Federal de Educação, Ciência e Tecnologia do Sertão Pernambucano</w:t>
      </w:r>
      <w:r>
        <w:rPr>
          <w:rFonts w:cs="Arial"/>
          <w:color w:val="000000"/>
          <w:szCs w:val="20"/>
        </w:rPr>
        <w:t>, conforme condições, quantidades e exigências estabelecidas neste instrumento:</w:t>
      </w:r>
    </w:p>
    <w:p>
      <w:pPr>
        <w:pStyle w:val="ListParagraph"/>
        <w:numPr>
          <w:ilvl w:val="2"/>
          <w:numId w:val="1"/>
        </w:numPr>
        <w:tabs>
          <w:tab w:val="clear" w:pos="720"/>
          <w:tab w:val="left" w:pos="900" w:leader="none"/>
        </w:tabs>
        <w:spacing w:lineRule="auto" w:line="276" w:before="120" w:after="120"/>
        <w:contextualSpacing/>
        <w:jc w:val="both"/>
        <w:rPr>
          <w:rFonts w:cs="Arial"/>
          <w:color w:val="000000"/>
          <w:szCs w:val="20"/>
        </w:rPr>
      </w:pPr>
      <w:r>
        <w:rPr>
          <w:rFonts w:cs="Arial"/>
          <w:color w:val="000000"/>
          <w:szCs w:val="20"/>
        </w:rPr>
        <w:t>Descrição/especificação com suas respectivas unidades de medida, quantidades e valores unitários e totais:</w:t>
      </w:r>
    </w:p>
    <w:tbl>
      <w:tblPr>
        <w:tblW w:w="9570" w:type="dxa"/>
        <w:jc w:val="left"/>
        <w:tblInd w:w="-335" w:type="dxa"/>
        <w:tblCellMar>
          <w:top w:w="55" w:type="dxa"/>
          <w:left w:w="55" w:type="dxa"/>
          <w:bottom w:w="55" w:type="dxa"/>
          <w:right w:w="55" w:type="dxa"/>
        </w:tblCellMar>
        <w:tblLook w:firstRow="0" w:noVBand="0" w:lastRow="0" w:firstColumn="0" w:lastColumn="0" w:noHBand="0" w:val="0000"/>
      </w:tblPr>
      <w:tblGrid>
        <w:gridCol w:w="569"/>
        <w:gridCol w:w="4425"/>
        <w:gridCol w:w="1110"/>
        <w:gridCol w:w="1020"/>
        <w:gridCol w:w="1245"/>
        <w:gridCol w:w="1200"/>
      </w:tblGrid>
      <w:tr>
        <w:trPr>
          <w:trHeight w:val="276" w:hRule="atLeast"/>
        </w:trPr>
        <w:tc>
          <w:tcPr>
            <w:tcW w:w="569" w:type="dxa"/>
            <w:tcBorders>
              <w:top w:val="single" w:sz="4" w:space="0" w:color="000000"/>
              <w:left w:val="single" w:sz="4" w:space="0" w:color="000000"/>
              <w:bottom w:val="single" w:sz="4" w:space="0" w:color="000000"/>
            </w:tcBorders>
            <w:vAlign w:val="center"/>
          </w:tcPr>
          <w:p>
            <w:pPr>
              <w:pStyle w:val="Standard"/>
              <w:jc w:val="both"/>
              <w:rPr>
                <w:rFonts w:ascii="Times New Roman" w:hAnsi="Times New Roman"/>
                <w:b/>
                <w:b/>
                <w:bCs/>
                <w:sz w:val="20"/>
                <w:szCs w:val="20"/>
              </w:rPr>
            </w:pPr>
            <w:r>
              <w:rPr>
                <w:rFonts w:ascii="Times New Roman" w:hAnsi="Times New Roman"/>
                <w:b/>
                <w:bCs/>
                <w:sz w:val="20"/>
                <w:szCs w:val="20"/>
              </w:rPr>
              <w:t>Item</w:t>
            </w:r>
          </w:p>
        </w:tc>
        <w:tc>
          <w:tcPr>
            <w:tcW w:w="4425" w:type="dxa"/>
            <w:tcBorders>
              <w:top w:val="single" w:sz="4" w:space="0" w:color="000000"/>
              <w:left w:val="single" w:sz="4" w:space="0" w:color="000000"/>
              <w:bottom w:val="single" w:sz="4" w:space="0" w:color="000000"/>
            </w:tcBorders>
            <w:vAlign w:val="center"/>
          </w:tcPr>
          <w:p>
            <w:pPr>
              <w:pStyle w:val="Standard"/>
              <w:jc w:val="both"/>
              <w:rPr>
                <w:rFonts w:ascii="Times New Roman" w:hAnsi="Times New Roman"/>
                <w:b/>
                <w:b/>
                <w:bCs/>
                <w:sz w:val="20"/>
                <w:szCs w:val="20"/>
              </w:rPr>
            </w:pPr>
            <w:r>
              <w:rPr>
                <w:rFonts w:ascii="Times New Roman" w:hAnsi="Times New Roman"/>
                <w:b/>
                <w:bCs/>
                <w:sz w:val="20"/>
                <w:szCs w:val="20"/>
              </w:rPr>
              <w:t>Descrição</w:t>
            </w:r>
          </w:p>
        </w:tc>
        <w:tc>
          <w:tcPr>
            <w:tcW w:w="1110" w:type="dxa"/>
            <w:tcBorders>
              <w:top w:val="single" w:sz="4" w:space="0" w:color="000000"/>
              <w:left w:val="single" w:sz="4" w:space="0" w:color="000000"/>
              <w:bottom w:val="single" w:sz="4" w:space="0" w:color="000000"/>
            </w:tcBorders>
            <w:vAlign w:val="center"/>
          </w:tcPr>
          <w:p>
            <w:pPr>
              <w:pStyle w:val="Standard"/>
              <w:jc w:val="both"/>
              <w:rPr>
                <w:rFonts w:ascii="Times New Roman" w:hAnsi="Times New Roman"/>
                <w:b/>
                <w:b/>
                <w:bCs/>
                <w:sz w:val="20"/>
                <w:szCs w:val="20"/>
              </w:rPr>
            </w:pPr>
            <w:r>
              <w:rPr>
                <w:rFonts w:ascii="Times New Roman" w:hAnsi="Times New Roman"/>
                <w:b/>
                <w:bCs/>
                <w:sz w:val="20"/>
                <w:szCs w:val="20"/>
              </w:rPr>
              <w:t>Unidade de Fornecimento</w:t>
            </w:r>
          </w:p>
        </w:tc>
        <w:tc>
          <w:tcPr>
            <w:tcW w:w="1020" w:type="dxa"/>
            <w:tcBorders>
              <w:top w:val="single" w:sz="4" w:space="0" w:color="000000"/>
              <w:left w:val="single" w:sz="4" w:space="0" w:color="000000"/>
              <w:bottom w:val="single" w:sz="4" w:space="0" w:color="000000"/>
            </w:tcBorders>
            <w:vAlign w:val="center"/>
          </w:tcPr>
          <w:p>
            <w:pPr>
              <w:pStyle w:val="Standard"/>
              <w:jc w:val="both"/>
              <w:rPr>
                <w:rFonts w:ascii="Times New Roman" w:hAnsi="Times New Roman"/>
                <w:b/>
                <w:b/>
                <w:bCs/>
                <w:sz w:val="20"/>
                <w:szCs w:val="20"/>
              </w:rPr>
            </w:pPr>
            <w:r>
              <w:rPr>
                <w:rFonts w:ascii="Times New Roman" w:hAnsi="Times New Roman"/>
                <w:b/>
                <w:bCs/>
                <w:sz w:val="20"/>
                <w:szCs w:val="20"/>
              </w:rPr>
              <w:t>Qtd.</w:t>
            </w:r>
          </w:p>
        </w:tc>
        <w:tc>
          <w:tcPr>
            <w:tcW w:w="1245" w:type="dxa"/>
            <w:tcBorders>
              <w:top w:val="single" w:sz="4" w:space="0" w:color="000000"/>
              <w:left w:val="single" w:sz="4" w:space="0" w:color="000000"/>
              <w:bottom w:val="single" w:sz="4" w:space="0" w:color="000000"/>
            </w:tcBorders>
            <w:vAlign w:val="center"/>
          </w:tcPr>
          <w:p>
            <w:pPr>
              <w:pStyle w:val="Standard"/>
              <w:jc w:val="both"/>
              <w:rPr>
                <w:rFonts w:ascii="Times New Roman" w:hAnsi="Times New Roman"/>
                <w:b/>
                <w:b/>
                <w:bCs/>
                <w:sz w:val="20"/>
                <w:szCs w:val="20"/>
              </w:rPr>
            </w:pPr>
            <w:r>
              <w:rPr>
                <w:rFonts w:ascii="Times New Roman" w:hAnsi="Times New Roman"/>
                <w:b/>
                <w:bCs/>
                <w:sz w:val="20"/>
                <w:szCs w:val="20"/>
              </w:rPr>
              <w:t>Preço Unitário</w:t>
            </w:r>
          </w:p>
        </w:tc>
        <w:tc>
          <w:tcPr>
            <w:tcW w:w="1200" w:type="dxa"/>
            <w:tcBorders>
              <w:top w:val="single" w:sz="4" w:space="0" w:color="000000"/>
              <w:left w:val="single" w:sz="4" w:space="0" w:color="000000"/>
              <w:bottom w:val="single" w:sz="4" w:space="0" w:color="000000"/>
              <w:right w:val="single" w:sz="4" w:space="0" w:color="000000"/>
            </w:tcBorders>
            <w:vAlign w:val="bottom"/>
          </w:tcPr>
          <w:p>
            <w:pPr>
              <w:pStyle w:val="Standard"/>
              <w:jc w:val="center"/>
              <w:rPr>
                <w:rFonts w:ascii="Times New Roman" w:hAnsi="Times New Roman"/>
                <w:sz w:val="20"/>
                <w:szCs w:val="20"/>
              </w:rPr>
            </w:pPr>
            <w:r>
              <w:rPr>
                <w:rFonts w:ascii="Times New Roman" w:hAnsi="Times New Roman"/>
                <w:b/>
                <w:sz w:val="20"/>
                <w:szCs w:val="20"/>
              </w:rPr>
              <w:t>Preço Total</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01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Alimentador de abelhas: Alimentador abelhas, material madeira, comprimento 45, largura 36, características adicionais confeccionada em pinho e fundo de eucatex, tipo cobertura.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R$ 75,00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R$ 900,00</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02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Armadilha: Armadilha fotográfica do tipo câmera trap - Funções que permitam fotografar com resolução de 3, 5 e 8 MP e filmar com resolução VGA/QVGA; visão notur</w:t>
            </w:r>
            <w:bookmarkStart w:id="0" w:name="_GoBack"/>
            <w:bookmarkEnd w:id="0"/>
            <w:r>
              <w:rPr>
                <w:rFonts w:ascii="Times New Roman" w:hAnsi="Times New Roman"/>
                <w:b w:val="false"/>
                <w:bCs w:val="false"/>
                <w:sz w:val="21"/>
                <w:szCs w:val="21"/>
              </w:rPr>
              <w:t>na; possibilidade de utilização de 4 ou 8 pilhas; resistência à água; capacidade de cartão de memória de até 32 GB; Sensibilidade PIR com 3 níveis: alto, normal e baixo; cinto para fixação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R$ 999,74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R$ 999,74</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03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Abre boca para bovino: Abre Boca Bovino, fabricado totalmente em aço inox, com 3 divisões: uma superior para colocar o maxilar superior, uma inferior para passar o mandíbula inferior e uma central por onde se entra na boca com a mão para trabalhar. Tamanho: Comp. 35 cm Larg. 14,5 cm</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R$ 115,02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R$ 115,02</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04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ADE injetável: ADE injetável - Produto estéril e pronto para uso. Contém as Vitaminas A, D3 e E em quantidades equilibradas, capazes de atender as exigências orgânicas dos animais, constituindo, pois, eficaz tratamento quer curativo, quer profilático, nas hipovitaminoses A, D e E. O produto com ação emulsificante contribui para melhorar, acelerar e potencializar a absorção das vitaminas A, D e E proporcionando um considerável aumento nas suas reservas hepáticas e disponibilidade orgânica. Cada 100 mL contém: Vitamina A - 25.000.000 UI, Vitamina D3 - 7.000.000 UI, Vitamina E - 7.000 UI, Veículo q.s.p. - 100 mL. Frasco de 250mL O produto deve ter validade mínima de 1 ano na data da entrega.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de 250mL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18</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R$ 17,33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R$ 311,94</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05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Medicamento composto: Medicamento contendo em cada 100 mL contém: Benzilpenicilina procaína 20.000.000 UI; Diidroestreptomicina (sulfato) 8,00 g; Piroxicam 0,60 g; Procaína (cloridrato) 1,73 g e Veículo q.s.p.100,00 mL. Frasco 50 ml. Frasco de 250mL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de 250mL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R$ 30,07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R$ 420,98</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06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Agulha - Tipo 01: Agulha hipodérmica descartável estéril 40x1,2mm. Apresentação: caixa com 100 unidades.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caixa</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19</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R$ 11,12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R$ 211,28</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07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Agulha - Tipo 02: Agulha hipodérmica descartável estéril 25x0,8mm. Apresentação: caixa com 100 unidades.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caixa</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R$ 13,46</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R$ 228,82</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08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Alicate aplicar brinco: Alicate aplicador de brinco universal que pode ser usado com brincos de várias tamanhos e marcas exceto brinco tipo tag - Fabricado em metal de alta resistência; - Vem com agulha extra; - Possui trava lateral que permite manter o alicate fechado quando não está sendo usado facilitando o transporte e armazenamento;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R$ 153,62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R$ 2.611,54</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09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Alicate castrador - Tipo 01: Indicado para Ovinos, Caprinos e Bezerros. Torquês de aço reforçado que interrompe o fluxo sanguíneo aos testículos, cortando os cordões sem danificar o escroto ou bolsa. Fabricado em aço inox cirúrgico de acordo com Padrões Internacionais de Qualidade. Tamanho: 23cm ou 9 polegadas.</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R$ 618,88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R$ 9.902,08</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Alicate Elastrador - Tipo 02: Alicate elastrador para ovinos - Fabricado em aço com acabamento cromado. Seu formato permite esticar os anéis de borracha para poder passar os testículos e soltar o anel sobre o cordão espermático. Uso recomendado em ovinos e caprinos com até 6 meses de vida.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R$ 108,42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R$ 1.734,72</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Anestésico - Tipo 01: Anestésico Midazolan 5mg/mL – Solução Injetável – Ampolas de 3 mL (Midazolam), tipo Dormid ou similar.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Ampola 3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R$ 10,12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R$ 303,60</w:t>
            </w:r>
          </w:p>
        </w:tc>
      </w:tr>
      <w:tr>
        <w:trPr>
          <w:trHeight w:val="537"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Anestésico - Tipo 02: Anestésico dissociativo à base de cloridrato de cetamina base, 1g/10mL, tipo Francotar ou similar.Frasco com 10 mL. Produto em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com 10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29</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R$ 25,63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R$ 743,27</w:t>
            </w:r>
          </w:p>
        </w:tc>
      </w:tr>
      <w:tr>
        <w:trPr>
          <w:trHeight w:val="537"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Anestésico - Tipo 03: Anestésico miorrelaxante para suínos. Cada mL contém: Azaperone 40 mg, veículo q.s.p 1 mL. Frasco com 20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com 20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R$ 70,69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R$ 1.060,35</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Cloridrato de lidocaína: Anestésico local injetável. Cada 100mL contém cloridrato de lidocaína - 2g; epinefrina - 2mg; veículo q.s.p. - 100mL. Produto deve ser entregue no terço inicial de seu prazo de validade. Referência: Anestex FAGRA.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R$ 15,23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R$ 563,51</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Antibiótico - Tipo 01: Antibiótico - Fórmula Cada 1 mL contém  Trimetoprima</w:t>
              <w:br/>
              <w:t xml:space="preserve"> ................................ 80 mg  Sulfadiazina ................................ 400 mg  Veículo  q.s.p.</w:t>
              <w:br/>
              <w:t xml:space="preserve"> ................................ 1 mL Propriedades é uma associação quimioterápica com ação bactericida rápida e potente, a base de trimetoprima e sulfadiazina (cotrimazina), altamente eficaz nos tratamentos das várias infecções bacterianas dos bovinos, suínos, ovinos, caprinos e equinos. frasco contendo 15 mL Prazo de validade: o produto deve ser entregue com validade mínima de um ano da data do vencimento Padrão: Tribrissen ou superior.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15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R$ 14,61</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R$ 219,15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Antibiótico - Tipo 02: Antibiótico - Sulfato de gentamicina 40mg/1ml. Frasco com 10ml. Com validade superior a 18 meses</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R$ 14,90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R$ 178,80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Cloridrato Oxitetraciclina: Cloridrato de Oxitetraciclina 20g/100ml. Frasco com 50ml, com validade superior a 18 meses</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R$ 12,93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R$ 284,46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Antibiótico - Tipo 04: Antibiótico à base de Florfenicol para bovinos e suínos tipo Nuflor ou similar. Indicado para tratamento de doenças respiratórias, diarreias causadas por E. coli, ceratoconjuntivites infecciosas entre outras. Composto por Florfenicol 30g, veículo q.s.p 100 mL. Frasco 30 de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30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R$ 26,50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R$ 265,00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Antibiótico - Tipo 05: Antibiótico injetável à base de Amoxicilina associado ao Ác. Clavulânico tipo Clavacilin ou similar. Cada 100 mL contém: Amoxicilina trihidratada 14g; Clavulanato de potássio 3,5g; Veículo q.s.p 100 mL. Frasco de 50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R$ 96,95</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R$ 1.454,25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Antibiótico - Tipo 06: Antibiótico injetável à base de tilosina Tylan ou similar. Cada 100 mL contém: Tilosina base (como tilosina intermediária), 20g. Veículo q.s.p. 100 mL. Frasco de 50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R$ 24,93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R$ 49,86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Anti-inflamatório - Tipo 01: Anti-inflamatório não esteroidal injetável. Cada 100mL contém flunixina meglumina - 1,66g; veículo q.s.p. - 100mL. Produto deve ser entregue no terço inicial de seu prazo de validade. Referência: Banamine.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R$ 77,12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R$ 2.005,12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Anti-inflamatório - Tipo 02: Anti-inflamatório corticosteroide à base de Dexametasona (2mg/mL), tipo Azium ou similar. Frasco 10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R$ 8,59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R$ 472,45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Anti-inflamatório - Tipo 03: Anti-inflamatório não esteroidal Meloxicam 2% ou similar. Com atividade inibidora seletiva da cicloxigenase-2 (cox-2). Cada 100 mL do produto apresenta: Meloxicam 2g; excipiente q.s.p. 100 mL. Frasco de 50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R$ 94,54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R$ 945,40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Antimicrobiano - Tipo 01: Antimicrobiano intramamário para vacas em lactação tipo Supronal ou similar. Composição: trimetoprima 40 mg, Sulfadiazina 200 mg. Veículo q.s.p. 8g. Registro no MAPA. Uso Veterinário. Apresentação: seringas de 8g.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Seringa 8g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R$ 12,53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R$ 250,60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Antimicrobiano - Tipo 02: Antimicrobiano injetável à base de Ceftiofur tipo Topcef ou similar. Cada frasco de 1g com diluente de 20 mL contém: Ceftiofur sódico 1g. Veículo q.s.p. 20 mL. Frasco com pó estéril contendo 1g do produto e ampola de diluente estéril de 20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contendo 1g do produto e ampola de diluente estéril de 20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R$ 44,58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R$ 178,32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Antimicrobiano - Tipo 03: Antibiótico pó. Cada 100g contém trimetoprim - 2g; sulfametoxazol - 10g; veículo q.s.p. - 100g. Produto deve ser entregue no terço inicial de seu prazo de validade. Referência: Trissulfin.</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Pct 100g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R$ 13,43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R$ 496,91</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Antiparasitário - Tipo 01: Antiparasitário de largo espectro injetável à base de Levamisol, tipo Ripercol 150F L ou similar. Cada 100 mL contém: Fosfato de Levamisol 18,8g. Veículo</w:t>
              <w:br/>
              <w:t xml:space="preserve"> q.s.p. 100 mL. Frasco em vidro âmbar de 250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250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R$ 35,97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R$ 1.151,04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Antiparasitário - Tipo 02: Antiparasitário à base de Sulfóxido de Albendazol associado ao colbalto e ao selênio, uso oral, tipo Agebendazol CO/SE ou similar. Frasco 250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250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R$ 35,01</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R$ 875,25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Antisséptico - Tipo 01: Álcool etílico hidratado 70% (70 INPM). Produto deve ser entregue no terço inicial de seu prazo de validade. Referência: Álcool 70 Prolink.</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49</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R$ 9,23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R$ 452,27</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Antitóxico: Antitóxico - Fórmula: Cada 100 mL contém :  DL-Metionina</w:t>
              <w:br/>
              <w:t xml:space="preserve"> ................................. 10.000 mg Cloreto  de Colina................................. 2.000 mg Nicotinamida</w:t>
              <w:br/>
              <w:t xml:space="preserve"> ..................................1.500 mg Dextrose ..........................................5.000 mg Cloridrato de</w:t>
              <w:br/>
              <w:t xml:space="preserve"> Tiamina (B1)..............1.000 mg Cloridrato de Piridoxina (B6)...........500 mg Cafeína</w:t>
              <w:br/>
              <w:t xml:space="preserve"> ...........................................1.000 mg água destilada q.s.p........................100 mL Indicações:</w:t>
              <w:br/>
              <w:t xml:space="preserve"> Estados tóxicos ou tóxico-infecciosos, auxiliar no tratamento da uremia, no pré e pós- operatório, estados de insuficiência hepática, esteatose hepática, coadjuvante no tratamento das hepatopatias infecciosas. Frasco contendo 100 ml Prazo de validade: o medicamento deve ser entregue com validade mínima de um ano Padrão Hepatoxan ou superior.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R$ 22,84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R$ 319,76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Bebedouro: Bebedouro tipo Chupeta - Corpo e pino em latão laminado, mola em aço inox. Vedação de borracha sintética. Regulador de vazão com três furos para ajustes de diferentes pressões de água. Confeccionada em peça única. Indicado para suportes com conexão de 1/2</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R$ 20,40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R$ 1.020,00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benzoato de estradiol: Substância hormonal Benzoato de Estradiol (1 mg/ml) tipo Gonadiol ou similar. Descrição: Indutor de atresia folicular ou estimulante de ovulação. Apresentação: Frascos de 50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R$ 24,47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R$ 122,35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Lâminas: Caixa contendo 100 lâminas permanentes de zoologia ESPECIFICAÇÕES TÉCNICAS/ DESCRIÇÃO Lâminas de Zoologia 1 Euglena, W.M. 2 Paramecio W.M. 3 Fissão do Paramecio W.M. 4 Conjugação de Paramecio W.M. 5 Hidra com broto W.M. 6 Hidra W.M. 7 Tentáculos de Hidra W.M. 8 Hidra C.S. 9 Hidra L.S. 10 Testículo de Hidra</w:t>
              <w:br/>
              <w:t xml:space="preserve"> C.S. 11 Larva do Bicho da Seda W.M.. 12 Turbelária W.M. 13 Turbelária (Enteron Injection)</w:t>
              <w:br/>
              <w:t xml:space="preserve"> W.M. 14 Turbelária C.S. 15 Dáfnia W.M. 16 Formiga W.M. 17 Guelra de Molusco Sec 18 Corte de Guelra de Peixe 19 Taenia Ovo W.M 20 Taenia W.M. 21 Tênia Sec 22 Tênia Proglótide madura W.M. 23 Ovo de Tênia Nourish W.M. 24 Cisticerco W.M. 25 Cisticerco Scolex W.M. 26 Cisticerco Scolex Sec. 27 Fasciolopsis Buski C.S. 28 Ovos de Ascarídeo</w:t>
              <w:br/>
              <w:t xml:space="preserve"> W.M. 29 Ascarídeo Fêmea C.S 30 Ascarídeo (Macho) C.S 31 Ascarídeo Pharynx C.S 32 Ascarídeo (Fêmea e Macho) C.S. 33 Clonorchis Sinensis Sec 34 Trematoda Sec 35 Hirudo Nipponia C.S. 36 Aphis (pulgão) W.M 37 Antena de Mosca W.M. 38 Minhoca C.S 39 Corte Frontal Medial Minhoca L.S. 40 Minhoca Clitellum C.S. 41 Ovo de Esquitossoma W.M. 42 Esquistossoma Miracidium W.M. 43 Esquistossoma Cercaria W.M. 44 Esquistossoma Macho 45 Esquistossoma Fêmea 46 Esquistossoma Fêmea e Macho copulando. 47 Fígado Infectado por Esquitossoma W.M. 48 Pulmão Infectado p/ Esquitossoma W.M. 49 Ovo de Culex W.M. 50 Culex macho W.M. 51 Culex Fêmea W.M. 52 Boca de Culex Fêmea W.M. 53 Boca de Culex Macho W.M. 54 Pupa de Culex W.M. 55 Larva de Culex W.M 56 Larva  de Anófeles</w:t>
              <w:br/>
              <w:t xml:space="preserve"> W.M. 57 Pupa de Anófeles W.M 58 Boca de mosca caseira W.M 59 Antena mosca caseira</w:t>
              <w:br/>
              <w:t xml:space="preserve"> W.M 60 Perna de mosca caseira W.M. 61 Asa de mosca caseira W.M. 62 Boca de abelha caseira W.M. 63 Perna Frontal de Abelha caseira W.M. 64 Perna do Meio de  Abelha Caseira</w:t>
              <w:br/>
              <w:t xml:space="preserve"> W.M. 65 Perna Traseira de Abelha Caseira W.M. 66 Asa de abelha caseira W.M. 67 Ferrão de abelha W.M. 68 Olho de insecta W.M. 69 Antena de camarão W.M. 70 Boca de borboleta</w:t>
              <w:br/>
              <w:t xml:space="preserve"> W.M. 71 Antena de borboleta 72 Asa de borboleta 73 Perna de borboleta 74 Boca de gafanhoto W.M. 75 Gafanhoto Testiculo W.M 76 Gafanhoto Testis Aquash W.M. 77 Gafanhoto Musculo W.M 78 Antena Gafanhoto W.M 79 Esfregaço de sangue de peixe 80 Esfregaço de sangue de rã 81 Esfregaço de sangue de pombo 82 Esfregaço de sangue de frango 83 Esfregaço de sangue de coelho 84 Cauda de Anfioxo C.S. 85 Corte pela Boca Anfioxo C.S 86 Corte de faringe de Anfioxo C.S. 87 Anfioxo Sec 88 Corte de intestino delgado de rã Sec 89 Corte de pele de rã Sec 90 Pele de rã mostrando células pigmentadas</w:t>
              <w:br/>
              <w:t xml:space="preserve"> W.M. 91 Pancreas de Rã Sec 92 Corte de figado de rã Sec 93 Estágio de segmentação de rã 94 Corte de rim de rã 95 Corte de pumão de rã 96 Arteria de rã; 97. Esperma de rã; 98.Pele de</w:t>
              <w:br/>
              <w:t xml:space="preserve"> cobra W.M.; 99.Escama de peixe W.M.;100. Pena W.M.</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Caixa com 100 lâminas</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R$ 1.214,73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R$ 14.576,76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Caixa: Caixa para coleta de material perfurocortante com características próprias e identificação. Volume 3 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R$ 8,42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R$ 42,10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Caneca: CANECA DE FUNDO PRETO - Os objetivos são: detectar a mastite clínica, estimular a descida do leite e retirar os três primeiros jatos, que apresentam maior concentração bacteriana.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R$ 100,34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R$ 1.505,10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Catéter - Tipo 01: Catéter Fluoroethylene(TEFLON-ETFE). laranja,Embalados individualmente.</w:t>
              <w:br/>
              <w:t xml:space="preserve"> intravenoso Modelo 14G</w:t>
              <w:br/>
              <w:t xml:space="preserve"> estéril x 2",</w:t>
              <w:br/>
              <w:t xml:space="preserve"> feitos canhão</w:t>
              <w:br/>
              <w:t xml:space="preserve"> de Ethylene anatômico</w:t>
              <w:br/>
              <w:t xml:space="preserve"> Tetra-</w:t>
              <w:br/>
              <w:t xml:space="preserve"> de cor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R$ 2,47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R$ 98,80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Catéter - Tipo 02: Catéter intravenoso estéril feitos de EthyleneTetra- Fluoroethylene(TEFLON-ETFE). Modelo18G x 2", canhão anatômico de cor verde, embalados individualmente.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R$ 1,67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R$ 66,80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Clorexidina: Clorexidina 4% Degermante. Frasco de 1L.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R$ 39,78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R$ 1.392,30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Spray - Tipo 01: Spray cicatrizante tópico. Cada 100g contém cloridrato de oxitetraciclina - 6,8g; hidrocortisona - 2,8g; palmitato de vitamina A - 0,01g; excipiente q.s.p. - 100g. Produto deve ser entregue no terço inicial de seu prazo de validade. Referência: Terracam Spray.</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 xml:space="preserve">Unidade </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R$ 24,32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R$ 2.286,08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Complexo vitamínico - Tipo 01: Complexo Vitamínico - Fórmula: Cada 100 ml da solução contém: Sulfato de mefentermina 600,0 mg; Vitamina B2 200,0 mg;  Vitamina B6 500,0 mg; Nicotinamina 10.000,0 mg; Pantotenato de cálcio 500,0 mg; Veículo q.s.p 100,0 ml. Indicações: Pode ser usado em animais mesmo quando não for identificada a causa primária específica. Falta de apetite, fraqueza, fadiga, stress, abatimento, anemia, desnutrição, convalescença de doenças infecciosas e parasitárias. Como tônico reconstituinte e estimulante durante os períodos de gestação e lactação. Para aumentar o tônus muscular e estimular o sistema circulatório, notadamente após manejo dos animais, vacinações, tratamentos, etc, assim como aumentar o rendimento energético dos animais em atividades desportivas. Na época de cobertura, como fortificante. Frascos de 10 ml Prazo de validade: o produto deve ser entregue com prazo de validade de no mínimo um ano Padrão: Potenay injetável ou superior.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Frascos  10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R$ 15,21</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R$ 182,52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Copo anatômico: Copo sanitizante de tetos, tambem conhecido como Aplicador de iodo ( pré-pós dipping) totalmente sem retorno. Produto altamente testado com total aprovação, feito de plásticos de primeira linha com aditivos antialérgicos e protetor contra raios UV . Copo anatômico podendo ser usado também para tratamento de rachaduras no teto.Bocal sem aba, para escoamento da sobra do iodo e facilitando a limpeza, tornando-se mais higiênico.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R$ 28,56</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R$ 428,40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Cuba: Cuba para coloração de lâminas sem berço. Cuba para coloração de até 8 lâminas, sem berço, com tampa. Dimensões: Comprimento - 108mm; Profundidade - 90mm Altura - 70mm.</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R$ 84,42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R$ 253,26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Medicamento - Tipo 01: Diazepam 10 mg/ 2 mL, solução injetável estéril. Apresentação: ampola contendo 2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Ampola 2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R$ 1,65</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R$ 33,00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Medicamento - Tipo 02: Medicamento contendo em cada 100 ml: Diclofenaco sódico 5,00 g; Veículo q.s.p. 100,00 ml. Com atividade antiinflamatória e antipirética, recomendado para todos os casos de dor, febre e/ou inflamação - líquido injetável, frasco 50ml.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R$ 16,14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R$ 274,38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Equipo macro gotas: Equipo macrogotas estéril. PVC flexível; tubo de 1.50m com ponta perfurante e tampa protetora; pinça rolete e corta-fluxo; injetor lateral resistente; conector tipo “Luer” universal; câmara gotejadora macrogotas com respiro de ar, com filtro hidrófobo e bacteriológico; atóxico. Produto deve ser entregue no terço inicial de seu prazo de validade. Referência: Descarpack.</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R$ 1,64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R$ 108,24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Fio cirurgico: Fio cirurgico sintético, nylon preto, inabsorvível de poliamida, mono- filamento, com agulha 3/8 circular triangular cortante, comprimento do fio 45cm, tamanho zero. Caixa com 24 envelopes. Prazo de validade: o produto deve ser entregue com validade mínima de dois anos.</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Caixa com 24 envelopes</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R$ 49,24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R$ 1.083,28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Fio de Nylon - Tipo 01: Fio de nylon monofilamento 2-0 com agulha de aço inoxidável, não absorvível e esterilizado com cobalto 60. Cx. 24 und.</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Cx. 24 und.</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R$ 44,03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R$ 968,66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Flambador: Identificação animal. Flambador a gás. Utilizado para esquentar ferramentas como marcadores a fogo. Ideal para manejar um grande número de amimais de maneira rápida e segura. Em metal resistente, possui mangueira com registro e queimador dentro do fogareiro; sustentado por um tripé e com suporte para 10 cabos de marcadores, sendo 5 de cada lado. Referência: Caçula.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R$ 232,28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R$ 696,84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grosa para casqueio - Tipo 02: Grosa para casquear bovinos e equinos, 14 polegadas, feita com aço laminado a frio com uma camada protetora escura e tratado termicamente para oferecer uma longa durabilidade e um fio consistente. Com uma superfície mais grossa e outra mais fina para acabamentos mais precisos. Dimensões: 42,5cm de comprimento e 4,5cm de largura.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R$ 176,34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R$ 1.939,74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Hormônio - Tipo 01: Base hormonal injetável. Cada 100mL contém cloprostenol sódico (equivalente a 25mg de cloprostenol) - 26,3mg; veículo q.s.p. - 100mL. Produto deve ser entregue no terço inicial de seu prazo de validade. Referência: Sincronize.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R$ 48,12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R$ 336,84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Iodeto de Potássio: Iodeto de Sódio tipo Iodopec ou similar.Fórmula: Iodo metalóide 5,0 mg; Iodeto de sódio 50,0 mg; Veículo aquoso q.s.p 1,0 mL. Apresentação: frasco de100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de100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R$ 49,31</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R$ 246,55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Ivermectina Oral: Ivermectina Oral - Solução Oral pronta para uso específico em ovinos e caprinos, com Ivermectina a 0,08%. Apresentação: Frascos de 250 mL, com solução pronta para uso. Registro no Ministério da Agricultura, Pecuária e Abastecimento: 1288 em 19/12/80</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250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29</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R$ 35,04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R$ 1.016,16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Kit cirúrgico: kit cirúrgico para castração - Kit cirúrgico completo p/ castração em aço inox contendo: 1 Cabo de bisturi nº 4, 3 Pinça hemostática Kelly Reta 16 cm, 3 Pinça hemostática Kelly Curva 16 cm, 1 Porta Agulha Mayo Hegar 16 cm, 1 Pinça Dente de Rato 16 cm, 1</w:t>
              <w:br/>
              <w:t xml:space="preserve"> Pinça Anatômica 16 cm, 4 Pinça Backhaus 13 cm, 1 Tesoura cirúrgica Romba Fina Reta 15</w:t>
              <w:br/>
              <w:t xml:space="preserve"> cm, 1 Afastador Farabeuf (Par), 10 Lâminas de bisturi nº 24, 1 Gancho para castração, 1 Caixa de inox dimensões 20x10x05 cm, com tampa também em aço inox.</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kit</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R$ 615,83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R$ 4.310,81</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Luvas - Tipo 01: Luvas para Palpação transretal, comprimento 80 cm, confeccionada em</w:t>
              <w:br/>
              <w:t xml:space="preserve"> E.V.A. para aperfeiçoamento da sensibilidade. Produto deve ser entregue recém fabricado. Referência: Walmur. Caixa com 100 Und.</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Caixa com 100 Und</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R$ 63,46</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R$ 2.792,24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Mata bicheira - Tipo 01: Spray mata bicheira tópico. Cada 100g contém sulfadiazina de prata - 0,1g; diclorvós - 1,6g; cipermetrina - 0,4g; alumínio 0,5g; veículo q.s.p. - 100g; propelente butano/propano - 80:20. Produto deve ser entregue no terço inicial de seu prazo de validade. Referência: Max Prata.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59</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R$ 19,44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R$ 1.146,96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Mata bicheira - Tipo 02: Mata bicheira em Spray - Fórmula: Cada 100 ml contém: Clorpirifós 0,71 g; Diclorvós (DDVP) 1,15 g; Violeta de genciana 0,17 g; Veículo q.s.p 100,00 ml, Propelente: Butano. Apresentação: Tubo para aerosol com capacidade para 500 ml, contendo 263 g.</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Tubo para aerosol com capacidade para 500 ml, contendo 263 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R$ 9,92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R$ 654,72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Caixa com objetos cirurgicos: Caixa completa para cirurgia de grandes animais c/ 32 itens, contendo: 1 Caixa de inox 32x16x08 cm, com tampa em aço inox, 1 Cabo de bisturi nº 4, 1 Par de Afastador Farabeuf 20cm, 1 Pinça anatômica com dente de rato 18 cm, 1 Pinça anatômica com serrilha 18 cm, 4 Pinça Backaus 13 cm, 2 Pinça Allis 18 cm, 1 Pinça para antissepsia Foester 20cm, 2 Pinça Halsted Mosquito reta 12 cm, 2 Pinça Halsted Mosquito curva 12 cm, 2 Pinça Kelly reta 18 cm, 2 Pinça Kelly curva 18 cm, 1 Pinça Rochester reta 20</w:t>
              <w:br/>
              <w:t xml:space="preserve"> cm, 1 Pinça Rochester curva 20 cm, 2 Pinça Kocher reta 20 cm, 2 Pinça Kocher curva 20 cm,</w:t>
              <w:br/>
              <w:t xml:space="preserve"> 1 Tesoura cirúrgica Romba/Romba/Reta 17 cm, 1 Tesoura cirúrgica Fina/Fina/Reta 17 cm, 1 Tesoura cirúrgica Romba/Fina/Curva 17 cm, 1 Agulha para sutura em S 11cm, 1 Porta Agulha Mayo Hegar 20 cm.</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KIT</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R$ 1.476,30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R$ 8.857,80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Medicamento - Tipo 03: Medicamento Diurético, tipo Zalix ou similar. Cada mL contém: Furosemida 50 mg; Veículo q.s.p. 1mL. Frasco 10mL. Produto em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R$ 35,23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R$ 352,30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Hormônio - Tipo 02: Base hormonal injetável. Cada mL contém ocitocina sintética - 10UI; veículo q.s.p. - 1mL. Produto deve ser entregue no terço inicial de seu prazo de validade. Referência: Placencal.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R$ 5,43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R$ 65,16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Medicamento - Tipo 04: Medicamento veterinário Gentamicina - Descrição: Fórmula: Cada</w:t>
              <w:br/>
              <w:t xml:space="preserve"> 100 mL contém: Gentamicina base (como sulfato) 300,00 mg Cloridrato de bromexina</w:t>
              <w:br/>
              <w:t xml:space="preserve"> ................................... 150,00 mg Cloreto de benzalcônio .................................. 100,00 mg</w:t>
              <w:br/>
              <w:t xml:space="preserve"> Veículo q.s.p.......................................... 100,00 mL Sugestão: Gentrin ou similar Apresentação:</w:t>
              <w:br/>
              <w:t xml:space="preserve"> Frasco plástico com 50 mL.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R$ 28,04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R$ 280,40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 xml:space="preserve">   </w:t>
            </w:r>
            <w:r>
              <w:rPr>
                <w:rFonts w:ascii="Times New Roman" w:hAnsi="Times New Roman"/>
                <w:b w:val="false"/>
                <w:bCs w:val="false"/>
                <w:sz w:val="21"/>
                <w:szCs w:val="21"/>
              </w:rPr>
              <w:t>61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Medicamento - Tipo 05: Antibiótico injetável. Cada frasco-ampola contém 8,6g de pó micronizado; benzilpenicilina benzatina - 3.000.000UI; benzilpenicilina potássica - 1.500.000UI; benzilpenicilina procaína - 1.500.000UI; estreptomicina (sulfato) - 1.250mg; diidroestreptomicina (sulfato) - 1.250mg. Cada frasco de 15mL do diluente estéril contém diclofenaco sódico - 225mg; água para injeção q.s.p. - 15mL. Produto deve ser entregue no terço inicial de seu prazo de validade. Referência: Bravecilin Forte.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Frasco-ampola contém 8,6g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R$ 18,08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R$ 488,16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Placa para teste da mastite (CMT): Placa (raquete) cor branca com 4 cavidades para teste de mastite CMT ("California Mastitis Test").</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R$ 24,47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R$ 244,70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Cicatrizante: Pomada cicatrizante tópica. Cada 50g contém penicilina g benzatina - 1.250.000UI; penicilina g procaína - 1.250.000UI; dihidroestreptomicina (sulfato) - 1,25g; ureia - 2,5g; excipiente q.s.p. - 50g. Produto deve ser entregue no terço inicial de seu prazo de validade. Referência: Ganadol.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Bisnaga 50g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48</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R$ 31,22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R$ 1.498,56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Rinetas para casco: Rinetas para casco. Lâmina em aço carbono de fácil amolação. Mão direita e esquerda (PAR). Tamanho e forma padrão (único).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R$ 102,87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R$ 2.057,40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Xilazina: Anestésico Miorrelaxante contendo Xilazina (0,2g/10 mL), tipo Virbaxyl 2% ou similar. Frasco com 10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R$ 22,97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R$ 689,10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Sedativo: Base sedativa injetável. Cada mL contém acepromazina - 10mg; veículo q.s.p. - 1mL. Produto deve ser entregue no terço inicial de seu prazo de validade. Referência: Acepran 1%.</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20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R$ 31,23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R$ 749,52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Medicamento - Tipo 06: Medicamento terapêutico tópico, com ação sedativa e descongestionante, contendo: Bálsamo do peru, extrato de beladona e óxido de zinco, tipo Calminex ou similar. Bisnaga de 200g.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Bisnaga de 200g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R$ 54,00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R$ 540,00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Seringa - Tipo 01: Seringa descartável estéril 3mL, sem agulha.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450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R$ 0,24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R$ 108,00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Seringa - Tipo 02: Seringa descartável estéril 13x4,5mm, para insulina, capacidade 1 mL, com agulha.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250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R$ 0,30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R$ 75,00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Seringa - Tipo 03: Seringa descartável estéril, capacidade 5mL, sem agulha.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350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R$ 0,42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R$ 147,00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Seringa - Tipo 04: Seringa dosadora automática tipo pistola para vacinação 50 ml. Confeccionada em liga de alumínio, metal cromado, tubo de vidro e borracha neutra, com capacidade para 50 ml. Dosador com regulagem 1 a 5 ml, totalmente desmontável. Sugestão Comercial: Hoppner. Embalagem: estojo de madeira.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R$ 432,88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R$ 24.674,16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Substância hormonal: Substância hormonal sincronizador de cio para bovinos tipo DIB ou similar. Descrição: Dispositivo intravaginal bovino impregnado com 1g do princípio ativo (Progesterona). Apresentação: Caixa contendo 10 dispositivos intravaginais de silicone. O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Caixa com 10 dispositivos intravaginais de silicone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R$ 211,55</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R$ 4.442,55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Solução - Tipo 01: Solução aquosa de clorexidina – antiséptico tópico. Frasco com 1L.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R$ 13,50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R$ 310,50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Solução - Tipo 02: Solução para pós-dipping, iodo pronto para uso, tipo Armor ou Similar. Composição: 5000 ppm de iodo titulável, excipiente qsp 100mL. Com umectante e espessante. Não possuir álcool, ph aproximado 5,6. Peso Específico 1,04g/ml à 25 °C, Indicação: antisséptico para controle e prevenção de mastites. Apresentação: galão de 5 Litros.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Galão de 5 Litros</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R$ 120,48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R$ 843,36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Solução - Tipo 03: Solução para pré-dipping clorhexidina 1% pronto uso. Composição digluconato de clorhexidina 1%, espessantes, tensoativo não iônico. Indicação: antisséptico para controle e prevenção de mastites. Licenciado no MAPA. Apresentação: galão de 5 Litros.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Galão de 5 Litros</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R$ 91,01</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R$ 1.183,13</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Soro - Tipo 01: Soro fisiológico 0,9% - solução injetável 9mg/mL. Cada mL contém cloreto de sódio - 9mg; água para injetáveis q.s.p. - 1mL. Produto deve ser entregue no terço inicial de seu prazo de validade. Referência: Sanobiol Cristália.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de 500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R$ 6,15</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R$ 442,80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Sonda nasogastrica - Tipo 01: Fabricadas em material sintético, flexível e resistente. Diâmetro de 11 mm e comprimento 2,30 m, indicada para potros, bezerros, caprinos e ovinos. Utilizada para aplicação de medicamento ou lavagem estomacal, introduzida via nasal ou oral.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R$ 149,09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R$ 745,45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Sonda nasogastrica - Tipo 02: Fabricadas em material sintético, flexível e resistente. Diâmetro de 16 mm e comprimento 2,45 m, indicada para equinos e bovinos adultos. Utilizada para aplicação de medicamento ou lavagem estomacal, introduzida via nasal ou oral.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R$ 135,03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R$ 675,15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Soro - Tipo 02: Soro Ringer Lactato para terapia de hidratação venosae reposição de eletrólitos. Solução injetável, límpida, estéril e apirogênica. Frasco de 500 ml.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de 500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R$ 4,96</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R$ 59,52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Spray - Tipo 02: Spray tópico para tratamento de lesões podais. Cada 100mL contém</w:t>
              <w:br/>
              <w:t xml:space="preserve"> m.m.d.h. (monometilol dimetil hidantoína) - 27,5g; veículo q.s.p. - 100mL; propelente - butano. Produto deve ser entregue no terço inicial de seu prazo de validade. Referência: Formoped.</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de 40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R$ 53,75</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R$ 376,25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Suplemento vitamínico - Tipo 02: Suplemento vitamínico injetável à base de Cloridrato de Tiamina (Vitamina B1), 10g/100mL, tipo Monovin B1. Frasco 20 mL. Produto deve estar em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de 20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R$ 17,86</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R$ 178,60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Tatuador: Tatuador para identificador animal - Fabricado em alumínio. Modelo com 4 dígitos. Acompanha uma pasta para tatuagem verde 60gr. Tamanho do caracter: 10mm de altura e 8mm de largura. Tamanho da sequência dos 4 dígitos: 5cm.</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R$ 948,92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R$ 4.744,60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Tela: Tela para cercar ovinos e caprinos - Espaçamento entre os fios adequados e 100% eficiente para caprinos, ovinos, avestruzes, emas, animais silvestres e exóticos, além do cercamento de grandes áreas rurais e margens de estradas. As malhas têm um espaçamento menor na parte de baixo. Características Alturas:  1,20m  Galvanização pesada Sem pontos de solda, Rolo de 50 metros</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R$ 624,97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R$ 13.749,34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Tintura: Tintura de iodo 10%. Cada 100mL contém iodo - 9,75g; iodeto de potássio - 2,20g; excipiente q.s.p. - 100mL. Produto deve ser entregue no terço inicial de seu prazo de validade. Referência: tintura de iodo 10% Vansil.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1litro</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19</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R$ 123,25</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R$ 2.341,75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Vacina - Tipo 01: Vacina anti-tetânica tipo Vacina Anti-tetânica Hertape ou similar. Suspensão purificada de Clostridium tetani inativada pela formalina e adicionada de gel de fosfato de alumínio como adjuvante. Uso veterinário para equinos, bovinos, ovinos, caprinos e suínos. Registro no MAPA. 1 caixa contém 20 frascos. Apresentação: doses individuais em frascos de 2,0 ml cada.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 caixa contém 20 frascos</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R$ 201,02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R$ 402,04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Vitamina B12: Vitamina B12 - Fórmula: Cada 100 mL contém: Vitamina B12</w:t>
              <w:br/>
              <w:t xml:space="preserve">    0,10 g  Veículo  q.s.p.  100,00 mL Indicações: Nas anemias macrocíticas e nas produzidas após hemorragias e operações. Como coadjuvante no tratamento de moléstias anemiantes: piroplasmose, anaplasmose. Como coadjuvante no tratamento dos reumatismos e algias. Como revitalizador e restaurador das forças, durante a fase de crescimento, convalescenças, nas perdas de peso e apetite. Frascos com 20 ml Validade: o produto deve ser entregue com validade superior a um ano da data do vencimento Padrão: Monovin B12 ou superior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Frascos com 20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R$ 27,83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R$ 473,11</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Complexo vitamínico - Tipo 02: Vitamina do complexo B (B2, B6, B12) injetável, tipo Polivin B12 ou similar. Cada 100 mL contem: Vitamina B2 0,050g; Vitamina B6 0,500g; Vitamina B12 0,025g; Veículo q.s.p. 100,0 mL. Frascos de 20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Frascos de 20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R$ 10,12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R$ 101,20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Vitamina K: Vitamina K injetável. Cada 100mL contém vitamina K hidrossolúvel - 150mg; veículo q.s.p. - 100mL. Produto deve ser entregue no terço inicial de seu prazo de validade. Referência: Hipovita K.</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Frascos de 20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R$ 9,41</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R$ 112,92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Fio de sutura - Tipo 01: Fio de sutura cirúrgico absorvível. Sem agulha, esterilizado, uso único. Catgut cromado 3. Produto deve ser entregue no terço inicial de seu prazo de validade. Referência: Walmur.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Env. 1 unidade 15 cm</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R$ 81,70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R$ 2.205,90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Fio de sutura - Tipo 02: Fio de sutura cirúrgico absorvível. Sem agulha, esterilizado, uso único. Catgut simples 0. Produto deve ser entregue no terço inicial de seu prazo de validade. Referência: Shalon.</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Env. 1 unidade 15 cm</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R$ 107,64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R$ 753,48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Fio de sutura - Tipo 03: Fio de sutura cirúrgico absorvível. Sem agulha, esterilizado, uso único. Catgut simples 2-0. Produto deve ser entregue no terço inicial de seu prazo de validade. Referência: Suturbras.</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Env. 1 unidade 15 cm</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R$ 105,84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R$ 1.375,92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Agulha para sutura - Tipo 01: Agulha para sutura cirúrgica. Agulha em aço inox, em “S”, cortante/triangular, 11cm. Referência: Brasmed.</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R$ 57,48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R$ 2.069,28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Agulha para sutura - Tipo 02: Agulha para sutura cirúrgica. Agulha em aço inox, 3/8 circular, cortante/triangular, 1,1x50mm. Referência: Cirúrgica Mache.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R$ 4,67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R$ 191,47</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Agulha para sutura - Tipo 03: Agulha para sutura cirúrgica. Agulha em aço inox, 3/8 circular, cortante/triangular, 1,3x70mm. Referência: Cirúrgica Mache.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R$ 4,67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R$ 191,47</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Agulha para sutura - Tipo 04: Agulha para sutura cirúrgica. Agulha em aço inox, 3/8 circular, atraumática/cilíndrica, 0,6x30mm. Referência: Cirúrgica Mache.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R$ 4,67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R$ 191,47</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Agulha para sutura - Tipo 05: Agulha para sutura cirúrgica. Agulha em aço inox, 3/8 circular, atraumática/cilíndrica, 0,7x45mm. Referência: Cirúrgica Mache.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R$ 4,67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R$ 51,37</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Gel condutor: Gel condutor para ultrassonografia. Consistente, inodoro, incolor, isento de substâncias tóxicas/irritantes, de pH neutro. Produto deve ser entregue recém fabricado. Referência: Mercur.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GL 5l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R$ 50,53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R$ 252,65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Compressas - Tipo 01: Compressas de gaze hidrófila não estéril. 13 fios. 100% puro algodão. 15X30cm (aberta). Referência: Cremer.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Pct 500 un</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R$ 49,18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R$ 639,34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Compressas - Tipo 02: Compressas de gaze hidrófila estéril. 13 fios. 100% puro algodão. 20x40cm (aberta). Produto deve ser entregue no terço inicial de seu prazo de validade. Referência: Cremer.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Pct 10un</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R$ 1,56</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R$ 96,72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Luvas - Tipo 02: Luvas de procedimento descartáveis. Luvas de látex para procedimentos não cirúrgicos, tamanho “M”. Produto deve ser entregue no terço inicial de seu prazo de validade. Referência: Descarpack.</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Cx 100und</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R$ 44,34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R$ 2.926,44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Seringa - Tipo 05: Seringa descartável estéril de 10mL. Fabricada em polipropileno incolor. Produto deve ser entregue no terço inicial de seu prazo de validade. Referência: Descarpack.</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400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R$ 0,63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R$ 252,00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Seringa - Tipo 06: Seringa descartável estéril de 20mL. Fabricada em polipropileno incolor. Produto deve ser entregue no terço inicial de seu prazo de validade. Referência: Descarpack.</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200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R$ 0,75</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R$ 150,00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Agulha hipodérmica: Agulha hipodérmica descartável estéril 40x0,8mm. Produto deve ser entregue no terço inicial de seu prazo de validade. Referência: Descarpack.</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Cx 100und</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R$ 0,44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R$ 1,32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Tinta para tatuagem: Identificação animal. Tinta/pasta para tatuagem “verde”. Produto deve ser entregue recém fabricado. Referência: Hauptner.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Bisnaga 60g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R$ 82,17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R$ 903,87</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Identificação animal: Identificação animal. Conjunto de marcadores a fogo. Jogo de números em aço inox, composto por 9 peças (números de 0 a 8) de 3mm de espessura x 4cm de altura (cada); com haste maciça e cabo com acabamento em madeira tratada. Referência: Moreira Pena.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Conj 9 peças</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R$ 413,25</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R$ 826,50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Corda - Tipo 01: Contenção animal. Corda de seda trançada 12mm. Referência: Fuzil.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metro</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450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R$ 3,37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R$ 1.516,50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Corda - Tipo 02: Contenção animal. Corda de seda trançada 18mm. Referência: Fuzil.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metro</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250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R$ 10,60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R$ 2.650,00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Pito/cachimbo: Contenção animal. Pito/cachimbo para imobilização de equinos. Produzido em aço inox, com 30cm de comprimento e com cordão de seda sintética. Referência: Selaria Pinheiro.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R$ 53,33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R$ 106,66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Alicate torquês: Alicate torquês com mola. Produzido em aço inox. 32cm de comprimento, 11cm de largura, 4cm de altura. Referência: Selaria Imperial.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R$ 114,00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R$ 114,00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Detergente: Detergente, composição:detergente industrial, amoniacal, dodecilbenzeno -, aplicação:remoção gordura e sujeira em geral., características adicionais:líquido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GL 5l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R$ 54,66</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R$ 437,28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Algodão: Algodão hidrófilo rolo de 500g. Confeccionado com fibras 100% algodão. Embalado em saco plástico individual.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rolo de 500g.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R$ 16,49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R$ 362,78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Estreptomicina: Estreptomicina, sal químico:sulfato, concentração:5 g, forma farmacêutica:pó liófilo p/ injetável, uso:uso veterinário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R$ 28,98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R$ 608,58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Cefalexina: Antibiótico intramamário à base de Cefalexina sódica com associações, tipo Vetimast Plus VL ou similar. Cada seringa com 10g contém: Cefalexina (Monohidratada); 100,0 mg; Neomicina (sulfato) 100,0 mg; Miconazol (Nitrato) 200,0 mg; Prednisolona (Micronizada) 10,0 mg; Veículo q.s.p. 10,0 g.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seringa com 10g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R$ 11,12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R$ 389,20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Suplemento vitamínico - Tipo 03: Aminoácidos, composição:c/ minerais e vitaminas, composição de aminoácidos:dl-metionina e l-lisina, composição de sais minerais:zinco e enxofre, composição de vitaminas:vits: b2 e b7 (biotina), concentração de aminoácidos:12%</w:t>
              <w:br/>
              <w:t xml:space="preserve"> + 18%, concentração de sais minerais:0,5% + 2%, concentração das vitaminas:0,24% + 0,25%, forma física:pó oral, uso veterinário:uso veterinário.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GL5l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R$ 545,50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R$ 5.455,00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Ivermectina: Ivermectina, concentração: 1%, forma farmacêutica :solução injetável, uso:uso veterinário.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R$ 42,94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R$ 214,70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jc w:val="both"/>
              <w:rPr>
                <w:rFonts w:ascii="Times New Roman" w:hAnsi="Times New Roman"/>
                <w:b w:val="false"/>
                <w:b w:val="false"/>
                <w:bCs w:val="false"/>
                <w:sz w:val="21"/>
                <w:szCs w:val="21"/>
              </w:rPr>
            </w:pPr>
            <w:r>
              <w:rPr>
                <w:rFonts w:ascii="Times New Roman" w:hAnsi="Times New Roman"/>
                <w:b w:val="false"/>
                <w:bCs w:val="false"/>
                <w:sz w:val="21"/>
                <w:szCs w:val="21"/>
              </w:rPr>
              <w:t>116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Antisséptico - Tipo 02: Álcool iodado 0,1%. Concentração: iodo - 0,1%; álcool etílico 50% (v/v). Produto deve ser entregue no terço inicial de seu prazo de validade. Referência: Rioquímica Indústria Farmacêutica.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R$ 27,32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R$ 273,20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Ferro: Antianêmico injetável. Cada 100mL contém ferro elementar (sob forma de hidróxido férrico em complexo dextrano) - 20g; veículo q.s.p. - 100mL. Produto deve ser entregue no terço inicial de seu prazo de validade. Referência: Nutrifer 20%.</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R$ 16,99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R$ 781,54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Descongestionante tópico: Descongestionante hidro-alcoólico analgésico mentolado tópico. Cada 100g contém salicilato de metila - 1g; cânfora - 0,50g; mentol - 0,50g; excipiente q.s.p.</w:t>
              <w:br/>
              <w:t xml:space="preserve"> - 100g. Produto deve ser entregue no terço inicial de seu prazo de validade. Referência: NGF- 5 gel.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Bisnaga 100g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R$ 31,24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R$ 93,72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Desinfetante e desengordurante: Desinfetante e desengordurante de alto rendimento. Cada 100mL contém cloreto de alquil dimetil; benzil amônio (100%) - 30g; poliexietilenonilfenileter - 5g; veículo q.s.p. - 100mL. Produto deve ser entregue no terço inicial de seu prazo de validade. Referência: CB-30 TA.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R$ 45,46</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R$ 90,92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jc w:val="both"/>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jc w:val="both"/>
              <w:rPr>
                <w:rFonts w:ascii="Times New Roman" w:hAnsi="Times New Roman"/>
                <w:b w:val="false"/>
                <w:b w:val="false"/>
                <w:bCs w:val="false"/>
                <w:sz w:val="21"/>
                <w:szCs w:val="21"/>
              </w:rPr>
            </w:pPr>
            <w:r>
              <w:rPr>
                <w:rFonts w:ascii="Times New Roman" w:hAnsi="Times New Roman"/>
                <w:b w:val="false"/>
                <w:bCs w:val="false"/>
                <w:sz w:val="21"/>
                <w:szCs w:val="21"/>
              </w:rPr>
              <w:t>120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Polivitamínico, hidratante, reconstituinte, antitóxico e energético injetável: Polivitamínico, hidratante, reconstituinte, antitóxico e energético injetável. Cada 100mL contém vitamina B1 - 3mg; vitamina B2 fosfato - 20mg; vitamina B6 - 3mg; vitamina B12 - 2mg; nicotimida - 240mg; dextrose anidra - 6.000mg; cloreto de sódio - 400mg; cloreto de potássio - 50mg; cloreto de cálcio 2 H2O - 398mg; cloreto de magnésio 6 H2O - 342mg; DL metionina 600mg; cloreto de colina - 300mg; água para injetáveis q.s.p. - 100mL. Produto deve ser entregue no terço inicial de seu prazo de validade. Referência: Bioxan.</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R$ 17,72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R$ 389,84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Antibiótico injetável - Tipo 01: Antibiótico injetável. Cada 100mL contém oxitetraciclina (dihidratada) - 20g; diclofenaco sódico - 1g; veículo q.s.p. - 100mL. Produto deve ser entregue no terço inicial de seu prazo de validade. Referência: Terramicina mais.</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R$ 18,45</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R$ 369,00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Antibiótico injetável - Tipo 02: Antibiótico injetável. Cada 100mL contém sulfadoxina - 20g; trimetoprim - 4g; piroxicam - 1.2g; veículo q.s.p. - 100mL. Produto deve ser entregue no terço inicial de seu prazo de validade. Referência: Fortgal Plus.</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R$ 38,42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R$ 153,68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Antibiótico pó solúvel: Antibiótico pó solúvel. Cada 100g contém terramicina (cloridrato de oxitetraciclina) - 5,5g; antigerm 77 (cloreto de benzetônio) - 5,5g; veículo q.s.p. - 100g. Produto deve ser entregue no terço inicial de seu prazo de validade. Referência: Terramicina pó solúvel com Antigerm 77.</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Env. 100g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R$ 19,69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R$ 59,07</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Anticoccidiano pó solúvel: Anticoccidiano pó solúvel. Cada 100g contém sulfametazina - 12,5g; sulfaquinoxalina - 5g; bacitracina de zinco - 2,5g. Produto deve ser entregue no terço inicial de seu prazo de validade. Referência: Vetococ.</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Sache 4g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R$ 7,14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R$ 85,68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Suspensão oftálmica estéril: Suspensão oftálmica estéril. Cada mL contém dexametasona micronizada bifásica - 0,001g; sulfato de neomicina (equivalente a 3,5mg da base) - 0,005g; sulfato de polimixina B - 6.000UI; hipromelose (hidroxipropilmetilcelulose) - 0,005g; veículo constituído de cloreto de sódio, polissorbato 20, cloreto de benzalcônio como conservante e água purificada q.s.p. - 1mL. Produto deve ser entregue no terço inicial de seu prazo de validade. Referência: Maxitrol colírio.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R$ 16,59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R$ 66,36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Antitóxico injetável: Antitóxico injetável. Cada 100mL contém acetil DL-metionina - 5g; cloreto de colina - 2g; cloridrato de tiamina - 1g; cloridrato de piridoxina - 0,04g; cloridrato de L-arginina - 0,6g; riboflavina - 0,02g; nicotinamida - 0,5g; pantotenato de cálcio - 0,2g; glicose - 20g; veículo q.s.p. - 100mL. Produto deve ser entregue no terço inicial de seu prazo de validade. Referência: Mercepton.</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R$ 32,73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R$ 130,92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Anti-helmíntico pó solúvel: Anti-helmíntico pó solúvel. Cada 28g contém citrato de piperazina tetrahidratado - 28g (equivalente a 36% de piperazina base). Produto deve ser entregue no terço inicial de seu prazo de validade. Referência: Proverme.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Sache 28g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R$ 6,09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R$ 12,18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Anti-helmíntico pó: Anti-helmíntico pó. Cada 100g contém mebendazole - 5g; veículo q.s.p.</w:t>
              <w:br/>
              <w:t xml:space="preserve"> - 100g. Produto deve ser entregue no terço inicial de seu prazo de validade. Referência: Mebendazole Aves &amp; Suínos.</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Sache 30g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R$ 12,81</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R$ 217,77</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Antiparasitário injetável: Antiparasitário injetável. Cada 100mL contém doramectin - 1g; veículo q.s.p. - 100mL. Produto deve ser entregue no terço inicial de seu prazo de validade. Referência: Dectomax.</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R$ 21,97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R$ 175,76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jc w:val="both"/>
              <w:rPr>
                <w:rFonts w:ascii="Times New Roman" w:hAnsi="Times New Roman"/>
                <w:b w:val="false"/>
                <w:b w:val="false"/>
                <w:bCs w:val="false"/>
                <w:sz w:val="21"/>
                <w:szCs w:val="21"/>
              </w:rPr>
            </w:pPr>
            <w:r>
              <w:rPr>
                <w:rFonts w:ascii="Times New Roman" w:hAnsi="Times New Roman"/>
                <w:b w:val="false"/>
                <w:bCs w:val="false"/>
                <w:sz w:val="21"/>
                <w:szCs w:val="21"/>
              </w:rPr>
              <w:t>130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Ectoparasiticida pour on: Ectoparasiticida pour on. Cada 100mL contém cipermetrina - 5g; clorpirifós - 7g; citronelal - 0,5g; veículo q.s.p. - 100mL. Produto deve ser entregue no terço inicial de seu prazo de validade. Referência: Colosso Pour On.</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R$ 96,23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R$ 192,46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Melhorador de desempenho injetável: Melhorador de desempenho injetável. Cada 100mL contém cianocobalamina (vitamina B12) - 20mg; piridoxina (vitamina B6) - 1,2mg; ácido nicotínico - 1,2mg; ferrodextrano - 0,5mL; veículo q.s.p. - 100mL. Produto deve ser entregue no terço inicial de seu prazo de validade. Referência: Bovifort.</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R$ 17,60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R$ 105,60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Reconstituinte glicêmico e eletrolítico injetável: Reconstituinte glicêmico e eletrolítico injetável. Cada 100mL contém gluconato de cálcio - 25g; cloreto de magnésio - 0,15g; dextrose - 25g; veículo q.s.p. - 100mL. Produto deve ser entregue no terço inicial de seu prazo de validade. Referência: Caldextan</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200ml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R$ 15,09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R$ 60,36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Poliol injetável: Poliol injetável. Cada 100mL contém sorbitol - 50g; veículo q.s.p. - 100mL. Produto deve ser entregue no terço inicial de seu prazo de validade. Referência: Sedacol.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R$ 23,24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R$ 92,96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Base hormonal injetável: Base hormonal injetável. Cada mL contém cipionato de estradiol - 2mg; clorobutanol - 5mg; veículo q.s.p. - 1mL. Produto deve ser entregue no terço inicial de seu prazo de validade. Referência: E.C.P..</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R$ 25,79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R$ 51,58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Alcaloide injetável: Alcaloide injetável. Cada mL contém sulfato de atropina - 10mg; veículo q.s.p. - 1mL. Produto deve ser entregue no terço inicial de seu prazo de validade. Referência: Atropina 1% FAGRA.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20ml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R$ 15,12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R$ 30,24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Solução antisséptica tópica: Solução antisséptica tópica sem possuir efeito irritante, para pré e pós dipping. Cada 100mL contém clorexidina (digluconato) - 0,212g; cloreto de benzalcônio - 0,1g; veículo q.s.p. - 100mL. Produto deve ser entregue no terço inicial de seu prazo de validade. Referência: MASTI CONTROL.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GL 5 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R$ 68,53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R$ 205,59</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Vacina - Tipo 04: Vacina inativada contra clostridioses, para bovinos, ovinos, caprinos e suínos. Suspensão obtida a partir de culturas inativadas de C. chauvoei e toxóides de C. sordellii, C. novyi, C. perfringens B, C e D, C. septicum, C. tetani e C. botulinum tipos C e D, inativados pelo formaldeído e adsorvidos pelo gel de hidróxido de alumínio. Produto deve ser entregue no terço inicial de seu prazo de validade. Referência: Excell 10.</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R$ 31,70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R$ 348,70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Vacina - Tipo 05: Vacina inativada contra a raiva, para bovinos, ovinos, caprinos e equinos. Vírus fixo Pasteur inativado pelo BEI e produzido em cultivo celular. Produto deve ser entregue no terço inicial de seu prazo de validade. Referência: Raivacel MULTI.</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19</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R$ 30,64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R$ 582,16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Vacina - Tipo 06: Vacina inativada contra a febre aftosa, para bovinos e bubalinos. Cada dose contém antígenos purificados inativados e emulsificados O1 Campos, A24 Cruzeiro, C3 Indaial, com adjuvantes óleo mineral e saponina. Produto deve ser entregue no terço inicial de seu prazo de validade. Referência: Febrivac.</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30ml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R$ 23,93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R$ 143,58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140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Vacina - Tipo 07: Vacina atenuada contra a brucelose bovina. Produzida a partir de amostras de Brucella abortus, cepa B-19 (atenuada). Produto liofilizado. Produto deve ser entregue no terço inicial de seu prazo de validade. Referência: Brucelina B19.</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20ml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R$ 31,63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R$ 126,52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141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Inseticida: Pó inseticida. Cada 100g contém propoxur - 1g; excipiente q.s.p. - 100g. Produto deve ser entregue no terço inicial de seu prazo de validade. Referência: Bolfo.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Pct 200g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R$ 28,07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R$ 224,56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142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Ectoparasiticida : Ectoparasiticida para pulverização. Cada L contém deltametrina base - 500g; veículo q.s.p. - 1L. Produto deve ser entregue no terço inicial de seu prazo de validade. Referência: Butox.</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20ml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R$ 6,03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R$ 120,60</w:t>
            </w:r>
          </w:p>
        </w:tc>
      </w:tr>
      <w:tr>
        <w:trPr>
          <w:trHeight w:val="315" w:hRule="atLeast"/>
        </w:trPr>
        <w:tc>
          <w:tcPr>
            <w:tcW w:w="8369" w:type="dxa"/>
            <w:gridSpan w:val="5"/>
            <w:tcBorders>
              <w:left w:val="single" w:sz="4" w:space="0" w:color="000000"/>
              <w:bottom w:val="single" w:sz="4" w:space="0" w:color="000000"/>
            </w:tcBorders>
            <w:vAlign w:val="center"/>
          </w:tcPr>
          <w:p>
            <w:pPr>
              <w:pStyle w:val="Standard"/>
              <w:jc w:val="center"/>
              <w:rPr>
                <w:rFonts w:ascii="Times New Roman" w:hAnsi="Times New Roman"/>
                <w:b/>
                <w:b/>
                <w:bCs/>
                <w:sz w:val="21"/>
                <w:szCs w:val="21"/>
              </w:rPr>
            </w:pPr>
            <w:r>
              <w:rPr>
                <w:rFonts w:ascii="Times New Roman" w:hAnsi="Times New Roman"/>
                <w:b/>
                <w:bCs/>
                <w:sz w:val="21"/>
                <w:szCs w:val="21"/>
              </w:rPr>
              <w:t>Valor Total R$</w:t>
            </w:r>
          </w:p>
        </w:tc>
        <w:tc>
          <w:tcPr>
            <w:tcW w:w="1200" w:type="dxa"/>
            <w:tcBorders>
              <w:left w:val="single" w:sz="4" w:space="0" w:color="000000"/>
              <w:bottom w:val="single" w:sz="4" w:space="0" w:color="000000"/>
              <w:right w:val="single" w:sz="4" w:space="0" w:color="000000"/>
            </w:tcBorders>
            <w:shd w:fill="FFFF00" w:val="clear"/>
            <w:vAlign w:val="bottom"/>
          </w:tcPr>
          <w:p>
            <w:pPr>
              <w:pStyle w:val="Normal"/>
              <w:widowControl/>
              <w:tabs>
                <w:tab w:val="clear" w:pos="720"/>
                <w:tab w:val="left" w:pos="120" w:leader="none"/>
              </w:tabs>
              <w:suppressAutoHyphens w:val="true"/>
              <w:bidi w:val="0"/>
              <w:spacing w:before="0" w:after="0"/>
              <w:ind w:left="-57" w:right="0" w:hanging="0"/>
              <w:jc w:val="right"/>
              <w:rPr>
                <w:rFonts w:ascii="Times New Roman" w:hAnsi="Times New Roman"/>
                <w:sz w:val="21"/>
                <w:szCs w:val="21"/>
              </w:rPr>
            </w:pPr>
            <w:r>
              <w:rPr>
                <w:rFonts w:ascii="Times New Roman" w:hAnsi="Times New Roman"/>
                <w:b/>
                <w:sz w:val="21"/>
                <w:szCs w:val="21"/>
              </w:rPr>
              <w:t xml:space="preserve"> </w:t>
            </w:r>
            <w:r>
              <w:rPr>
                <w:rFonts w:ascii="Times New Roman" w:hAnsi="Times New Roman"/>
                <w:b/>
                <w:sz w:val="21"/>
                <w:szCs w:val="21"/>
              </w:rPr>
              <w:t>169.416,36</w:t>
            </w:r>
          </w:p>
        </w:tc>
      </w:tr>
    </w:tbl>
    <w:p>
      <w:pPr>
        <w:pStyle w:val="Normal"/>
        <w:spacing w:lineRule="auto" w:line="276" w:before="0" w:after="120"/>
        <w:jc w:val="both"/>
        <w:rPr>
          <w:rFonts w:cs="Arial"/>
          <w:b/>
          <w:b/>
          <w:color w:val="FF0000"/>
          <w:szCs w:val="20"/>
        </w:rPr>
      </w:pPr>
      <w:r>
        <w:rPr>
          <w:rFonts w:cs="Arial"/>
          <w:b/>
          <w:color w:val="FF0000"/>
          <w:szCs w:val="20"/>
        </w:rPr>
      </w:r>
    </w:p>
    <w:p>
      <w:pPr>
        <w:pStyle w:val="Normal"/>
        <w:numPr>
          <w:ilvl w:val="2"/>
          <w:numId w:val="1"/>
        </w:numPr>
        <w:tabs>
          <w:tab w:val="clear" w:pos="720"/>
          <w:tab w:val="left" w:pos="8850" w:leader="none"/>
        </w:tabs>
        <w:spacing w:lineRule="auto" w:line="276" w:before="120" w:after="120"/>
        <w:jc w:val="both"/>
        <w:rPr>
          <w:color w:val="000000"/>
        </w:rPr>
      </w:pPr>
      <w:r>
        <w:rPr>
          <w:rFonts w:cs="Arial"/>
          <w:i/>
          <w:color w:val="000000"/>
          <w:szCs w:val="20"/>
        </w:rPr>
        <w:t xml:space="preserve"> </w:t>
      </w:r>
      <w:r>
        <w:rPr>
          <w:rFonts w:cs="Arial"/>
          <w:i/>
          <w:color w:val="000000"/>
          <w:szCs w:val="20"/>
        </w:rPr>
        <w:t>Estimativas de consumo individualizadas, do órgão gerenciador e órgão(s) e entidade(s) participante(s)</w:t>
      </w:r>
      <w:r>
        <w:rPr>
          <w:rFonts w:cs="Arial"/>
          <w:i/>
          <w:color w:val="000000"/>
          <w:szCs w:val="20"/>
        </w:rPr>
        <w:t>.</w:t>
      </w:r>
    </w:p>
    <w:p>
      <w:pPr>
        <w:pStyle w:val="Normal"/>
        <w:spacing w:lineRule="auto" w:line="276" w:before="0" w:after="120"/>
        <w:jc w:val="both"/>
        <w:rPr>
          <w:rFonts w:cs="Arial"/>
          <w:b/>
          <w:b/>
          <w:i/>
          <w:i/>
          <w:color w:val="FF0000"/>
          <w:szCs w:val="20"/>
        </w:rPr>
      </w:pPr>
      <w:r>
        <w:rPr>
          <w:rFonts w:cs="Arial"/>
          <w:b/>
          <w:i/>
          <w:color w:val="FF0000"/>
          <w:szCs w:val="20"/>
        </w:rPr>
      </w:r>
    </w:p>
    <w:tbl>
      <w:tblPr>
        <w:tblW w:w="9870" w:type="dxa"/>
        <w:jc w:val="left"/>
        <w:tblInd w:w="-545" w:type="dxa"/>
        <w:tblCellMar>
          <w:top w:w="55" w:type="dxa"/>
          <w:left w:w="55" w:type="dxa"/>
          <w:bottom w:w="55" w:type="dxa"/>
          <w:right w:w="55" w:type="dxa"/>
        </w:tblCellMar>
      </w:tblPr>
      <w:tblGrid>
        <w:gridCol w:w="628"/>
        <w:gridCol w:w="3227"/>
        <w:gridCol w:w="853"/>
        <w:gridCol w:w="841"/>
        <w:gridCol w:w="915"/>
        <w:gridCol w:w="856"/>
        <w:gridCol w:w="959"/>
        <w:gridCol w:w="856"/>
        <w:gridCol w:w="734"/>
      </w:tblGrid>
      <w:tr>
        <w:trPr>
          <w:trHeight w:val="276" w:hRule="atLeast"/>
        </w:trPr>
        <w:tc>
          <w:tcPr>
            <w:tcW w:w="628" w:type="dxa"/>
            <w:tcBorders>
              <w:top w:val="single" w:sz="4" w:space="0" w:color="000000"/>
              <w:left w:val="single" w:sz="4" w:space="0" w:color="000000"/>
              <w:bottom w:val="single" w:sz="4" w:space="0" w:color="000000"/>
            </w:tcBorders>
            <w:vAlign w:val="center"/>
          </w:tcPr>
          <w:p>
            <w:pPr>
              <w:pStyle w:val="Normal"/>
              <w:jc w:val="center"/>
              <w:rPr>
                <w:rFonts w:ascii="Times New Roman" w:hAnsi="Times New Roman"/>
                <w:b/>
                <w:b/>
                <w:sz w:val="20"/>
                <w:szCs w:val="20"/>
              </w:rPr>
            </w:pPr>
            <w:r>
              <w:rPr>
                <w:rFonts w:ascii="Times New Roman" w:hAnsi="Times New Roman"/>
                <w:b/>
                <w:sz w:val="20"/>
                <w:szCs w:val="20"/>
              </w:rPr>
              <w:t>Item</w:t>
            </w:r>
          </w:p>
        </w:tc>
        <w:tc>
          <w:tcPr>
            <w:tcW w:w="3227" w:type="dxa"/>
            <w:tcBorders>
              <w:top w:val="single" w:sz="4" w:space="0" w:color="000000"/>
              <w:left w:val="single" w:sz="4" w:space="0" w:color="000000"/>
              <w:bottom w:val="single" w:sz="4" w:space="0" w:color="000000"/>
            </w:tcBorders>
            <w:vAlign w:val="center"/>
          </w:tcPr>
          <w:p>
            <w:pPr>
              <w:pStyle w:val="Normal"/>
              <w:jc w:val="center"/>
              <w:rPr>
                <w:rFonts w:ascii="Times New Roman" w:hAnsi="Times New Roman"/>
                <w:b/>
                <w:b/>
                <w:bCs/>
                <w:sz w:val="20"/>
                <w:szCs w:val="20"/>
              </w:rPr>
            </w:pPr>
            <w:r>
              <w:rPr>
                <w:rFonts w:ascii="Times New Roman" w:hAnsi="Times New Roman"/>
                <w:b/>
                <w:bCs/>
                <w:sz w:val="20"/>
                <w:szCs w:val="20"/>
              </w:rPr>
              <w:t>Descrição</w:t>
            </w:r>
          </w:p>
        </w:tc>
        <w:tc>
          <w:tcPr>
            <w:tcW w:w="853" w:type="dxa"/>
            <w:tcBorders>
              <w:top w:val="single" w:sz="4" w:space="0" w:color="000000"/>
              <w:left w:val="single" w:sz="4" w:space="0" w:color="000000"/>
              <w:bottom w:val="single" w:sz="4" w:space="0" w:color="000000"/>
            </w:tcBorders>
            <w:vAlign w:val="center"/>
          </w:tcPr>
          <w:p>
            <w:pPr>
              <w:pStyle w:val="Normal"/>
              <w:jc w:val="center"/>
              <w:rPr>
                <w:rFonts w:ascii="Times New Roman" w:hAnsi="Times New Roman"/>
                <w:b/>
                <w:b/>
                <w:sz w:val="20"/>
                <w:szCs w:val="20"/>
              </w:rPr>
            </w:pPr>
            <w:r>
              <w:rPr>
                <w:rFonts w:ascii="Times New Roman" w:hAnsi="Times New Roman"/>
                <w:b/>
                <w:sz w:val="20"/>
                <w:szCs w:val="20"/>
              </w:rPr>
              <w:t>Unidade</w:t>
            </w:r>
          </w:p>
        </w:tc>
        <w:tc>
          <w:tcPr>
            <w:tcW w:w="8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pPr>
              <w:pStyle w:val="Normal"/>
              <w:jc w:val="center"/>
              <w:rPr>
                <w:rFonts w:ascii="Times New Roman" w:hAnsi="Times New Roman"/>
                <w:b/>
                <w:b/>
                <w:sz w:val="20"/>
                <w:szCs w:val="20"/>
              </w:rPr>
            </w:pPr>
            <w:r>
              <w:rPr>
                <w:rFonts w:ascii="Times New Roman" w:hAnsi="Times New Roman"/>
                <w:b/>
                <w:sz w:val="20"/>
                <w:szCs w:val="20"/>
              </w:rPr>
              <w:t>Ouricuri</w:t>
            </w:r>
          </w:p>
        </w:tc>
        <w:tc>
          <w:tcPr>
            <w:tcW w:w="9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pPr>
              <w:pStyle w:val="Normal"/>
              <w:jc w:val="center"/>
              <w:rPr>
                <w:rFonts w:ascii="Times New Roman" w:hAnsi="Times New Roman"/>
                <w:b/>
                <w:b/>
                <w:sz w:val="20"/>
                <w:szCs w:val="20"/>
              </w:rPr>
            </w:pPr>
            <w:r>
              <w:rPr>
                <w:rFonts w:ascii="Times New Roman" w:hAnsi="Times New Roman"/>
                <w:b/>
                <w:sz w:val="20"/>
                <w:szCs w:val="20"/>
              </w:rPr>
              <w:t xml:space="preserve">Petrolina Zona </w:t>
            </w:r>
          </w:p>
          <w:p>
            <w:pPr>
              <w:pStyle w:val="Normal"/>
              <w:jc w:val="center"/>
              <w:rPr>
                <w:rFonts w:ascii="Times New Roman" w:hAnsi="Times New Roman"/>
                <w:b/>
                <w:b/>
                <w:sz w:val="20"/>
                <w:szCs w:val="20"/>
              </w:rPr>
            </w:pPr>
            <w:r>
              <w:rPr>
                <w:rFonts w:ascii="Times New Roman" w:hAnsi="Times New Roman"/>
                <w:b/>
                <w:sz w:val="20"/>
                <w:szCs w:val="20"/>
              </w:rPr>
              <w:t>Rural</w:t>
            </w:r>
          </w:p>
        </w:tc>
        <w:tc>
          <w:tcPr>
            <w:tcW w:w="856"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pPr>
              <w:pStyle w:val="Normal"/>
              <w:jc w:val="center"/>
              <w:rPr>
                <w:rFonts w:ascii="Times New Roman" w:hAnsi="Times New Roman"/>
                <w:b/>
                <w:b/>
                <w:sz w:val="20"/>
                <w:szCs w:val="20"/>
              </w:rPr>
            </w:pPr>
            <w:r>
              <w:rPr>
                <w:rFonts w:ascii="Times New Roman" w:hAnsi="Times New Roman"/>
                <w:b/>
                <w:sz w:val="20"/>
                <w:szCs w:val="20"/>
              </w:rPr>
              <w:t>Floresta</w:t>
            </w:r>
          </w:p>
        </w:tc>
        <w:tc>
          <w:tcPr>
            <w:tcW w:w="9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pPr>
              <w:pStyle w:val="Normal"/>
              <w:jc w:val="center"/>
              <w:rPr>
                <w:rFonts w:ascii="Times New Roman" w:hAnsi="Times New Roman"/>
                <w:b/>
                <w:b/>
                <w:sz w:val="20"/>
                <w:szCs w:val="20"/>
              </w:rPr>
            </w:pPr>
            <w:r>
              <w:rPr>
                <w:rFonts w:ascii="Times New Roman" w:hAnsi="Times New Roman"/>
                <w:b/>
                <w:sz w:val="20"/>
                <w:szCs w:val="20"/>
              </w:rPr>
              <w:t>Santa Maria da Boa</w:t>
            </w:r>
          </w:p>
          <w:p>
            <w:pPr>
              <w:pStyle w:val="Normal"/>
              <w:jc w:val="center"/>
              <w:rPr>
                <w:rFonts w:ascii="Times New Roman" w:hAnsi="Times New Roman"/>
                <w:b/>
                <w:b/>
                <w:sz w:val="20"/>
                <w:szCs w:val="20"/>
              </w:rPr>
            </w:pPr>
            <w:r>
              <w:rPr>
                <w:rFonts w:ascii="Times New Roman" w:hAnsi="Times New Roman"/>
                <w:b/>
                <w:sz w:val="20"/>
                <w:szCs w:val="20"/>
              </w:rPr>
              <w:t xml:space="preserve"> </w:t>
            </w:r>
            <w:r>
              <w:rPr>
                <w:rFonts w:ascii="Times New Roman" w:hAnsi="Times New Roman"/>
                <w:b/>
                <w:sz w:val="20"/>
                <w:szCs w:val="20"/>
              </w:rPr>
              <w:t>Vista</w:t>
            </w:r>
          </w:p>
        </w:tc>
        <w:tc>
          <w:tcPr>
            <w:tcW w:w="856"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pPr>
              <w:pStyle w:val="Normal"/>
              <w:jc w:val="center"/>
              <w:rPr>
                <w:rFonts w:ascii="Times New Roman" w:hAnsi="Times New Roman"/>
                <w:b/>
                <w:b/>
                <w:sz w:val="20"/>
                <w:szCs w:val="20"/>
              </w:rPr>
            </w:pPr>
            <w:r>
              <w:rPr>
                <w:rFonts w:ascii="Times New Roman" w:hAnsi="Times New Roman"/>
                <w:b/>
                <w:sz w:val="20"/>
                <w:szCs w:val="20"/>
              </w:rPr>
              <w:t>Salgueiro</w:t>
            </w:r>
          </w:p>
        </w:tc>
        <w:tc>
          <w:tcPr>
            <w:tcW w:w="7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b/>
                <w:b/>
                <w:sz w:val="20"/>
                <w:szCs w:val="20"/>
              </w:rPr>
            </w:pPr>
            <w:r>
              <w:rPr>
                <w:rFonts w:ascii="Times New Roman" w:hAnsi="Times New Roman"/>
                <w:b/>
                <w:sz w:val="20"/>
                <w:szCs w:val="20"/>
              </w:rPr>
              <w:t>Qtd.</w:t>
            </w:r>
          </w:p>
          <w:p>
            <w:pPr>
              <w:pStyle w:val="Normal"/>
              <w:jc w:val="center"/>
              <w:rPr>
                <w:rFonts w:ascii="Times New Roman" w:hAnsi="Times New Roman"/>
                <w:b/>
                <w:b/>
                <w:sz w:val="20"/>
                <w:szCs w:val="20"/>
              </w:rPr>
            </w:pPr>
            <w:r>
              <w:rPr>
                <w:rFonts w:ascii="Times New Roman" w:hAnsi="Times New Roman"/>
                <w:b/>
                <w:sz w:val="20"/>
                <w:szCs w:val="20"/>
              </w:rPr>
              <w:t>Total</w:t>
            </w:r>
          </w:p>
        </w:tc>
      </w:tr>
      <w:tr>
        <w:trPr>
          <w:trHeight w:val="300"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01</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Alimentador de abelhas: Alimentador abelhas, material madeira, comprimento 45, largura 36, características adicionais confeccionada em pinho e fundo de eucatex, tipo cobertura.</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12</w:t>
            </w:r>
          </w:p>
        </w:tc>
      </w:tr>
      <w:tr>
        <w:trPr>
          <w:trHeight w:val="300"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02</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Armadilha: Armadilha fotográfica do tipo câmera trap - Funções que permitam fotografar com resolução de 3, 5 e 8 MP e filmar com resolução VGA/QVGA; visão noturna; possibilidade de utilização de 4 ou 8 pilhas; resistência à água; capacidade de cartão de memória de até 32 GB; Sensibilidade PIR com 3 níveis: alto, normal e baixo; cinto para fixação</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w:t>
            </w:r>
          </w:p>
        </w:tc>
      </w:tr>
      <w:tr>
        <w:trPr>
          <w:trHeight w:val="300"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03</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Abre boca para bovino: Abre Boca Bovino, fabricado totalmente em aço inox, com 3 divisões: uma superior para colocar o maxilar superior, uma inferior para passar o mandíbula inferior e uma central por onde se entra na boca com a mão para trabalhar. Tamanho: Comp. 35 cm Larg. 14,5 cm</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w:t>
            </w:r>
          </w:p>
        </w:tc>
      </w:tr>
      <w:tr>
        <w:trPr>
          <w:trHeight w:val="300"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04</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ADE injetável: ADE injetável - Produto estéril e pronto para uso. Contém as Vitaminas A, D3 e E em quantidades equilibradas, capazes de atender as exigências orgânicas dos animais, constituindo, pois, eficaz tratamento quer curativo, quer profilático, nas hipovitaminoses A, D e E. O produto com ação emulsificante contribui para melhorar, acelerar e potencializar a absorção das vitaminas A, D e E proporcionando um considerável aumento nas suas reservas hepáticas e disponibilidade orgânica. Cada 100 mL contém: Vitamina A - 25.000.000 UI, Vitamina D3 - 7.000.000 UI, Vitamina E - 7.000 UI, Veículo q.s.p. - 100 mL. Frasco de 250mL O produto deve ter validade mínima de 1 ano na data da entrega.</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de 250mL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8</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18</w:t>
            </w:r>
          </w:p>
        </w:tc>
      </w:tr>
      <w:tr>
        <w:trPr>
          <w:trHeight w:val="300"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05</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Medicamento composto: Medicamento contendo em cada 100 mL contém: Benzilpenicilina procaína 20.000.000 UI; Diidroestreptomicina (sulfato) 8,00 g; Piroxicam 0,60 g; Procaína (cloridrato) 1,73 g e Veículo q.s.p.100,00 mL. Frasco 50 ml. Frasco de 250mL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de 250mL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14</w:t>
            </w:r>
          </w:p>
        </w:tc>
      </w:tr>
      <w:tr>
        <w:trPr>
          <w:trHeight w:val="300"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06</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Agulha - Tipo 01: Agulha hipodérmica descartável estéril 40x1,2mm. Apresentação: caixa com 100 unidades.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caixa</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19</w:t>
            </w:r>
          </w:p>
        </w:tc>
      </w:tr>
      <w:tr>
        <w:trPr>
          <w:trHeight w:val="300"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07</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Agulha - Tipo 02: Agulha hipodérmica descartável estéril 25x0,8mm. Apresentação: caixa com 100 unidades.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caixa</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17</w:t>
            </w:r>
          </w:p>
        </w:tc>
      </w:tr>
      <w:tr>
        <w:trPr>
          <w:trHeight w:val="300"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08</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Alicate aplicar brinco: Alicate aplicador de brinco universal que pode ser usado com brincos de várias tamanhos e marcas exceto brinco tipo tag - Fabricado em metal de alta resistência; - Vem com agulha extra; - Possui trava lateral que permite manter o alicate fechado quando não está sendo usado facilitando o transporte e armazenamento;</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17</w:t>
            </w:r>
          </w:p>
        </w:tc>
      </w:tr>
      <w:tr>
        <w:trPr>
          <w:trHeight w:val="300"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09</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Alicate castrador - Tipo 01: Indicado para Ovinos, Caprinos e Bezerros. Torquês de aço reforçado que interrompe o fluxo sanguíneo aos testículos, cortando os cordões sem danificar o escroto ou bolsa. Fabricado em aço inox cirúrgico de acordo com Padrões Internacionais de Qualidade. Tamanho: 23cm ou 9 polegadas.</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16</w:t>
            </w:r>
          </w:p>
        </w:tc>
      </w:tr>
      <w:tr>
        <w:trPr>
          <w:trHeight w:val="300"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Alicate Elastrador - Tipo 02: Alicate elastrador para ovinos - Fabricado em aço com acabamento cromado. Seu formato permite esticar os anéis de borracha para poder passar os testículos e soltar o anel sobre o cordão espermático. Uso recomendado em ovinos e caprinos com até 6 meses de vida.</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16</w:t>
            </w:r>
          </w:p>
        </w:tc>
      </w:tr>
      <w:tr>
        <w:trPr>
          <w:trHeight w:val="300"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Anestésico - Tipo 01: Anestésico Midazolan 5mg/mL – Solução Injetável – Ampolas de 3 mL (Midazolam), tipo Dormid ou similar.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Ampola 3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30</w:t>
            </w:r>
          </w:p>
        </w:tc>
      </w:tr>
      <w:tr>
        <w:trPr>
          <w:trHeight w:val="537"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Anestésico - Tipo 02: Anestésico dissociativo à base de cloridrato de cetamina base, 1g/10mL, tipo Francotar ou similar.Frasco com 10 mL. Produto em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com 10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29</w:t>
            </w:r>
          </w:p>
        </w:tc>
      </w:tr>
      <w:tr>
        <w:trPr>
          <w:trHeight w:val="537"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Anestésico - Tipo 03: Anestésico miorrelaxante para suínos. Cada mL contém: Azaperone 40 mg, veículo q.s.p 1 mL. Frasco com 20 mL.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com 20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15</w:t>
            </w:r>
          </w:p>
        </w:tc>
      </w:tr>
      <w:tr>
        <w:trPr>
          <w:trHeight w:val="300"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14</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Cloridrato de lidocaína: Anestésico local injetável. Cada 100mL contém cloridrato de lidocaína - 2g; epinefrina - 2mg; veículo q.s.p. - 100mL. Produto deve ser entregue no terço inicial de seu prazo de validade. Referência: Anestex FAGRA.</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37</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15</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Antibiótico - Tipo 01: Antibiótico - Fórmula Cada 1 mL contém  Trimetoprima</w:t>
              <w:br/>
              <w:t xml:space="preserve"> ................................ 80 mg  Sulfadiazina ................................ 400 mg  Veículo  q.s.p.</w:t>
              <w:br/>
              <w:t xml:space="preserve"> ................................ 1 mL Propriedades é uma associação quimioterápica com ação bactericida rápida e potente, a base de trimetoprima e sulfadiazina (cotrimazina), altamente eficaz nos tratamentos das várias infecções bacterianas dos bovinos, suínos, ovinos, caprinos e equinos. frasco contendo 15 mL Prazo de validade: o produto deve ser entregue com validade mínima de um ano da data do vencimento Padrão: Tribrissen ou superior.</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15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15</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16</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Antibiótico - Tipo 02: Antibiótico - Sulfato de gentamicina 40mg/1ml. Frasco com 10ml. Com validade superior a 18 meses</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17</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Cloridrato Oxitetraciclina: Cloridrato de Oxitetraciclina 20g/100ml. Frasco com 50ml, com validade superior a 18 meses</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18</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Antibiótico - Tipo 04: Antibiótico à base de Florfenicol para bovinos e suínos tipo Nuflor ou similar. Indicado para tratamento de doenças respiratórias, diarreias causadas por E. coli, ceratoconjuntivites infecciosas entre outras. Composto por Florfenicol 30g, veículo q.s.p 100 mL. Frasco 30 de mL.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30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19</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Antibiótico - Tipo 05: Antibiótico injetável à base de Amoxicilina associado ao Ác. Clavulânico tipo Clavacilin ou similar. Cada 100 mL contém: Amoxicilina trihidratada 14g; Clavulanato de potássio 3,5g; Veículo q.s.p 100 mL. Frasco de 50 mL.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15</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20</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Antibiótico - Tipo 06: Antibiótico injetável à base de tilosina Tylan ou similar. Cada 100 mL contém: Tilosina base (como tilosina intermediária), 20g. Veículo q.s.p. 100 mL. Frasco de 50 mL.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21</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Anti-inflamatório - Tipo 01: Anti-inflamatório não esteroidal injetável. Cada 100mL contém flunixina meglumina - 1,66g; veículo q.s.p. - 100mL. Produto deve ser entregue no terço inicial de seu prazo de validade. Referência: Banamine.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26</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22</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Anti-inflamatório - Tipo 02: Anti-inflamatório corticosteroide à base de Dexametasona (2mg/mL), tipo Azium ou similar. Frasco 10 mL.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55</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23</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Anti-inflamatório - Tipo 03: Anti-inflamatório não esteroidal Meloxicam 2% ou similar. Com atividade inibidora seletiva da cicloxigenase-2 (cox-2). Cada 100 mL do produto apresenta: Meloxicam 2g; excipiente q.s.p. 100 mL. Frasco de 50 mL.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24</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Antimicrobiano - Tipo 01: Antimicrobiano intramamário para vacas em lactação tipo Supronal ou similar. Composição: trimetoprima 40 mg, Sulfadiazina 200 mg. Veículo q.s.p. 8g. Registro no MAPA. Uso Veterinário. Apresentação: seringas de 8g.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Seringa 8g</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25</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Antimicrobiano - Tipo 02: Antimicrobiano injetável à base de Ceftiofur tipo Topcef ou similar. Cada frasco de 1g com diluente de 20 mL contém: Ceftiofur sódico 1g. Veículo q.s.p. 20 mL. Frasco com pó estéril contendo 1g do produto e ampola de diluente estéril de 20 mL.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contendo 1g do produto e ampola de diluente estéril de 20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26</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Antimicrobiano - Tipo 03: Antibiótico pó. Cada 100g contém trimetoprim - 2g; sulfametoxazol - 10g; veículo q.s.p. - 100g. Produto deve ser entregue no terço inicial de seu prazo de validade. Referência: Trissulfin.</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Pct 100g</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37</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27</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Antiparasitário - Tipo 01: Antiparasitário de largo espectro injetável à base de Levamisol, tipo Ripercol 150F L ou similar. Cada 100 mL contém: Fosfato de Levamisol 18,8g. Veículo</w:t>
              <w:br/>
              <w:t xml:space="preserve"> q.s.p. 100 mL. Frasco em vidro âmbar de 250 mL.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250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28</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Antiparasitário - Tipo 02: Antiparasitário à base de Sulfóxido de Albendazol associado ao colbalto e ao selênio, uso oral, tipo Agebendazol CO/SE ou similar. Frasco 250 mL.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250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25</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29</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Antisséptico - Tipo 01: Álcool etílico hidratado 70% (70 INPM). Produto deve ser entregue no terço inicial de seu prazo de validade. Referência: Álcool 70 Prolink.</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49</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30</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Antitóxico: Antitóxico - Fórmula: Cada 100 mL contém :  DL-Metionina</w:t>
              <w:br/>
              <w:t xml:space="preserve"> ................................. 10.000 mg Cloreto  de Colina................................. 2.000 mg Nicotinamida</w:t>
              <w:br/>
              <w:t xml:space="preserve"> ..................................1.500 mg Dextrose ..........................................5.000 mg Cloridrato de</w:t>
              <w:br/>
              <w:t xml:space="preserve"> Tiamina (B1)..............1.000 mg Cloridrato de Piridoxina (B6)...........500 mg Cafeína</w:t>
              <w:br/>
              <w:t xml:space="preserve"> ...........................................1.000 mg água destilada q.s.p........................100 mL Indicações:</w:t>
              <w:br/>
              <w:t xml:space="preserve"> Estados tóxicos ou tóxico-infecciosos, auxiliar no tratamento da uremia, no pré e pós- operatório, estados de insuficiência hepática, esteatose hepática, coadjuvante no tratamento das hepatopatias infecciosas. Frasco contendo 100 ml Prazo de validade: o medicamento deve ser entregue com validade mínima de um ano Padrão Hepatoxan ou superior.</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14</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31</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Bebedouro: Bebedouro tipo Chupeta - Corpo e pino em latão laminado, mola em aço inox. Vedação de borracha sintética. Regulador de vazão com três furos para ajustes de diferentes pressões de água. Confeccionada em peça única. Indicado para suportes com conexão de 1/2</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32</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benzoato de estradiol: Substância hormonal Benzoato de Estradiol (1 mg/ml) tipo Gonadiol ou similar. Descrição: Indutor de atresia folicular ou estimulante de ovulação. Apresentação: Frascos de 50 ml.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33</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Lâminas: Caixa contendo 100 lâminas permanentes de zoologia ESPECIFICAÇÕES TÉCNICAS/ DESCRIÇÃO Lâminas de Zoologia 1 Euglena, W.M. 2 Paramecio W.M. 3 Fissão do Paramecio W.M. 4 Conjugação de Paramecio W.M. 5 Hidra com broto W.M. 6 Hidra W.M. 7 Tentáculos de Hidra W.M. 8 Hidra C.S. 9 Hidra L.S. 10 Testículo de Hidra</w:t>
              <w:br/>
              <w:t xml:space="preserve"> C.S. 11 Larva do Bicho da Seda W.M.. 12 Turbelária W.M. 13 Turbelária (Enteron Injection)</w:t>
              <w:br/>
              <w:t xml:space="preserve"> W.M. 14 Turbelária C.S. 15 Dáfnia W.M. 16 Formiga W.M. 17 Guelra de Molusco Sec 18 Corte de Guelra de Peixe 19 Taenia Ovo W.M 20 Taenia W.M. 21 Tênia Sec 22 Tênia Proglótide madura W.M. 23 Ovo de Tênia Nourish W.M. 24 Cisticerco W.M. 25 Cisticerco Scolex W.M. 26 Cisticerco Scolex Sec. 27 Fasciolopsis Buski C.S. 28 Ovos de Ascarídeo</w:t>
              <w:br/>
              <w:t xml:space="preserve"> W.M. 29 Ascarídeo Fêmea C.S 30 Ascarídeo (Macho) C.S 31 Ascarídeo Pharynx C.S 32 Ascarídeo (Fêmea e Macho) C.S. 33 Clonorchis Sinensis Sec 34 Trematoda Sec 35 Hirudo Nipponia C.S. 36 Aphis (pulgão) W.M 37 Antena de Mosca W.M. 38 Minhoca C.S 39 Corte Frontal Medial Minhoca L.S. 40 Minhoca Clitellum C.S. 41 Ovo de Esquitossoma W.M. 42 Esquistossoma Miracidium W.M. 43 Esquistossoma Cercaria W.M. 44 Esquistossoma Macho 45 Esquistossoma Fêmea 46 Esquistossoma Fêmea e Macho copulando. 47 Fígado Infectado por Esquitossoma W.M. 48 Pulmão Infectado p/ Esquitossoma W.M. 49 Ovo de Culex W.M. 50 Culex macho W.M. 51 Culex Fêmea W.M. 52 Boca de Culex Fêmea W.M. 53 Boca de Culex Macho W.M. 54 Pupa de Culex W.M. 55 Larva de Culex W.M 56 Larva  de Anófeles</w:t>
              <w:br/>
              <w:t xml:space="preserve"> W.M. 57 Pupa de Anófeles W.M 58 Boca de mosca caseira W.M 59 Antena mosca caseira</w:t>
              <w:br/>
              <w:t xml:space="preserve"> W.M 60 Perna de mosca caseira W.M. 61 Asa de mosca caseira W.M. 62 Boca de abelha caseira W.M. 63 Perna Frontal de Abelha caseira W.M. 64 Perna do Meio de  Abelha Caseira</w:t>
              <w:br/>
              <w:t xml:space="preserve"> W.M. 65 Perna Traseira de Abelha Caseira W.M. 66 Asa de abelha caseira W.M. 67 Ferrão de abelha W.M. 68 Olho de insecta W.M. 69 Antena de camarão W.M. 70 Boca de borboleta</w:t>
              <w:br/>
              <w:t xml:space="preserve"> W.M. 71 Antena de borboleta 72 Asa de borboleta 73 Perna de borboleta 74 Boca de gafanhoto W.M. 75 Gafanhoto Testiculo W.M 76 Gafanhoto Testis Aquash W.M. 77 Gafanhoto Musculo W.M 78 Antena Gafanhoto W.M 79 Esfregaço de sangue de peixe 80 Esfregaço de sangue de rã 81 Esfregaço de sangue de pombo 82 Esfregaço de sangue de frango 83 Esfregaço de sangue de coelho 84 Cauda de Anfioxo C.S. 85 Corte pela Boca Anfioxo C.S 86 Corte de faringe de Anfioxo C.S. 87 Anfioxo Sec 88 Corte de intestino delgado de rã Sec 89 Corte de pele de rã Sec 90 Pele de rã mostrando células pigmentadas</w:t>
              <w:br/>
              <w:t xml:space="preserve"> W.M. 91 Pancreas de Rã Sec 92 Corte de figado de rã Sec 93 Estágio de segmentação de rã 94 Corte de rim de rã 95 Corte de pumão de rã 96 Arteria de rã; 97. Esperma de rã; 98.Pele de</w:t>
              <w:br/>
              <w:t xml:space="preserve"> cobra W.M.; 99.Escama de peixe W.M.;100. Pena W.M.</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Caixa com 100 lâminas</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34</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Caixa: Caixa para coleta de material perfurocortante com características próprias e identificação. Volume 3 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35</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Caneca: CANECA DE FUNDO PRETO - Os objetivos são: detectar a mastite clínica, estimular a descida do leite e retirar os três primeiros jatos, que apresentam maior concentração bacteriana.</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15</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36</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Catéter - Tipo 01: Catéter Fluoroethylene(TEFLON-ETFE). laranja,Embalados individualmente.</w:t>
              <w:br/>
              <w:t xml:space="preserve"> intravenoso Modelo 14G</w:t>
              <w:br/>
              <w:t xml:space="preserve"> estéril x 2",</w:t>
              <w:br/>
              <w:t xml:space="preserve"> feitos canhão</w:t>
              <w:br/>
              <w:t xml:space="preserve"> de Ethylene anatômico</w:t>
              <w:br/>
              <w:t xml:space="preserve"> Tetra-</w:t>
              <w:br/>
              <w:t xml:space="preserve"> de cor</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37</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Catéter - Tipo 02: Catéter intravenoso estéril feitos de EthyleneTetra- Fluoroethylene(TEFLON-ETFE). Modelo18G x 2", canhão anatômico de cor verde, embalados individualmente.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38</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Clorexidina: Clorexidina 4% Degermante. Frasco de 1L.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35</w:t>
            </w:r>
          </w:p>
        </w:tc>
      </w:tr>
      <w:tr>
        <w:trPr>
          <w:trHeight w:val="315" w:hRule="atLeast"/>
        </w:trPr>
        <w:tc>
          <w:tcPr>
            <w:tcW w:w="628" w:type="dxa"/>
            <w:tcBorders>
              <w:left w:val="single" w:sz="4" w:space="0" w:color="000000"/>
              <w:bottom w:val="single" w:sz="4" w:space="0" w:color="000000"/>
            </w:tcBorders>
          </w:tcPr>
          <w:p>
            <w:pPr>
              <w:pStyle w:val="Normal"/>
              <w:jc w:val="both"/>
              <w:rPr/>
            </w:pPr>
            <w:r>
              <w:rPr>
                <w:rStyle w:val="Fontepargpadro"/>
                <w:rFonts w:ascii="Times New Roman" w:hAnsi="Times New Roman"/>
                <w:sz w:val="20"/>
                <w:szCs w:val="20"/>
              </w:rPr>
              <w:t>39</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Spray - Tipo 01: Spray cicatrizante tópico. Cada 100g contém cloridrato de oxitetraciclina – 6,8g; hidrocortisona - 2,8g; palmitato de vitamina A - 0,01g; excipiente q.s.p. - 100g. Produto deve ser entregue no terço inicial de seu prazo de validade. Referência: Terracam Spray.</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 xml:space="preserve">Unidade </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8</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94</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40</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Complexo vitamínico - Tipo 01: Complexo Vitamínico - Fórmula: Cada 100 ml da solução contém: Sulfato de mefentermina 600,0 mg; Vitamina B2 200,0 mg;  Vitamina B6 500,0 mg; Nicotinamina 10.000,0 mg; Pantotenato de cálcio 500,0 mg; Veículo q.s.p 100,0 ml. Indicações: Pode ser usado em animais mesmo quando não for identificada a causa primária específica. Falta de apetite, fraqueza, fadiga, stress, abatimento, anemia, desnutrição, convalescença de doenças infecciosas e parasitárias. Como tônico reconstituinte e estimulante durante os períodos de gestação e lactação. Para aumentar o tônus muscular e estimular o sistema circulatório, notadamente após manejo dos animais, vacinações, tratamentos, etc, assim como aumentar o rendimento energético dos animais em atividades desportivas. Na época de cobertura, como fortificante. Frascos de 10 ml Prazo de validade: o produto deve ser entregue com prazo de validade de no mínimo um ano Padrão: Potenay injetável ou superior.</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Frascos  10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41</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Copo anatômico: Copo sanitizante de tetos, tambem conhecido como Aplicador de iodo ( pré-pós dipping) totalmente sem retorno. Produto altamente testado com total aprovação, feito de plásticos de primeira linha com aditivos antialérgicos e protetor contra raios UV . Copo anatômico podendo ser usado também para tratamento de rachaduras no teto.Bocal sem aba, para escoamento da sobra do iodo e facilitando a limpeza, tornando-se mais higiênico.</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15</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42</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Cuba: Cuba para coloração de lâminas sem berço. Cuba para coloração de até 8 lâminas, sem berço, com tampa. Dimensões: Comprimento - 108mm; Profundidade - 90mm Altura - 70mm.</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43</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Medicamento - Tipo 01: Diazepam 10 mg/ 2 mL, solução injetável estéril. Apresentação: ampola contendo 2 mL.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Ampola 2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44</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Medicamento - Tipo 02: Medicamento contendo em cada 100 ml: Diclofenaco sódico 5,00 g; Veículo q.s.p. 100,00 ml. Com atividade antiinflamatória e antipirética, recomendado para todos os casos de dor, febre e/ou inflamação - líquido injetável, frasco 50ml.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17</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45</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Equipo macro gotas: Equipo macrogotas estéril. PVC flexível; tubo de 1.50m com ponta perfurante e tampa protetora; pinça rolete e corta-fluxo; injetor lateral resistente; conector tipo “Luer” universal; câmara gotejadora macrogotas com respiro de ar, com filtro hidrófobo e bacteriológico; atóxico. Produto deve ser entregue no terço inicial de seu prazo de validade. Referência: Descarpack.</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66</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46</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Fio cirurgico: Fio cirurgico sintético, nylon preto, inabsorvível de poliamida, mono- filamento, com agulha 3/8 circular triangular cortante, comprimento do fio 45cm, tamanho zero. Caixa com 24 envelopes. Prazo de validade: o produto deve ser entregue com validade mínima de dois anos.</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Caixa com 24 envelopes</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47</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Fio de Nylon - Tipo 01: Fio de nylon monofilamento 2-0 com agulha de aço inoxidável, não absorvível e esterilizado com cobalto 60. Cx. 24 und.</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Cx. 24 und.</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48</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Flambador: Identificação animal. Flambador a gás. Utilizado para esquentar ferramentas como marcadores a fogo. Ideal para manejar um grande número de amimais de maneira rápida e segura. Em metal resistente, possui mangueira com registro e queimador dentro do fogareiro; sustentado por um tripé e com suporte para 10 cabos de marcadores, sendo 5 de cada lado. Referência: Caçula.</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49</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grosa para casqueio - Tipo 02: Grosa para casquear bovinos e equinos, 14 polegadas, feita com aço laminado a frio com uma camada protetora escura e tratado termicamente para oferecer uma longa durabilidade e um fio consistente. Com uma superfície mais grossa e outra mais fina para acabamentos mais precisos. Dimensões: 42,5cm de comprimento e 4,5cm de largura.</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11</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50</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Hormônio - Tipo 01: Base hormonal injetável. Cada 100mL contém cloprostenol sódico (equivalente a 25mg de cloprostenol) - 26,3mg; veículo q.s.p. - 100mL. Produto deve ser entregue no terço inicial de seu prazo de validade. Referência: Sincronize.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7</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51</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Iodeto de Potássio: Iodeto de Sódio tipo Iodopec ou similar.Fórmula: Iodo metalóide 5,0 mg; Iodeto de sódio 50,0 mg; Veículo aquoso q.s.p 1,0 mL. Apresentação: frasco de100 mL.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de100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52</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Ivermectina Oral: Ivermectina Oral - Solução Oral pronta para uso específico em ovinos e caprinos, com Ivermectina a 0,08%. Apresentação: Frascos de 250 mL, com solução pronta para uso. Registro no Ministério da Agricultura, Pecuária e Abastecimento: 1288 em 19/12/80</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250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29</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53</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Kit cirúrgico: kit cirúrgico para castração - Kit cirúrgico completo p/ castração em aço inox contendo: 1 Cabo de bisturi nº 4, 3 Pinça hemostática Kelly Reta 16 cm, 3 Pinça hemostática Kelly Curva 16 cm, 1 Porta Agulha Mayo Hegar 16 cm, 1 Pinça Dente de Rato 16 cm, 1</w:t>
              <w:br/>
              <w:t xml:space="preserve"> Pinça Anatômica 16 cm, 4 Pinça Backhaus 13 cm, 1 Tesoura cirúrgica Romba Fina Reta 15</w:t>
              <w:br/>
              <w:t xml:space="preserve"> cm, 1 Afastador Farabeuf (Par), 10 Lâminas de bisturi nº 24, 1 Gancho para castração, 1 Caixa de inox dimensões 20x10x05 cm, com tampa também em aço inox.</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kit</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7</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54</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Luvas - Tipo 01: Luvas para Palpação transretal, comprimento 80 cm, confeccionada em</w:t>
              <w:br/>
              <w:t xml:space="preserve"> E.V.A. para aperfeiçoamento da sensibilidade. Produto deve ser entregue recém fabricado. Referência: Walmur. Caixa com 100 Und.</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Caixa com 100 Und</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44</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55</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Mata bicheira - Tipo 01: Spray mata bicheira tópico. Cada 100g contém sulfadiazina de prata - 0,1g; diclorvós - 1,6g; cipermetrina - 0,4g; alumínio 0,5g; veículo q.s.p. - 100g; propelente butano/propano - 80:20. Produto deve ser entregue no terço inicial de seu prazo de validade. Referência: Max Prata.</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36</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8</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59</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56</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Mata bicheira - Tipo 02: Mata bicheira em Spray - Fórmula: Cada 100 ml contém: Clorpirifós 0,71 g; Diclorvós (DDVP) 1,15 g; Violeta de genciana 0,17 g; Veículo q.s.p 100,00 ml, Propelente: Butano. Apresentação: Tubo para aerosol com capacidade para 500 ml, contendo 263 g.</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Tubo para aerosol com capacidade para 500 ml, contendo 263 g.</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36</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66</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57</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Caixa com objetos cirurgicos: Caixa completa para cirurgia de grandes animais c/ 32 itens, contendo: 1 Caixa de inox 32x16x08 cm, com tampa em aço inox, 1 Cabo de bisturi nº 4, 1 Par de Afastador Farabeuf 20cm, 1 Pinça anatômica com dente de rato 18 cm, 1 Pinça anatômica com serrilha 18 cm, 4 Pinça Backaus 13 cm, 2 Pinça Allis 18 cm, 1 Pinça para antissepsia Foester 20cm, 2 Pinça Halsted Mosquito reta 12 cm, 2 Pinça Halsted Mosquito curva 12 cm, 2 Pinça Kelly reta 18 cm, 2 Pinça Kelly curva 18 cm, 1 Pinça Rochester reta 20</w:t>
              <w:br/>
              <w:t xml:space="preserve"> cm, 1 Pinça Rochester curva 20 cm, 2 Pinça Kocher reta 20 cm, 2 Pinça Kocher curva 20 cm,</w:t>
              <w:br/>
              <w:t xml:space="preserve"> 1 Tesoura cirúrgica Romba/Romba/Reta 17 cm, 1 Tesoura cirúrgica Fina/Fina/Reta 17 cm, 1 Tesoura cirúrgica Romba/Fina/Curva 17 cm, 1 Agulha para sutura em S 11cm, 1 Porta Agulha Mayo Hegar 20 cm.</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KIT</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6</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58</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Medicamento - Tipo 03: Medicamento Diurético, tipo Zalix ou similar. Cada mL contém: Furosemida 50 mg; Veículo q.s.p. 1mL. Frasco 10mL. Produto em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59</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Hormônio - Tipo 02: Base hormonal injetável. Cada mL contém ocitocina sintética - 10UI; veículo q.s.p. - 1mL. Produto deve ser entregue no terço inicial de seu prazo de validade. Referência: Placencal.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7</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60</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Medicamento - Tipo 04: Medicamento veterinário Gentamicina - Descrição: Fórmula: Cada</w:t>
              <w:br/>
              <w:t xml:space="preserve"> 100 mL contém: Gentamicina base (como sulfato) 300,00 mg Cloridrato de bromexina</w:t>
              <w:br/>
              <w:t xml:space="preserve"> ................................... 150,00 mg Cloreto de benzalcônio .................................. 100,00 mg</w:t>
              <w:br/>
              <w:t xml:space="preserve"> Veículo q.s.p.......................................... 100,00 mL Sugestão: Gentrin ou similar Apresentação:</w:t>
              <w:br/>
              <w:t xml:space="preserve"> Frasco plástico com 50 mL.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Medicamento - Tipo 05: Antibiótico injetável. Cada frasco-ampola contém 8,6g de pó micronizado; benzilpenicilina benzatina - 3.000.000UI; benzilpenicilina potássica - 1.500.000UI; benzilpenicilina procaína - 1.500.000UI; estreptomicina (sulfato) - 1.250mg; diidroestreptomicina (sulfato) - 1.250mg. Cada frasco de 15mL do diluente estéril contém diclofenaco sódico - 225mg; água para injeção q.s.p. - 15mL. Produto deve ser entregue no terço inicial de seu prazo de validade. Referência: Bravecilin Forte.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Frasco-ampola contém 8,6g</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27</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62</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Placa para teste da mastite (CMT): Placa (raquete) cor branca com 4 cavidades para teste de mastite CMT ("California Mastitis Test").</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63</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Cicatrizante: Pomada cicatrizante tópica. Cada 50g contém penicilina g benzatina - 1.250.000UI; penicilina g procaína - 1.250.000UI; dihidroestreptomicina (sulfato) - 1,25g; ureia - 2,5g; excipiente q.s.p. - 50g. Produto deve ser entregue no terço inicial de seu prazo de validade. Referência: Ganadol.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Bisnaga 50g</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48</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64</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Rinetas para casco: Rinetas para casco. Lâmina em aço carbono de fácil amolação. Mão direita e esquerda (PAR). Tamanho e forma padrão (único).</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65</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Xilazina: Anestésico Miorrelaxante contendo Xilazina (0,2g/10 mL), tipo Virbaxyl 2% ou similar. Frasco com 10 mL.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66</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Sedativo: Base sedativa injetável. Cada mL contém acepromazina - 10mg; veículo q.s.p. - 1mL. Produto deve ser entregue no terço inicial de seu prazo de validade. Referência: Acepran 1%.</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20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24</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67</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Medicamento - Tipo 06: Medicamento terapêutico tópico, com ação sedativa e descongestionante, contendo: Bálsamo do peru, extrato de beladona e óxido de zinco, tipo Calminex ou similar. Bisnaga de 200g.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Bisnaga de 200g</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68</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Seringa - Tipo 01: Seringa descartável estéril 3mL, sem agulha.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150</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450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69</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Seringa - Tipo 02: Seringa descartável estéril 13x4,5mm, para insulina, capacidade 1 mL, com agulha.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250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70</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Seringa - Tipo 03: Seringa descartável estéril, capacidade 5mL, sem agulha.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350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71</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Seringa - Tipo 04: Seringa dosadora automática tipo pistola para vacinação 50 ml. Confeccionada em liga de alumínio, metal cromado, tubo de vidro e borracha neutra, com capacidade para 50 ml. Dosador com regulagem 1 a 5 ml, totalmente desmontável. Sugestão Comercial: Hoppner. Embalagem: estojo de madeira.</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57</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72</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Substância hormonal: Substância hormonal sincronizador de cio para bovinos tipo DIB ou similar. Descrição: Dispositivo intravaginal bovino impregnado com 1g do princípio ativo (Progesterona). Apresentação: Caixa contendo 10 dispositivos intravaginais de silicone. O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Caixa com 10 dispositivos intravaginais de silicone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21</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73</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Solução - Tipo 01: Solução aquosa de clorexidina – antiséptico tópico. Frasco com 1L.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23</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74</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Solução - Tipo 02: Solução para pós-dipping, iodo pronto para uso, tipo Armor ou Similar. Composição: 5000 ppm de iodo titulável, excipiente qsp 100mL. Com umectante e espessante. Não possuir álcool, ph aproximado 5,6. Peso Específico 1,04g/ml à 25 °C, Indicação: antisséptico para controle e prevenção de mastites. Apresentação: galão de 5 Litros.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Galão de 5 Litros</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7</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75</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Solução - Tipo 03: Solução para pré-dipping clorhexidina 1% pronto uso. Composição digluconato de clorhexidina 1%, espessantes, tensoativo não iônico. Indicação: antisséptico para controle e prevenção de mastites. Licenciado no MAPA. Apresentação: galão de 5 Litros.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Galão de 5 Litros</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13</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76</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Soro - Tipo 01: Soro fisiológico 0,9% - solução injetável 9mg/mL. Cada mL contém cloreto de sódio - 9mg; água para injetáveis q.s.p. - 1mL. Produto deve ser entregue no terço inicial de seu prazo de validade. Referência: Sanobiol Cristália.</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de 500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72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77</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Sonda nasogastrica - Tipo 01: Fabricadas em material sintético, flexível e resistente. Diâmetro de 11 mm e comprimento 2,30 m, indicada para potros, bezerros, caprinos e ovinos. Utilizada para aplicação de medicamento ou lavagem estomacal, introduzida via nasal ou oral.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78</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Sonda nasogastrica - Tipo 02: Fabricadas em material sintético, flexível e resistente. Diâmetro de 16 mm e comprimento 2,45 m, indicada para equinos e bovinos adultos. Utilizada para aplicação de medicamento ou lavagem estomacal, introduzida via nasal ou oral.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79</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Soro - Tipo 02: Soro Ringer Lactato para terapia de hidratação venosae reposição de eletrólitos. Solução injetável, límpida, estéril e apirogênica. Frasco de 500 ml.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de 500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80</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Spray - Tipo 02: Spray tópico para tratamento de lesões podais. Cada 100mL contém</w:t>
              <w:br/>
              <w:t xml:space="preserve"> m.m.d.h. (monometilol dimetil hidantoína) - 27,5g; veículo q.s.p. - 100mL; propelente - butano. Produto deve ser entregue no terço inicial de seu prazo de validade. Referência: Formoped.</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de 40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7</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81</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Suplemento vitamínico - Tipo 02: Suplemento vitamínico injetável à base de Cloridrato de Tiamina (Vitamina B1), 10g/100mL, tipo Monovin B1. Frasco 20 mL. Produto deve estar em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de 20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82</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Tatuador: Tatuador para identificador animal - Fabricado em alumínio. Modelo com 4 dígitos. Acompanha uma pasta para tatuagem verde 60gr. Tamanho do caracter: 10mm de altura e 8mm de largura. Tamanho da sequência dos 4 dígitos: 5cm.</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83</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Tela: Tela para cercar ovinos e caprinos - Espaçamento entre os fios adequados e 100% eficiente para caprinos, ovinos, avestruzes, emas, animais silvestres e exóticos, além do cercamento de grandes áreas rurais e margens de estradas. As malhas têm um espaçamento menor na parte de baixo. Características Alturas:  1,20m  Galvanização pesada Sem pontos de solda, Rolo de 50 metros</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84</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Tintura: Tintura de iodo 10%. Cada 100mL contém iodo - 9,75g; iodeto de potássio - 2,20g; excipiente q.s.p. - 100mL. Produto deve ser entregue no terço inicial de seu prazo de validade. Referência: tintura de iodo 10% Vansil.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1litro</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19</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85</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Vacina - Tipo 01: Vacina anti-tetânica tipo Vacina Anti-tetânica Hertape ou similar. Suspensão purificada de Clostridium tetani inativada pela formalina e adicionada de gel de fosfato de alumínio como adjuvante. Uso veterinário para equinos, bovinos, ovinos, caprinos e suínos. Registro no MAPA. 1 caixa contém 20 frascos. Apresentação: doses individuais em frascos de 2,0 ml cada.</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 caixa contém 20 frascos</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86</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Vitamina B12: Vitamina B12 - Fórmula: Cada 100 mL contém: Vitamina B12</w:t>
              <w:br/>
              <w:t xml:space="preserve">    0,10 g  Veículo  q.s.p.  100,00 mL Indicações: Nas anemias macrocíticas e nas produzidas após hemorragias e operações. Como coadjuvante no tratamento de moléstias anemiantes: piroplasmose, anaplasmose. Como coadjuvante no tratamento dos reumatismos e algias. Como revitalizador e restaurador das forças, durante a fase de crescimento, convalescenças, nas perdas de peso e apetite. Frascos com 20 ml Validade: o produto deve ser entregue com validade superior a um ano da data do vencimento Padrão: Monovin B12 ou superior</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Frascos com 20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17</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87</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Complexo vitamínico - Tipo 02: Vitamina do complexo B (B2, B6, B12) injetável, tipo Polivin B12 ou similar. Cada 100 mL contem: Vitamina B2 0,050g; Vitamina B6 0,500g; Vitamina B12 0,025g; Veículo q.s.p. 100,0 mL. Frascos de 20 mL.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Frascos de 20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88</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Vitamina K: Vitamina K injetável. Cada 100mL contém vitamina K hidrossolúvel - 150mg; veículo q.s.p. - 100mL. Produto deve ser entregue no terço inicial de seu prazo de validade. Referência: Hipovita K.</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Frascos de 20 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89</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Fio de sutura - Tipo 01: Fio de sutura cirúrgico absorvível. Sem agulha, esterilizado, uso único. Catgut cromado 3. Produto deve ser entregue no terço inicial de seu prazo de validade. Referência: Walmur.</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Env. 1 unidade 15 cm</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27</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90</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Fio de sutura - Tipo 02: Fio de sutura cirúrgico absorvível. Sem agulha, esterilizado, uso único. Catgut simples 0. Produto deve ser entregue no terço inicial de seu prazo de validade. Referência: Shalon.</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Env. 1 unidade 15 cm</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7</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91</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Fio de sutura - Tipo 03: Fio de sutura cirúrgico absorvível. Sem agulha, esterilizado, uso único. Catgut simples 2-0. Produto deve ser entregue no terço inicial de seu prazo de validade. Referência: Suturbras.</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Env. 1 unidade 15 cm</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13</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92</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Agulha para sutura - Tipo 01: Agulha para sutura cirúrgica. Agulha em aço inox, em “S”, cortante/triangular, 11cm. Referência: Brasmed.</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36</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93</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Agulha para sutura - Tipo 02: Agulha para sutura cirúrgica. Agulha em aço inox, 3/8 circular, cortante/triangular, 1,1x50mm. Referência: Cirúrgica Mache.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41</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94</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Agulha para sutura - Tipo 03: Agulha para sutura cirúrgica. Agulha em aço inox, 3/8 circular, cortante/triangular, 1,3x70mm. Referência: Cirúrgica Mache.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41</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95</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Agulha para sutura - Tipo 04: Agulha para sutura cirúrgica. Agulha em aço inox, 3/8 circular, atraumática/cilíndrica, 0,6x30mm. Referência: Cirúrgica Mache.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41</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96</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Agulha para sutura - Tipo 05: Agulha para sutura cirúrgica. Agulha em aço inox, 3/8 circular, atraumática/cilíndrica, 0,7x45mm. Referência: Cirúrgica Mache.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11</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97</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Gel condutor: Gel condutor para ultrassonografia. Consistente, inodoro, incolor, isento de substâncias tóxicas/irritantes, de pH neutro. Produto deve ser entregue recém fabricado. Referência: Mercur.</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GL 5l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98</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Compressas - Tipo 01: Compressas de gaze hidrófila não estéril. 13 fios. 100% puro algodão. 15X30cm (aberta). Referência: Cremer.</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Pct 500 un</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13</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99</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Compressas - Tipo 02: Compressas de gaze hidrófila estéril. 13 fios. 100% puro algodão. 20x40cm (aberta). Produto deve ser entregue no terço inicial de seu prazo de validade. Referência: Cremer.</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Pct 10un</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62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100</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Luvas - Tipo 02: Luvas de procedimento descartáveis. Luvas de látex para procedimentos não cirúrgicos, tamanho “M”. Produto deve ser entregue no terço inicial de seu prazo de validade. Referência: Descarpack.</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Cx 100und</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48</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8</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66</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101</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Seringa - Tipo 05: Seringa descartável estéril de 10mL. Fabricada em polipropileno incolor. Produto deve ser entregue no terço inicial de seu prazo de validade. Referência: Descarpack.</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200</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400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102</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Seringa - Tipo 06: Seringa descartável estéril de 20mL. Fabricada em polipropileno incolor. Produto deve ser entregue no terço inicial de seu prazo de validade. Referência: Descarpack.</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200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103</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Agulha hipodérmica: Agulha hipodérmica descartável estéril 40x0,8mm. Produto deve ser entregue no terço inicial de seu prazo de validade. Referência: Descarpack.</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Cx 100und</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104</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Tinta para tatuagem: Identificação animal. Tinta/pasta para tatuagem “verde”. Produto deve ser entregue recém fabricado. Referência: Hauptner.</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Bisnaga 60g</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11</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105</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Identificação animal: Identificação animal. Conjunto de marcadores a fogo. Jogo de números em aço inox, composto por 9 peças (números de 0 a 8) de 3mm de espessura x 4cm de altura (cada); com haste maciça e cabo com acabamento em madeira tratada. Referência: Moreira Pena.</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Conj 9 peças</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106</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Corda - Tipo 01: Contenção animal. Corda de seda trançada 12mm. Referência: Fuzil.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metro</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450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107</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Corda - Tipo 02: Contenção animal. Corda de seda trançada 18mm. Referência: Fuzil.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metro</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250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108</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Pito/cachimbo: Contenção animal. Pito/cachimbo para imobilização de equinos. Produzido em aço inox, com 30cm de comprimento e com cordão de seda sintética. Referência: Selaria Pinheiro.</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109</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Alicate torquês: Alicate torquês com mola. Produzido em aço inox. 32cm de comprimento, 11cm de largura, 4cm de altura. Referência: Selaria Imperial.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110</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Detergente: Detergente, composição:detergente industrial, amoniacal, dodecilbenzeno -, aplicação:remoção gordura e sujeira em geral., características adicionais:líquido</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GL 5l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8</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8</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111</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Algodão: Algodão hidrófilo rolo de 500g. Confeccionado com fibras 100% algodão. Embalado em saco plástico individual.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rolo de 500g.</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112</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Estreptomicina: Estreptomicina, sal químico:sulfato, concentração:5 g, forma farmacêutica:pó liófilo p/ injetável, uso:uso veterinário</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5g</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21</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113</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Cefalexina: Antibiótico intramamário à base de Cefalexina sódica com associações, tipo Vetimast Plus VL ou similar. Cada seringa com 10g contém: Cefalexina (Monohidratada); 100,0 mg; Neomicina (sulfato) 100,0 mg; Miconazol (Nitrato) 200,0 mg; Prednisolona (Micronizada) 10,0 mg; Veículo q.s.p. 10,0 g. Produto deve estar no terço inicial do prazo de validade.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seringa com 10g</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35</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114</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Suplemento vitamínico - Tipo 03: Aminoácidos, composição:c/ minerais e vitaminas, composição de aminoácidos:dl-metionina e l-lisina, composição de sais minerais:zinco e enxofre, composição de vitaminas:vits: b2 e b7 (biotina), concentração de aminoácidos:12%</w:t>
              <w:br/>
              <w:t xml:space="preserve"> + 18%, concentração de sais minerais:0,5% + 2%, concentração das vitaminas:0,24% + 0,25%, forma física:pó oral, uso veterinário:uso veterinário.</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GL5l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115</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Ivermectina: Ivermectina, concentração: 1%, forma farmacêutica :solução injetável, uso:uso veterinário.</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r>
          </w:p>
          <w:p>
            <w:pPr>
              <w:pStyle w:val="LONormal11"/>
              <w:jc w:val="both"/>
              <w:rPr>
                <w:rFonts w:ascii="Times New Roman" w:hAnsi="Times New Roman"/>
                <w:sz w:val="20"/>
                <w:szCs w:val="20"/>
              </w:rPr>
            </w:pPr>
            <w:r>
              <w:rPr>
                <w:sz w:val="20"/>
                <w:szCs w:val="20"/>
              </w:rPr>
              <w:t>116</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Antisséptico - Tipo 02: Álcool iodado 0,1%. Concentração: iodo - 0,1%; álcool etílico 50% (v/v). Produto deve ser entregue no terço inicial de seu prazo de validade. Referência: Rioquímica Indústria Farmacêutica.</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7</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117</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Ferro: Antianêmico injetável. Cada 100mL contém ferro elementar (sob forma de hidróxido férrico em complexo dextrano) - 20g; veículo q.s.p. - 100mL. Produto deve ser entregue no terço inicial de seu prazo de validade. Referência: Nutrifer 20%.</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46</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118</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Descongestionante tópico: Descongestionante hidro-alcoólico analgésico mentolado tópico. Cada 100g contém salicilato de metila - 1g; cânfora - 0,50g; mentol - 0,50g; excipiente q.s.p.</w:t>
              <w:br/>
              <w:t xml:space="preserve"> - 100g. Produto deve ser entregue no terço inicial de seu prazo de validade. Referência: NGF- 5 gel.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Bisnaga 100g</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119</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Desinfetante e desengordurante: Desinfetante e desengordurante de alto rendimento. Cada 100mL contém cloreto de alquil dimetil; benzil amônio (100%) - 30g; poliexietilenonilfenileter - 5g; veículo q.s.p. - 100mL. Produto deve ser entregue no terço inicial de seu prazo de validade. Referência: CB-30 TA.</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r>
          </w:p>
          <w:p>
            <w:pPr>
              <w:pStyle w:val="LONormal11"/>
              <w:jc w:val="both"/>
              <w:rPr>
                <w:rFonts w:ascii="Times New Roman" w:hAnsi="Times New Roman"/>
                <w:sz w:val="20"/>
                <w:szCs w:val="20"/>
              </w:rPr>
            </w:pPr>
            <w:r>
              <w:rPr>
                <w:sz w:val="20"/>
                <w:szCs w:val="20"/>
              </w:rPr>
            </w:r>
          </w:p>
          <w:p>
            <w:pPr>
              <w:pStyle w:val="LONormal11"/>
              <w:jc w:val="both"/>
              <w:rPr>
                <w:rFonts w:ascii="Times New Roman" w:hAnsi="Times New Roman"/>
                <w:sz w:val="20"/>
                <w:szCs w:val="20"/>
              </w:rPr>
            </w:pPr>
            <w:r>
              <w:rPr>
                <w:sz w:val="20"/>
                <w:szCs w:val="20"/>
              </w:rPr>
              <w:t>120</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Polivitamínico, hidratante, reconstituinte, antitóxico e energético injetável: Polivitamínico, hidratante, reconstituinte, antitóxico e energético injetável. Cada 100mL contém vitamina B1 - 3mg; vitamina B2 fosfato - 20mg; vitamina B6 - 3mg; vitamina B12 - 2mg; nicotimida - 240mg; dextrose anidra - 6.000mg; cloreto de sódio - 400mg; cloreto de potássio - 50mg; cloreto de cálcio 2 H2O - 398mg; cloreto de magnésio 6 H2O - 342mg; DL metionina 600mg; cloreto de colina - 300mg; água para injetáveis q.s.p. - 100mL. Produto deve ser entregue no terço inicial de seu prazo de validade. Referência: Bioxan.</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121</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Antibiótico injetável - Tipo 01: Antibiótico injetável. Cada 100mL contém oxitetraciclina (dihidratada) - 20g; diclofenaco sódico - 1g; veículo q.s.p. - 100mL. Produto deve ser entregue no terço inicial de seu prazo de validade. Referência: Terramicina mais.</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20</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122</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Antibiótico injetável - Tipo 02: Antibiótico injetável. Cada 100mL contém sulfadoxina - 20g; trimetoprim - 4g; piroxicam - 1.2g; veículo q.s.p. - 100mL. Produto deve ser entregue no terço inicial de seu prazo de validade. Referência: Fortgal Plus.</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123</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Antibiótico pó solúvel: Antibiótico pó solúvel. Cada 100g contém terramicina (cloridrato de oxitetraciclina) - 5,5g; antigerm 77 (cloreto de benzetônio) - 5,5g; veículo q.s.p. - 100g. Produto deve ser entregue no terço inicial de seu prazo de validade. Referência: Terramicina pó solúvel com Antigerm 77.</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Env. 100g</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124</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Anticoccidiano pó solúvel: Anticoccidiano pó solúvel. Cada 100g contém sulfametazina - 12,5g; sulfaquinoxalina - 5g; bacitracina de zinco - 2,5g. Produto deve ser entregue no terço inicial de seu prazo de validade. Referência: Vetococ.</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Sache 4g</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125</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Suspensão oftálmica estéril: Suspensão oftálmica estéril. Cada mL contém dexametasona micronizada bifásica - 0,001g; sulfato de neomicina (equivalente a 3,5mg da base) - 0,005g; sulfato de polimixina B - 6.000UI; hipromelose (hidroxipropilmetilcelulose) - 0,005g; veículo constituído de cloreto de sódio, polissorbato 20, cloreto de benzalcônio como conservante e água purificada q.s.p. - 1mL. Produto deve ser entregue no terço inicial de seu prazo de validade. Referência: Maxitrol colírio.</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126</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Antitóxico injetável: Antitóxico injetável. Cada 100mL contém acetil DL-metionina - 5g; cloreto de colina - 2g; cloridrato de tiamina - 1g; cloridrato de piridoxina - 0,04g; cloridrato de L-arginina - 0,6g; riboflavina - 0,02g; nicotinamida - 0,5g; pantotenato de cálcio - 0,2g; glicose - 20g; veículo q.s.p. - 100mL. Produto deve ser entregue no terço inicial de seu prazo de validade. Referência: Mercepton.</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127</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Anti-helmíntico pó solúvel: Anti-helmíntico pó solúvel. Cada 28g contém citrato de piperazina tetrahidratado - 28g (equivalente a 36% de piperazina base). Produto deve ser entregue no terço inicial de seu prazo de validade. Referência: Proverme.</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Sache 28g</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128</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Anti-helmíntico pó: Anti-helmíntico pó. Cada 100g contém mebendazole - 5g; veículo q.s.p.</w:t>
              <w:br/>
              <w:t xml:space="preserve"> - 100g. Produto deve ser entregue no terço inicial de seu prazo de validade. Referência: Mebendazole Aves &amp; Suínos.</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Sache 30g</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17</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129</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Antiparasitário injetável: Antiparasitário injetável. Cada 100mL contém doramectin - 1g; veículo q.s.p. - 100mL. Produto deve ser entregue no terço inicial de seu prazo de validade. Referência: Dectomax.</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8</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8</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r>
          </w:p>
          <w:p>
            <w:pPr>
              <w:pStyle w:val="LONormal11"/>
              <w:jc w:val="both"/>
              <w:rPr>
                <w:rFonts w:ascii="Times New Roman" w:hAnsi="Times New Roman"/>
                <w:sz w:val="20"/>
                <w:szCs w:val="20"/>
              </w:rPr>
            </w:pPr>
            <w:r>
              <w:rPr>
                <w:sz w:val="20"/>
                <w:szCs w:val="20"/>
              </w:rPr>
              <w:t>130</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Ectoparasiticida pour on: Ectoparasiticida pour on. Cada 100mL contém cipermetrina - 5g; clorpirifós - 7g; citronelal - 0,5g; veículo q.s.p. - 100mL. Produto deve ser entregue no terço inicial de seu prazo de validade. Referência: Colosso Pour On.</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131</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Melhorador de desempenho injetável: Melhorador de desempenho injetável. Cada 100mL contém cianocobalamina (vitamina B12) - 20mg; piridoxina (vitamina B6) - 1,2mg; ácido nicotínico - 1,2mg; ferrodextrano - 0,5mL; veículo q.s.p. - 100mL. Produto deve ser entregue no terço inicial de seu prazo de validade. Referência: Bovifort.</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6</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132</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Reconstituinte glicêmico e eletrolítico injetável: Reconstituinte glicêmico e eletrolítico injetável. Cada 100mL contém gluconato de cálcio - 25g; cloreto de magnésio - 0,15g; dextrose - 25g; veículo q.s.p. - 100mL. Produto deve ser entregue no terço inicial de seu prazo de validade. Referência: Caldextan</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200ml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133</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Poliol injetável: Poliol injetável. Cada 100mL contém sorbitol - 50g; veículo q.s.p. - 100mL. Produto deve ser entregue no terço inicial de seu prazo de validade. Referência: Sedacol.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134</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Base hormonal injetável: Base hormonal injetável. Cada mL contém cipionato de estradiol - 2mg; clorobutanol - 5mg; veículo q.s.p. - 1mL. Produto deve ser entregue no terço inicial de seu prazo de validade. Referência: E.C.P..</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135</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Alcaloide injetável: Alcaloide injetável. Cada mL contém sulfato de atropina - 10mg; veículo q.s.p. - 1mL. Produto deve ser entregue no terço inicial de seu prazo de validade. Referência: Atropina 1% FAGRA.</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20ml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136</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Solução antisséptica tópica: Solução antisséptica tópica sem possuir efeito irritante, para pré e pós dipping. Cada 100mL contém clorexidina (digluconato) - 0,212g; cloreto de benzalcônio - 0,1g; veículo q.s.p. - 100mL. Produto deve ser entregue no terço inicial de seu prazo de validade. Referência: MASTI CONTROL.</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GL 5 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137</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Vacina - Tipo 04: Vacina inativada contra clostridioses, para bovinos, ovinos, caprinos e suínos. Suspensão obtida a partir de culturas inativadas de C. chauvoei e toxóides de C. sordellii, C. novyi, C. perfringens B, C e D, C. septicum, C. tetani e C. botulinum tipos C e D, inativados pelo formaldeído e adsorvidos pelo gel de hidróxido de alumínio. Produto deve ser entregue no terço inicial de seu prazo de validade. Referência: Excell 10.</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11</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138</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Vacina - Tipo 05: Vacina inativada contra a raiva, para bovinos, ovinos, caprinos e equinos. Vírus fixo Pasteur inativado pelo BEI e produzido em cultivo celular. Produto deve ser entregue no terço inicial de seu prazo de validade. Referência: Raivacel MULTI.</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9</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19</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139</w:t>
            </w:r>
          </w:p>
        </w:tc>
        <w:tc>
          <w:tcPr>
            <w:tcW w:w="3227"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Vacina - Tipo 06: Vacina inativada contra a febre aftosa, para bovinos e bubalinos. Cada dose contém antígenos purificados inativados e emulsificados O1 Campos, A24 Cruzeiro, C3 Indaial, com adjuvantes óleo mineral e saponina. Produto deve ser entregue no terço inicial de seu prazo de validade. Referência: Febrivac.</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30ml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6</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140</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Vacina - Tipo 07: Vacina atenuada contra a brucelose bovina. Produzida a partir de amostras de Brucella abortus, cepa B-19 (atenuada). Produto liofilizado. Produto deve ser entregue no terço inicial de seu prazo de validade. Referência: Brucelina B19.</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20ml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141</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Inseticida: Pó inseticida. Cada 100g contém propoxur - 1g; excipiente q.s.p. - 100g. Produto deve ser entregue no terço inicial de seu prazo de validade. Referência: Bolfo.</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Pct 200g</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8</w:t>
            </w:r>
          </w:p>
        </w:tc>
      </w:tr>
      <w:tr>
        <w:trPr>
          <w:trHeight w:val="315" w:hRule="atLeast"/>
        </w:trPr>
        <w:tc>
          <w:tcPr>
            <w:tcW w:w="628"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142</w:t>
            </w:r>
          </w:p>
        </w:tc>
        <w:tc>
          <w:tcPr>
            <w:tcW w:w="3227"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Ectoparasiticida : Ectoparasiticida para pulverização. Cada L contém deltametrina base - 500g; veículo q.s.p. - 1L. Produto deve ser entregue no terço inicial de seu prazo de validade. Referência: Butox.</w:t>
            </w:r>
          </w:p>
        </w:tc>
        <w:tc>
          <w:tcPr>
            <w:tcW w:w="853"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20ml</w:t>
            </w:r>
          </w:p>
        </w:tc>
        <w:tc>
          <w:tcPr>
            <w:tcW w:w="841"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5"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20</w:t>
            </w:r>
          </w:p>
        </w:tc>
      </w:tr>
    </w:tbl>
    <w:p>
      <w:pPr>
        <w:pStyle w:val="ListParagraph"/>
        <w:numPr>
          <w:ilvl w:val="1"/>
          <w:numId w:val="1"/>
        </w:numPr>
        <w:spacing w:lineRule="auto" w:line="276" w:before="120" w:after="120"/>
        <w:ind w:left="425" w:hanging="0"/>
        <w:contextualSpacing/>
        <w:jc w:val="both"/>
        <w:rPr>
          <w:b/>
          <w:b/>
          <w:bCs/>
          <w:color w:val="000000"/>
        </w:rPr>
      </w:pPr>
      <w:r>
        <w:rPr>
          <w:rFonts w:cs="Arial"/>
          <w:b/>
          <w:bCs/>
          <w:color w:val="000000"/>
          <w:szCs w:val="20"/>
        </w:rPr>
        <w:t>SUPRIMIDO</w:t>
      </w:r>
    </w:p>
    <w:p>
      <w:pPr>
        <w:pStyle w:val="ListParagraph"/>
        <w:numPr>
          <w:ilvl w:val="1"/>
          <w:numId w:val="1"/>
        </w:numPr>
        <w:spacing w:lineRule="auto" w:line="276" w:before="120" w:after="120"/>
        <w:ind w:left="425" w:hanging="0"/>
        <w:contextualSpacing/>
        <w:jc w:val="both"/>
        <w:rPr>
          <w:b/>
          <w:b/>
          <w:bCs/>
          <w:color w:val="000000"/>
        </w:rPr>
      </w:pPr>
      <w:r>
        <w:rPr>
          <w:rFonts w:cs="Arial"/>
          <w:b/>
          <w:bCs/>
          <w:color w:val="000000"/>
          <w:szCs w:val="20"/>
        </w:rPr>
        <w:t>SUPRIMIDO</w:t>
      </w:r>
    </w:p>
    <w:p>
      <w:pPr>
        <w:pStyle w:val="ListParagraph"/>
        <w:numPr>
          <w:ilvl w:val="1"/>
          <w:numId w:val="1"/>
        </w:numPr>
        <w:spacing w:lineRule="auto" w:line="276" w:before="120" w:after="120"/>
        <w:ind w:left="425" w:hanging="0"/>
        <w:contextualSpacing/>
        <w:jc w:val="both"/>
        <w:rPr>
          <w:b/>
          <w:b/>
          <w:bCs/>
          <w:color w:val="000000"/>
        </w:rPr>
      </w:pPr>
      <w:r>
        <w:rPr>
          <w:rFonts w:cs="Arial"/>
          <w:b/>
          <w:bCs/>
          <w:color w:val="000000"/>
          <w:szCs w:val="20"/>
        </w:rPr>
        <w:t>SUPRIMIDO</w:t>
      </w:r>
    </w:p>
    <w:p>
      <w:pPr>
        <w:pStyle w:val="ListParagraph"/>
        <w:spacing w:lineRule="auto" w:line="276" w:before="0" w:after="120"/>
        <w:ind w:left="1141" w:hanging="0"/>
        <w:contextualSpacing/>
        <w:jc w:val="both"/>
        <w:rPr>
          <w:rFonts w:cs="Arial"/>
          <w:b/>
          <w:b/>
          <w:color w:val="000000"/>
          <w:szCs w:val="20"/>
        </w:rPr>
      </w:pPr>
      <w:r>
        <w:rPr>
          <w:rFonts w:cs="Arial"/>
          <w:b/>
          <w:color w:val="000000"/>
          <w:szCs w:val="20"/>
        </w:rPr>
      </w:r>
    </w:p>
    <w:p>
      <w:pPr>
        <w:pStyle w:val="LOnormal"/>
        <w:spacing w:lineRule="auto" w:line="360"/>
        <w:ind w:left="716" w:hanging="0"/>
        <w:jc w:val="both"/>
        <w:rPr>
          <w:rFonts w:eastAsia="Times New Roman" w:cs="Tahoma"/>
          <w:szCs w:val="24"/>
          <w:lang w:eastAsia="pt-BR" w:bidi="ar-SA"/>
        </w:rPr>
      </w:pPr>
      <w:r>
        <w:rPr>
          <w:rFonts w:eastAsia="Times New Roman" w:cs="Tahoma"/>
          <w:szCs w:val="24"/>
          <w:lang w:eastAsia="pt-BR" w:bidi="ar-SA"/>
        </w:rPr>
        <w:t>1.2 O prazo de vigência do contrato é de 12 (doze) meses contados da data de assinatura do termo contratual, desde que as despesas a ele referente sejam integralmente empenhadas até 31 de dezembro, dentro do exercício financeiro da celebração do contrato, permitindo-se, assim, sua inscrição em restos a pagar, conforme Orientação Normativa AGU n° 39, de 13/12/2011.</w:t>
      </w:r>
    </w:p>
    <w:p>
      <w:pPr>
        <w:pStyle w:val="Nivel1"/>
        <w:numPr>
          <w:ilvl w:val="0"/>
          <w:numId w:val="1"/>
        </w:numPr>
        <w:rPr/>
      </w:pPr>
      <w:r>
        <w:rPr/>
        <w:t>JUSTIFICATIVA E OBJETIVO DA CONTRATAÇÃO</w:t>
      </w:r>
    </w:p>
    <w:p>
      <w:pPr>
        <w:pStyle w:val="Normal"/>
        <w:numPr>
          <w:ilvl w:val="1"/>
          <w:numId w:val="1"/>
        </w:numPr>
        <w:spacing w:lineRule="auto" w:line="276" w:before="120" w:after="120"/>
        <w:jc w:val="both"/>
        <w:rPr>
          <w:rFonts w:cs="Arial"/>
          <w:color w:val="000000"/>
          <w:szCs w:val="20"/>
        </w:rPr>
      </w:pPr>
      <w:r>
        <w:rPr/>
        <w:t>A Justificativa e o objetivo da contratação encontram-se pormenorizadas em Tópico específico dos Estudos Técnicos Preliminares, apêndice deste Termo de Referência.</w:t>
      </w:r>
    </w:p>
    <w:p>
      <w:pPr>
        <w:pStyle w:val="Nivel1"/>
        <w:numPr>
          <w:ilvl w:val="0"/>
          <w:numId w:val="1"/>
        </w:numPr>
        <w:rPr>
          <w:rFonts w:cs="" w:cstheme="majorBidi"/>
          <w:szCs w:val="32"/>
        </w:rPr>
      </w:pPr>
      <w:r>
        <w:rPr/>
        <w:t>DESCRIÇÃO DA SOLUÇÃO:</w:t>
      </w:r>
    </w:p>
    <w:p>
      <w:pPr>
        <w:pStyle w:val="Normal"/>
        <w:numPr>
          <w:ilvl w:val="1"/>
          <w:numId w:val="9"/>
        </w:numPr>
        <w:spacing w:lineRule="auto" w:line="276" w:before="120" w:after="120"/>
        <w:ind w:left="425" w:hanging="0"/>
        <w:jc w:val="both"/>
        <w:rPr/>
      </w:pPr>
      <w:r>
        <w:rPr/>
        <w:t xml:space="preserve">A descrição da solução como um todo, encontra-se pormenorizada em Tópico específico </w:t>
      </w:r>
      <w:r>
        <w:rPr>
          <w:rFonts w:cs="Arial"/>
          <w:szCs w:val="20"/>
        </w:rPr>
        <w:t>dos</w:t>
      </w:r>
      <w:r>
        <w:rPr/>
        <w:t xml:space="preserve"> Estudos Técnicos Preliminares, apêndice deste Termo de Referência.</w:t>
      </w:r>
    </w:p>
    <w:p>
      <w:pPr>
        <w:pStyle w:val="Nivel1"/>
        <w:numPr>
          <w:ilvl w:val="0"/>
          <w:numId w:val="1"/>
        </w:numPr>
        <w:rPr/>
      </w:pPr>
      <w:r>
        <w:rPr/>
        <w:t>CLASSIFICAÇÃO DOS BENS COMUNS</w:t>
      </w:r>
    </w:p>
    <w:p>
      <w:pPr>
        <w:pStyle w:val="Normal"/>
        <w:numPr>
          <w:ilvl w:val="1"/>
          <w:numId w:val="1"/>
        </w:numPr>
        <w:spacing w:lineRule="auto" w:line="276" w:before="120" w:after="120"/>
        <w:ind w:left="-57" w:hanging="0"/>
        <w:jc w:val="both"/>
        <w:rPr>
          <w:rFonts w:cs="Arial"/>
          <w:b/>
          <w:b/>
          <w:color w:val="000000"/>
          <w:szCs w:val="20"/>
        </w:rPr>
      </w:pPr>
      <w:r>
        <w:rPr>
          <w:rFonts w:cs="Arial"/>
          <w:iCs/>
          <w:szCs w:val="20"/>
        </w:rPr>
        <w:t>Trata-se de aquisição de bem comum, a ser contratada mediante licitação, na modalidade pregão, em sua forma eletrônica</w:t>
      </w:r>
      <w:r>
        <w:rPr>
          <w:rFonts w:cs="Arial"/>
          <w:bCs/>
          <w:color w:val="000000"/>
          <w:szCs w:val="20"/>
        </w:rPr>
        <w:t>.</w:t>
      </w:r>
    </w:p>
    <w:p>
      <w:pPr>
        <w:pStyle w:val="Normal"/>
        <w:widowControl w:val="false"/>
        <w:tabs>
          <w:tab w:val="clear" w:pos="720"/>
          <w:tab w:val="left" w:pos="0" w:leader="none"/>
        </w:tabs>
        <w:spacing w:lineRule="auto" w:line="276" w:before="120" w:after="120"/>
        <w:ind w:left="57" w:hanging="0"/>
        <w:jc w:val="both"/>
        <w:rPr>
          <w:szCs w:val="20"/>
        </w:rPr>
      </w:pPr>
      <w:r>
        <w:rPr>
          <w:rFonts w:cs="Arial"/>
          <w:b/>
          <w:bCs/>
          <w:color w:val="000000"/>
          <w:szCs w:val="20"/>
          <w:u w:val="single"/>
        </w:rPr>
        <w:t>4.2  A presente contratação será realizada através de sistema de registro de preços – SRP, nos termos do Art. 3º, Incisos I, II e III do Decreto Federal Nº 7.892/2013, alterado pelo Decreto Federal Nº 8.250/2014, uma vez que o objeto apresenta necessidade de contratações frequentes, será contratado para mais de um órgão da Administração e há previsão de entregas parceladas, com pedidos mínimos instituídos.</w:t>
      </w:r>
    </w:p>
    <w:p>
      <w:pPr>
        <w:pStyle w:val="Nivel1"/>
        <w:numPr>
          <w:ilvl w:val="0"/>
          <w:numId w:val="1"/>
        </w:numPr>
        <w:rPr/>
      </w:pPr>
      <w:r>
        <w:rPr/>
        <w:t>CRITÉRIOS DE SUSTENTABILIDADE</w:t>
      </w:r>
    </w:p>
    <w:p>
      <w:pPr>
        <w:pStyle w:val="Normal"/>
        <w:numPr>
          <w:ilvl w:val="1"/>
          <w:numId w:val="1"/>
        </w:numPr>
        <w:spacing w:lineRule="auto" w:line="276" w:before="120" w:after="120"/>
        <w:jc w:val="both"/>
        <w:rPr/>
      </w:pPr>
      <w:r>
        <w:rPr>
          <w:color w:val="000000"/>
        </w:rPr>
        <w:t xml:space="preserve">Os critérios de sustentabilidade </w:t>
      </w:r>
      <w:r>
        <w:rPr>
          <w:b/>
          <w:bCs/>
          <w:color w:val="000000"/>
          <w:u w:val="single"/>
        </w:rPr>
        <w:t>que deverão ser cumpridos pela contratada para esta licitação são aqueles previstos no art. 5º da IN nº 01, de 19 de janeiro de 2010, conforme  exposto a seguir:</w:t>
      </w:r>
    </w:p>
    <w:p>
      <w:pPr>
        <w:pStyle w:val="LOnormal"/>
        <w:ind w:left="780" w:hanging="0"/>
        <w:jc w:val="both"/>
        <w:rPr>
          <w:rFonts w:eastAsia="Times New Roman" w:cs="Times New Roman"/>
          <w:b/>
          <w:b/>
          <w:bCs/>
          <w:color w:val="000000"/>
          <w:sz w:val="24"/>
          <w:szCs w:val="24"/>
          <w:u w:val="single"/>
        </w:rPr>
      </w:pPr>
      <w:r>
        <w:rPr>
          <w:rFonts w:eastAsia="Times New Roman" w:cs="Times New Roman"/>
          <w:b/>
          <w:bCs/>
          <w:color w:val="000000"/>
          <w:sz w:val="24"/>
          <w:szCs w:val="24"/>
          <w:u w:val="single"/>
        </w:rPr>
      </w:r>
    </w:p>
    <w:p>
      <w:pPr>
        <w:pStyle w:val="LOnormal"/>
        <w:ind w:left="964" w:hanging="0"/>
        <w:jc w:val="both"/>
        <w:rPr>
          <w:rFonts w:eastAsia="Times New Roman" w:cs="Tahoma"/>
          <w:b/>
          <w:b/>
          <w:bCs/>
          <w:szCs w:val="24"/>
          <w:u w:val="single"/>
          <w:lang w:eastAsia="pt-BR" w:bidi="ar-SA"/>
        </w:rPr>
      </w:pPr>
      <w:r>
        <w:rPr>
          <w:rFonts w:eastAsia="Times New Roman" w:cs="Tahoma"/>
          <w:b/>
          <w:bCs/>
          <w:color w:val="000000"/>
          <w:szCs w:val="24"/>
          <w:u w:val="single"/>
          <w:lang w:eastAsia="pt-BR" w:bidi="ar-SA"/>
        </w:rPr>
        <w:t>5.1.1 Que os bens sejam constituídos, no todo ou em parte, por material reciclado, atóxico, biodegradável, conforme ABNT NBR – 15448-1 e 15448-2;</w:t>
      </w:r>
    </w:p>
    <w:p>
      <w:pPr>
        <w:pStyle w:val="LOnormal"/>
        <w:ind w:left="1276" w:hanging="0"/>
        <w:jc w:val="both"/>
        <w:rPr>
          <w:rFonts w:eastAsia="Times New Roman" w:cs="Tahoma"/>
          <w:b/>
          <w:b/>
          <w:bCs/>
          <w:szCs w:val="24"/>
          <w:u w:val="single"/>
          <w:lang w:eastAsia="pt-BR" w:bidi="ar-SA"/>
        </w:rPr>
      </w:pPr>
      <w:r>
        <w:rPr>
          <w:rFonts w:eastAsia="Times New Roman" w:cs="Tahoma"/>
          <w:b/>
          <w:bCs/>
          <w:szCs w:val="24"/>
          <w:u w:val="single"/>
          <w:lang w:eastAsia="pt-BR" w:bidi="ar-SA"/>
        </w:rPr>
      </w:r>
    </w:p>
    <w:p>
      <w:pPr>
        <w:pStyle w:val="LOnormal"/>
        <w:ind w:left="1020" w:hanging="0"/>
        <w:jc w:val="both"/>
        <w:rPr>
          <w:rFonts w:eastAsia="Times New Roman" w:cs="Tahoma"/>
          <w:b/>
          <w:b/>
          <w:bCs/>
          <w:szCs w:val="24"/>
          <w:u w:val="single"/>
          <w:lang w:eastAsia="pt-BR" w:bidi="ar-SA"/>
        </w:rPr>
      </w:pPr>
      <w:r>
        <w:rPr>
          <w:rFonts w:eastAsia="Times New Roman" w:cs="Tahoma"/>
          <w:b/>
          <w:bCs/>
          <w:color w:val="000000"/>
          <w:szCs w:val="24"/>
          <w:u w:val="single"/>
          <w:lang w:eastAsia="pt-BR" w:bidi="ar-SA"/>
        </w:rPr>
        <w:t>5.1.2   Que sejam observados os requisitos ambientais para a obtenção de certificação do Instituto Nacional de Metrologia, Normalização e Qualidade Industrial – INMETRO como produtos sustentáveis ou de menor impacto ambiental em relação aos seus similares;</w:t>
      </w:r>
    </w:p>
    <w:p>
      <w:pPr>
        <w:pStyle w:val="LOnormal"/>
        <w:ind w:left="1276" w:hanging="0"/>
        <w:jc w:val="both"/>
        <w:rPr>
          <w:rFonts w:eastAsia="Times New Roman" w:cs="Tahoma"/>
          <w:b/>
          <w:b/>
          <w:bCs/>
          <w:szCs w:val="24"/>
          <w:u w:val="single"/>
          <w:lang w:eastAsia="pt-BR" w:bidi="ar-SA"/>
        </w:rPr>
      </w:pPr>
      <w:r>
        <w:rPr>
          <w:rFonts w:eastAsia="Times New Roman" w:cs="Tahoma"/>
          <w:b/>
          <w:bCs/>
          <w:szCs w:val="24"/>
          <w:u w:val="single"/>
          <w:lang w:eastAsia="pt-BR" w:bidi="ar-SA"/>
        </w:rPr>
      </w:r>
    </w:p>
    <w:p>
      <w:pPr>
        <w:pStyle w:val="LOnormal"/>
        <w:ind w:left="1020" w:hanging="0"/>
        <w:jc w:val="both"/>
        <w:rPr>
          <w:rFonts w:eastAsia="Times New Roman" w:cs="Tahoma"/>
          <w:b/>
          <w:b/>
          <w:bCs/>
          <w:szCs w:val="24"/>
          <w:u w:val="single"/>
          <w:lang w:eastAsia="pt-BR" w:bidi="ar-SA"/>
        </w:rPr>
      </w:pPr>
      <w:r>
        <w:rPr>
          <w:rFonts w:eastAsia="Times New Roman" w:cs="Tahoma"/>
          <w:b/>
          <w:bCs/>
          <w:color w:val="000000"/>
          <w:szCs w:val="24"/>
          <w:u w:val="single"/>
          <w:lang w:eastAsia="pt-BR" w:bidi="ar-SA"/>
        </w:rPr>
        <w:t>5.1.3   Que os bens devam ser, preferencialmente, acondicionados em embalagem individual adequada, com o menor volume possível, que utilize materiais recicláveis, de forma a garantir a máxima proteção durante o transporte e o armazenamento;</w:t>
      </w:r>
    </w:p>
    <w:p>
      <w:pPr>
        <w:pStyle w:val="LOnormal"/>
        <w:ind w:left="1276" w:hanging="0"/>
        <w:jc w:val="both"/>
        <w:rPr>
          <w:rFonts w:eastAsia="Times New Roman" w:cs="Times New Roman"/>
          <w:b/>
          <w:b/>
          <w:bCs/>
          <w:color w:val="000000"/>
          <w:sz w:val="24"/>
          <w:szCs w:val="24"/>
          <w:u w:val="single"/>
        </w:rPr>
      </w:pPr>
      <w:r>
        <w:rPr>
          <w:rFonts w:eastAsia="Times New Roman" w:cs="Times New Roman"/>
          <w:b/>
          <w:bCs/>
          <w:color w:val="000000"/>
          <w:sz w:val="24"/>
          <w:szCs w:val="24"/>
          <w:u w:val="single"/>
        </w:rPr>
      </w:r>
    </w:p>
    <w:p>
      <w:pPr>
        <w:pStyle w:val="LOnormal"/>
        <w:spacing w:lineRule="auto" w:line="276"/>
        <w:ind w:left="1020" w:hanging="0"/>
        <w:jc w:val="both"/>
        <w:rPr>
          <w:rFonts w:eastAsia="Times New Roman" w:cs="Tahoma"/>
          <w:b/>
          <w:b/>
          <w:bCs/>
          <w:szCs w:val="24"/>
          <w:u w:val="single"/>
          <w:lang w:eastAsia="pt-BR" w:bidi="ar-SA"/>
        </w:rPr>
      </w:pPr>
      <w:r>
        <w:rPr>
          <w:rFonts w:eastAsia="Times New Roman" w:cs="Tahoma"/>
          <w:b/>
          <w:bCs/>
          <w:color w:val="000000"/>
          <w:szCs w:val="24"/>
          <w:u w:val="single"/>
          <w:lang w:eastAsia="pt-BR" w:bidi="ar-SA"/>
        </w:rPr>
        <w:t>5.1.4 Que os bens não contenham substâncias perigosas em concentração acima da recomendada na diretiva RoHS (Restriction of ), tais como mercúrio (Hg), chumbo (Pb), cromo hexavalente (Cr(VI)), cádmio (Cd), bifenil-Certain HazardousSubstancespolibromados (PBBs), éteres difenil-polibromados (PBDEs).</w:t>
      </w:r>
    </w:p>
    <w:p>
      <w:pPr>
        <w:pStyle w:val="Normal"/>
        <w:numPr>
          <w:ilvl w:val="1"/>
          <w:numId w:val="1"/>
        </w:numPr>
        <w:spacing w:lineRule="auto" w:line="276" w:before="120" w:after="120"/>
        <w:jc w:val="both"/>
        <w:rPr>
          <w:b/>
          <w:b/>
          <w:bCs/>
          <w:u w:val="single"/>
        </w:rPr>
      </w:pPr>
      <w:r>
        <w:rPr>
          <w:b/>
          <w:bCs/>
          <w:color w:val="000000"/>
          <w:u w:val="single"/>
        </w:rPr>
        <w:t>Para comprovação do disposto no subitem anterior a licitante deverá apresentar a Declaração de Sustentabilidade Ambiental utilizando o modelo, anexo do Edital.</w:t>
      </w:r>
    </w:p>
    <w:p>
      <w:pPr>
        <w:pStyle w:val="Nivel1"/>
        <w:numPr>
          <w:ilvl w:val="0"/>
          <w:numId w:val="1"/>
        </w:numPr>
        <w:ind w:left="340" w:hanging="170"/>
        <w:rPr/>
      </w:pPr>
      <w:r>
        <w:rPr/>
        <w:t xml:space="preserve"> </w:t>
      </w:r>
      <w:r>
        <w:rPr/>
        <w:t>ENTREGA E CRITÉRIOS DE ACEITAÇÃO DO OBJETO.</w:t>
      </w:r>
    </w:p>
    <w:p>
      <w:pPr>
        <w:pStyle w:val="Normal"/>
        <w:numPr>
          <w:ilvl w:val="1"/>
          <w:numId w:val="1"/>
        </w:numPr>
        <w:spacing w:lineRule="auto" w:line="276" w:before="120" w:after="120"/>
        <w:ind w:left="425" w:hanging="0"/>
        <w:jc w:val="both"/>
        <w:rPr>
          <w:rFonts w:cs="Arial"/>
          <w:b/>
          <w:b/>
          <w:bCs/>
          <w:color w:val="000000"/>
          <w:szCs w:val="20"/>
        </w:rPr>
      </w:pPr>
      <w:r>
        <w:rPr>
          <w:rFonts w:cs="Arial"/>
          <w:iCs/>
          <w:color w:val="000000"/>
          <w:szCs w:val="20"/>
        </w:rPr>
        <w:t>O prazo de entrega dos bens é de 20(vinte)</w:t>
      </w:r>
      <w:r>
        <w:rPr>
          <w:rFonts w:cs="Arial"/>
          <w:iCs/>
          <w:color w:val="FF0000"/>
          <w:szCs w:val="20"/>
        </w:rPr>
        <w:t xml:space="preserve"> </w:t>
      </w:r>
      <w:r>
        <w:rPr>
          <w:rFonts w:cs="Arial"/>
          <w:iCs/>
          <w:color w:val="000000"/>
          <w:szCs w:val="20"/>
        </w:rPr>
        <w:t>dias, contados do(a) a partir da confirmação de recebimento da nota de empenho, em remessa, nos seguintes endereços:</w:t>
      </w:r>
    </w:p>
    <w:tbl>
      <w:tblPr>
        <w:tblW w:w="8700" w:type="dxa"/>
        <w:jc w:val="left"/>
        <w:tblInd w:w="394" w:type="dxa"/>
        <w:tblCellMar>
          <w:top w:w="28" w:type="dxa"/>
          <w:left w:w="28" w:type="dxa"/>
          <w:bottom w:w="28" w:type="dxa"/>
          <w:right w:w="28" w:type="dxa"/>
        </w:tblCellMar>
        <w:tblLook w:firstRow="1" w:noVBand="1" w:lastRow="0" w:firstColumn="1" w:lastColumn="0" w:noHBand="0" w:val="04a0"/>
      </w:tblPr>
      <w:tblGrid>
        <w:gridCol w:w="3285"/>
        <w:gridCol w:w="5414"/>
      </w:tblGrid>
      <w:tr>
        <w:trPr/>
        <w:tc>
          <w:tcPr>
            <w:tcW w:w="3285" w:type="dxa"/>
            <w:tcBorders>
              <w:top w:val="single" w:sz="2" w:space="0" w:color="000000"/>
              <w:left w:val="single" w:sz="2" w:space="0" w:color="000000"/>
              <w:bottom w:val="single" w:sz="2" w:space="0" w:color="000000"/>
            </w:tcBorders>
          </w:tcPr>
          <w:p>
            <w:pPr>
              <w:pStyle w:val="Contedodatabela"/>
              <w:jc w:val="center"/>
              <w:rPr>
                <w:b/>
                <w:b/>
                <w:bCs/>
              </w:rPr>
            </w:pPr>
            <w:r>
              <w:rPr>
                <w:b/>
                <w:bCs/>
              </w:rPr>
              <w:t xml:space="preserve">Unidade </w:t>
            </w:r>
          </w:p>
          <w:p>
            <w:pPr>
              <w:pStyle w:val="Contedodatabela"/>
              <w:jc w:val="center"/>
              <w:rPr>
                <w:b/>
                <w:b/>
                <w:bCs/>
              </w:rPr>
            </w:pPr>
            <w:r>
              <w:rPr>
                <w:b/>
                <w:bCs/>
              </w:rPr>
            </w:r>
          </w:p>
        </w:tc>
        <w:tc>
          <w:tcPr>
            <w:tcW w:w="5414" w:type="dxa"/>
            <w:tcBorders>
              <w:top w:val="single" w:sz="2" w:space="0" w:color="000000"/>
              <w:left w:val="single" w:sz="2" w:space="0" w:color="000000"/>
              <w:bottom w:val="single" w:sz="2" w:space="0" w:color="000000"/>
              <w:right w:val="single" w:sz="2" w:space="0" w:color="000000"/>
            </w:tcBorders>
          </w:tcPr>
          <w:p>
            <w:pPr>
              <w:pStyle w:val="Contedodatabela"/>
              <w:jc w:val="center"/>
              <w:rPr>
                <w:b/>
                <w:b/>
                <w:bCs/>
              </w:rPr>
            </w:pPr>
            <w:r>
              <w:rPr>
                <w:b/>
                <w:bCs/>
              </w:rPr>
              <w:t>Endereço de Entrega</w:t>
            </w:r>
          </w:p>
        </w:tc>
      </w:tr>
      <w:tr>
        <w:trPr>
          <w:trHeight w:val="953" w:hRule="atLeast"/>
        </w:trPr>
        <w:tc>
          <w:tcPr>
            <w:tcW w:w="3285" w:type="dxa"/>
            <w:tcBorders>
              <w:left w:val="single" w:sz="2" w:space="0" w:color="000000"/>
              <w:bottom w:val="single" w:sz="2" w:space="0" w:color="000000"/>
            </w:tcBorders>
          </w:tcPr>
          <w:p>
            <w:pPr>
              <w:pStyle w:val="LOnormal"/>
              <w:tabs>
                <w:tab w:val="clear" w:pos="720"/>
                <w:tab w:val="left" w:pos="0" w:leader="none"/>
              </w:tabs>
              <w:spacing w:lineRule="auto" w:line="276" w:before="120" w:after="120"/>
              <w:jc w:val="both"/>
              <w:rPr>
                <w:rFonts w:eastAsia="Times New Roman"/>
                <w:color w:val="000000"/>
                <w:lang w:eastAsia="pt-BR" w:bidi="ar-SA"/>
              </w:rPr>
            </w:pPr>
            <w:r>
              <w:rPr>
                <w:rFonts w:eastAsia="Times New Roman"/>
                <w:b/>
                <w:color w:val="000000"/>
                <w:lang w:eastAsia="pt-BR" w:bidi="ar-SA"/>
              </w:rPr>
              <w:t>Campus Petrolina Zona Rural</w:t>
            </w:r>
            <w:r>
              <w:rPr>
                <w:rFonts w:eastAsia="Times New Roman"/>
                <w:color w:val="000000"/>
                <w:lang w:eastAsia="pt-BR" w:bidi="ar-SA"/>
              </w:rPr>
              <w:t xml:space="preserve"> –</w:t>
            </w:r>
          </w:p>
        </w:tc>
        <w:tc>
          <w:tcPr>
            <w:tcW w:w="5414" w:type="dxa"/>
            <w:tcBorders>
              <w:left w:val="single" w:sz="2" w:space="0" w:color="000000"/>
              <w:bottom w:val="single" w:sz="2" w:space="0" w:color="000000"/>
              <w:right w:val="single" w:sz="2" w:space="0" w:color="000000"/>
            </w:tcBorders>
          </w:tcPr>
          <w:p>
            <w:pPr>
              <w:pStyle w:val="LOnormal"/>
              <w:tabs>
                <w:tab w:val="clear" w:pos="720"/>
                <w:tab w:val="left" w:pos="0" w:leader="none"/>
              </w:tabs>
              <w:spacing w:lineRule="auto" w:line="276" w:before="120" w:after="120"/>
              <w:ind w:left="20" w:hanging="0"/>
              <w:jc w:val="both"/>
              <w:rPr>
                <w:rFonts w:eastAsia="Times New Roman" w:cs="Tahoma"/>
                <w:szCs w:val="24"/>
                <w:lang w:eastAsia="pt-BR" w:bidi="ar-SA"/>
              </w:rPr>
            </w:pPr>
            <w:r>
              <w:rPr>
                <w:rFonts w:eastAsia="Times New Roman" w:cs="Tahoma"/>
                <w:szCs w:val="24"/>
                <w:lang w:eastAsia="pt-BR" w:bidi="ar-SA"/>
              </w:rPr>
              <w:t xml:space="preserve"> </w:t>
            </w:r>
            <w:r>
              <w:rPr>
                <w:rFonts w:eastAsia="Times New Roman" w:cs="Tahoma"/>
                <w:szCs w:val="24"/>
                <w:lang w:eastAsia="pt-BR" w:bidi="ar-SA"/>
              </w:rPr>
              <w:t>Rodovia BR 235, Km 22, Projeto Senador Nilo Coelho – N4 – Petrolina – PE, Caixa Postal Nº 277, CEP: 56.302-970 / Telefone: (87) 2101-8050</w:t>
            </w:r>
          </w:p>
        </w:tc>
      </w:tr>
      <w:tr>
        <w:trPr/>
        <w:tc>
          <w:tcPr>
            <w:tcW w:w="3285" w:type="dxa"/>
            <w:tcBorders>
              <w:left w:val="single" w:sz="2" w:space="0" w:color="000000"/>
              <w:bottom w:val="single" w:sz="2" w:space="0" w:color="000000"/>
            </w:tcBorders>
          </w:tcPr>
          <w:p>
            <w:pPr>
              <w:pStyle w:val="Normal"/>
              <w:spacing w:before="240" w:after="0"/>
              <w:jc w:val="both"/>
              <w:rPr>
                <w:rFonts w:cs="Arial"/>
                <w:b/>
                <w:b/>
                <w:color w:val="000000"/>
                <w:szCs w:val="20"/>
              </w:rPr>
            </w:pPr>
            <w:r>
              <w:rPr>
                <w:rFonts w:cs="Arial"/>
                <w:b/>
                <w:color w:val="000000"/>
                <w:szCs w:val="20"/>
              </w:rPr>
              <w:t xml:space="preserve"> </w:t>
            </w:r>
            <w:r>
              <w:rPr>
                <w:rFonts w:cs="Arial"/>
                <w:b/>
                <w:color w:val="000000"/>
                <w:szCs w:val="20"/>
              </w:rPr>
              <w:t>Campus Floresta</w:t>
            </w:r>
          </w:p>
        </w:tc>
        <w:tc>
          <w:tcPr>
            <w:tcW w:w="5414" w:type="dxa"/>
            <w:tcBorders>
              <w:left w:val="single" w:sz="2" w:space="0" w:color="000000"/>
              <w:bottom w:val="single" w:sz="2" w:space="0" w:color="000000"/>
              <w:right w:val="single" w:sz="2" w:space="0" w:color="000000"/>
            </w:tcBorders>
          </w:tcPr>
          <w:p>
            <w:pPr>
              <w:pStyle w:val="Normal"/>
              <w:spacing w:before="240" w:after="0"/>
              <w:ind w:left="-113" w:hanging="0"/>
              <w:jc w:val="both"/>
              <w:rPr/>
            </w:pPr>
            <w:r>
              <w:rPr/>
              <w:t xml:space="preserve"> </w:t>
            </w:r>
            <w:r>
              <w:rPr/>
              <w:t>Rua Projetada, S/N, Caetano II – N4. CEP: 56400-000 | Floresta/PE – Brasil. Telefone: (87) 3877-2797.</w:t>
            </w:r>
          </w:p>
        </w:tc>
      </w:tr>
      <w:tr>
        <w:trPr/>
        <w:tc>
          <w:tcPr>
            <w:tcW w:w="3285" w:type="dxa"/>
            <w:tcBorders>
              <w:left w:val="single" w:sz="2" w:space="0" w:color="000000"/>
              <w:bottom w:val="single" w:sz="2" w:space="0" w:color="000000"/>
            </w:tcBorders>
          </w:tcPr>
          <w:p>
            <w:pPr>
              <w:pStyle w:val="LOnormal"/>
              <w:tabs>
                <w:tab w:val="clear" w:pos="720"/>
                <w:tab w:val="left" w:pos="0" w:leader="none"/>
              </w:tabs>
              <w:spacing w:lineRule="auto" w:line="276" w:before="120" w:after="120"/>
              <w:ind w:left="77" w:hanging="0"/>
              <w:jc w:val="both"/>
              <w:rPr>
                <w:rFonts w:eastAsia="Times New Roman"/>
                <w:b/>
                <w:b/>
                <w:color w:val="000000"/>
                <w:lang w:eastAsia="pt-BR" w:bidi="ar-SA"/>
              </w:rPr>
            </w:pPr>
            <w:r>
              <w:rPr>
                <w:rFonts w:eastAsia="Times New Roman"/>
                <w:b/>
                <w:color w:val="000000"/>
                <w:lang w:eastAsia="pt-BR" w:bidi="ar-SA"/>
              </w:rPr>
              <w:t xml:space="preserve">Campus Ouricuri </w:t>
            </w:r>
          </w:p>
        </w:tc>
        <w:tc>
          <w:tcPr>
            <w:tcW w:w="5414" w:type="dxa"/>
            <w:tcBorders>
              <w:left w:val="single" w:sz="2" w:space="0" w:color="000000"/>
              <w:bottom w:val="single" w:sz="2" w:space="0" w:color="000000"/>
              <w:right w:val="single" w:sz="2" w:space="0" w:color="000000"/>
            </w:tcBorders>
          </w:tcPr>
          <w:p>
            <w:pPr>
              <w:pStyle w:val="LOnormal"/>
              <w:tabs>
                <w:tab w:val="clear" w:pos="720"/>
                <w:tab w:val="left" w:pos="0" w:leader="none"/>
              </w:tabs>
              <w:spacing w:lineRule="auto" w:line="276" w:before="120" w:after="120"/>
              <w:jc w:val="both"/>
              <w:rPr>
                <w:rFonts w:eastAsia="Times New Roman" w:cs="Tahoma"/>
                <w:szCs w:val="24"/>
                <w:lang w:eastAsia="pt-BR" w:bidi="ar-SA"/>
              </w:rPr>
            </w:pPr>
            <w:r>
              <w:rPr>
                <w:rFonts w:eastAsia="Times New Roman" w:cs="Tahoma"/>
                <w:szCs w:val="24"/>
                <w:lang w:eastAsia="pt-BR" w:bidi="ar-SA"/>
              </w:rPr>
              <w:t>Estrada do Tamboril, S/Nº – Ouricuri – PE, CEP: 56.200-00 / Telefone: (87) 98122-3778</w:t>
            </w:r>
          </w:p>
        </w:tc>
      </w:tr>
      <w:tr>
        <w:trPr/>
        <w:tc>
          <w:tcPr>
            <w:tcW w:w="3285" w:type="dxa"/>
            <w:tcBorders>
              <w:left w:val="single" w:sz="2" w:space="0" w:color="000000"/>
              <w:bottom w:val="single" w:sz="2" w:space="0" w:color="000000"/>
            </w:tcBorders>
          </w:tcPr>
          <w:p>
            <w:pPr>
              <w:pStyle w:val="Normal"/>
              <w:spacing w:before="240" w:after="0"/>
              <w:ind w:left="57" w:hanging="0"/>
              <w:jc w:val="both"/>
              <w:rPr>
                <w:b/>
                <w:b/>
                <w:bCs/>
              </w:rPr>
            </w:pPr>
            <w:r>
              <w:rPr>
                <w:b/>
                <w:bCs/>
              </w:rPr>
              <w:t>Campus Salgueiro</w:t>
            </w:r>
          </w:p>
        </w:tc>
        <w:tc>
          <w:tcPr>
            <w:tcW w:w="5414" w:type="dxa"/>
            <w:tcBorders>
              <w:left w:val="single" w:sz="2" w:space="0" w:color="000000"/>
              <w:bottom w:val="single" w:sz="2" w:space="0" w:color="000000"/>
              <w:right w:val="single" w:sz="2" w:space="0" w:color="000000"/>
            </w:tcBorders>
          </w:tcPr>
          <w:p>
            <w:pPr>
              <w:pStyle w:val="Normal"/>
              <w:spacing w:before="240" w:after="0"/>
              <w:jc w:val="both"/>
              <w:rPr>
                <w:rFonts w:cs="Arial"/>
                <w:color w:val="000000"/>
                <w:szCs w:val="20"/>
              </w:rPr>
            </w:pPr>
            <w:r>
              <w:rPr>
                <w:rFonts w:cs="Arial"/>
                <w:color w:val="000000"/>
                <w:szCs w:val="20"/>
              </w:rPr>
              <w:t>BR 232, Km 504, sentido Recife. CEP: 56000-000 /Salgueiro/PE – Brasil Telefone: (87) 3421 – 0050</w:t>
            </w:r>
          </w:p>
        </w:tc>
      </w:tr>
      <w:tr>
        <w:trPr/>
        <w:tc>
          <w:tcPr>
            <w:tcW w:w="3285" w:type="dxa"/>
            <w:tcBorders>
              <w:left w:val="single" w:sz="2" w:space="0" w:color="000000"/>
              <w:bottom w:val="single" w:sz="2" w:space="0" w:color="000000"/>
            </w:tcBorders>
          </w:tcPr>
          <w:p>
            <w:pPr>
              <w:pStyle w:val="Normal"/>
              <w:spacing w:before="240" w:after="0"/>
              <w:ind w:left="113" w:hanging="0"/>
              <w:jc w:val="both"/>
              <w:rPr/>
            </w:pPr>
            <w:r>
              <w:rPr>
                <w:b/>
              </w:rPr>
              <w:t>Campus Santa Maria da Boa Vista.</w:t>
            </w:r>
          </w:p>
          <w:p>
            <w:pPr>
              <w:pStyle w:val="Normal"/>
              <w:spacing w:before="240" w:after="0"/>
              <w:ind w:left="720" w:hanging="0"/>
              <w:jc w:val="both"/>
              <w:rPr>
                <w:b/>
                <w:b/>
              </w:rPr>
            </w:pPr>
            <w:r>
              <w:rPr>
                <w:b/>
              </w:rPr>
            </w:r>
          </w:p>
        </w:tc>
        <w:tc>
          <w:tcPr>
            <w:tcW w:w="5414" w:type="dxa"/>
            <w:tcBorders>
              <w:left w:val="single" w:sz="2" w:space="0" w:color="000000"/>
              <w:bottom w:val="single" w:sz="2" w:space="0" w:color="000000"/>
              <w:right w:val="single" w:sz="2" w:space="0" w:color="000000"/>
            </w:tcBorders>
          </w:tcPr>
          <w:p>
            <w:pPr>
              <w:pStyle w:val="Normal"/>
              <w:spacing w:before="240" w:after="0"/>
              <w:jc w:val="both"/>
              <w:rPr>
                <w:b/>
                <w:b/>
              </w:rPr>
            </w:pPr>
            <w:r>
              <w:rPr>
                <w:rFonts w:cs="Arial"/>
                <w:b/>
                <w:color w:val="000000"/>
                <w:szCs w:val="20"/>
              </w:rPr>
              <w:t xml:space="preserve"> </w:t>
            </w:r>
            <w:r>
              <w:rPr>
                <w:rFonts w:cs="Arial"/>
                <w:color w:val="000000"/>
                <w:szCs w:val="20"/>
              </w:rPr>
              <w:t>Endereço de entrega: BR 428, Km 90, Zona Rural. CEP: 56.380-000 | Santa Maria da Boa Vista/PE – Brasil. Telefone: (87) 9.9952 8816</w:t>
            </w:r>
          </w:p>
        </w:tc>
      </w:tr>
    </w:tbl>
    <w:p>
      <w:pPr>
        <w:pStyle w:val="Normal"/>
        <w:spacing w:lineRule="auto" w:line="276" w:before="120" w:after="120"/>
        <w:ind w:left="1141" w:hanging="0"/>
        <w:jc w:val="both"/>
        <w:rPr>
          <w:rFonts w:cs="Arial"/>
          <w:b/>
          <w:b/>
          <w:bCs/>
          <w:color w:val="000000"/>
          <w:szCs w:val="20"/>
        </w:rPr>
      </w:pPr>
      <w:r>
        <w:rPr>
          <w:rFonts w:cs="Arial"/>
          <w:b/>
          <w:bCs/>
          <w:color w:val="000000"/>
          <w:szCs w:val="20"/>
        </w:rPr>
      </w:r>
    </w:p>
    <w:p>
      <w:pPr>
        <w:pStyle w:val="Normal"/>
        <w:numPr>
          <w:ilvl w:val="1"/>
          <w:numId w:val="1"/>
        </w:numPr>
        <w:spacing w:lineRule="auto" w:line="276" w:before="120" w:after="120"/>
        <w:ind w:left="425" w:hanging="0"/>
        <w:jc w:val="both"/>
        <w:rPr>
          <w:rFonts w:cs="Arial"/>
          <w:b/>
          <w:b/>
          <w:bCs/>
          <w:color w:val="000000"/>
          <w:szCs w:val="20"/>
        </w:rPr>
      </w:pPr>
      <w:r>
        <w:rPr>
          <w:rFonts w:cs="Arial"/>
          <w:color w:val="000000"/>
          <w:szCs w:val="20"/>
        </w:rPr>
        <w:t xml:space="preserve">Os bens serão recebidos provisoriamente no prazo de </w:t>
      </w:r>
      <w:r>
        <w:rPr>
          <w:rFonts w:cs="Arial"/>
          <w:b/>
          <w:bCs/>
          <w:color w:val="000000"/>
          <w:szCs w:val="20"/>
        </w:rPr>
        <w:t>15(quinze) dias</w:t>
      </w:r>
      <w:r>
        <w:rPr>
          <w:rFonts w:cs="Arial"/>
          <w:color w:val="000000"/>
          <w:szCs w:val="20"/>
        </w:rPr>
        <w:t xml:space="preserve">, pelo(a) </w:t>
      </w:r>
      <w:r>
        <w:rPr>
          <w:rFonts w:cs="Arial"/>
          <w:iCs/>
          <w:color w:val="000000"/>
          <w:szCs w:val="20"/>
        </w:rPr>
        <w:t>responsável</w:t>
      </w:r>
      <w:r>
        <w:rPr>
          <w:rFonts w:cs="Arial"/>
          <w:color w:val="000000"/>
          <w:szCs w:val="20"/>
        </w:rPr>
        <w:t xml:space="preserve"> pelo acompanhamento e fiscalização do contrato, para efeito de posterior verificação de sua conformidade com as especificações constantes neste Termo de Referência e na proposta. </w:t>
      </w:r>
    </w:p>
    <w:p>
      <w:pPr>
        <w:pStyle w:val="Normal"/>
        <w:numPr>
          <w:ilvl w:val="1"/>
          <w:numId w:val="1"/>
        </w:numPr>
        <w:spacing w:lineRule="auto" w:line="276" w:before="120" w:after="120"/>
        <w:ind w:left="425" w:hanging="0"/>
        <w:jc w:val="both"/>
        <w:rPr>
          <w:rFonts w:cs="Arial"/>
          <w:bCs/>
          <w:color w:val="000000"/>
          <w:szCs w:val="20"/>
        </w:rPr>
      </w:pPr>
      <w:r>
        <w:rPr>
          <w:rFonts w:cs="Arial"/>
          <w:bCs/>
          <w:color w:val="000000"/>
          <w:szCs w:val="20"/>
        </w:rPr>
        <w:t>Os bens poderão ser rejeitados, no todo ou em parte, quando em desacordo com as especificações constantes neste Termo de Referência e na proposta, devendo ser substituídos no prazo de</w:t>
      </w:r>
      <w:r>
        <w:rPr>
          <w:rFonts w:cs="Arial"/>
          <w:b/>
          <w:bCs/>
          <w:color w:val="000000"/>
          <w:szCs w:val="20"/>
        </w:rPr>
        <w:t>15(quinze) dias,</w:t>
      </w:r>
      <w:r>
        <w:rPr>
          <w:rFonts w:cs="Arial"/>
          <w:bCs/>
          <w:color w:val="000000"/>
          <w:szCs w:val="20"/>
        </w:rPr>
        <w:t xml:space="preserve"> a contar da notificação da contratada, às suas custas, sem prejuízo da aplicação das penalidades.</w:t>
      </w:r>
    </w:p>
    <w:p>
      <w:pPr>
        <w:pStyle w:val="Normal"/>
        <w:numPr>
          <w:ilvl w:val="1"/>
          <w:numId w:val="1"/>
        </w:numPr>
        <w:spacing w:lineRule="auto" w:line="276" w:before="120" w:after="120"/>
        <w:ind w:left="425" w:hanging="0"/>
        <w:jc w:val="both"/>
        <w:rPr>
          <w:rFonts w:cs="Arial"/>
          <w:bCs/>
          <w:color w:val="000000"/>
          <w:szCs w:val="20"/>
        </w:rPr>
      </w:pPr>
      <w:r>
        <w:rPr>
          <w:rFonts w:cs="Arial"/>
          <w:color w:val="000000"/>
          <w:szCs w:val="20"/>
        </w:rPr>
        <w:t xml:space="preserve">Os bens serão recebidos definitivamente no prazo de </w:t>
      </w:r>
      <w:r>
        <w:rPr>
          <w:rFonts w:cs="Arial"/>
          <w:b/>
          <w:bCs/>
          <w:color w:val="000000"/>
          <w:szCs w:val="20"/>
        </w:rPr>
        <w:t>15(quinze) dias</w:t>
      </w:r>
      <w:r>
        <w:rPr>
          <w:rFonts w:cs="Arial"/>
          <w:color w:val="000000"/>
          <w:szCs w:val="20"/>
        </w:rPr>
        <w:t>, contados do recebimento provisório, após a verificação da qualidade e quantidade do material e consequente aceitação mediante termo circunstanciado.</w:t>
      </w:r>
    </w:p>
    <w:p>
      <w:pPr>
        <w:pStyle w:val="Normal"/>
        <w:numPr>
          <w:ilvl w:val="2"/>
          <w:numId w:val="1"/>
        </w:numPr>
        <w:spacing w:lineRule="auto" w:line="276" w:before="120" w:after="120"/>
        <w:ind w:left="1134" w:hanging="0"/>
        <w:jc w:val="both"/>
        <w:rPr>
          <w:rFonts w:cs="Arial"/>
          <w:b/>
          <w:b/>
          <w:bCs/>
          <w:color w:val="000000"/>
          <w:szCs w:val="20"/>
        </w:rPr>
      </w:pPr>
      <w:r>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lang w:eastAsia="en-US"/>
        </w:rPr>
        <w:t>O recebimento provisório ou definitivo do objeto não exclui a responsabilidade da contratada pelos prejuízos resultantes da incorreta execução do contrato.</w:t>
      </w:r>
    </w:p>
    <w:p>
      <w:pPr>
        <w:pStyle w:val="Nivel1"/>
        <w:numPr>
          <w:ilvl w:val="0"/>
          <w:numId w:val="1"/>
        </w:numPr>
        <w:rPr/>
      </w:pPr>
      <w:r>
        <w:rPr>
          <w:lang w:eastAsia="en-US"/>
        </w:rPr>
        <w:t>OBRIGAÇÕES DA CONTRATANTE</w:t>
      </w:r>
    </w:p>
    <w:p>
      <w:pPr>
        <w:pStyle w:val="Normal"/>
        <w:numPr>
          <w:ilvl w:val="1"/>
          <w:numId w:val="1"/>
        </w:numPr>
        <w:spacing w:lineRule="auto" w:line="276" w:before="120" w:after="120"/>
        <w:ind w:left="425" w:hanging="0"/>
        <w:jc w:val="both"/>
        <w:rPr>
          <w:rFonts w:cs="Arial"/>
          <w:b/>
          <w:b/>
          <w:color w:val="000000"/>
          <w:szCs w:val="20"/>
        </w:rPr>
      </w:pPr>
      <w:r>
        <w:rPr>
          <w:rFonts w:cs="Arial"/>
          <w:szCs w:val="20"/>
        </w:rPr>
        <w:t>São obrigações da Contratante:</w:t>
      </w:r>
    </w:p>
    <w:p>
      <w:pPr>
        <w:pStyle w:val="Normal"/>
        <w:numPr>
          <w:ilvl w:val="2"/>
          <w:numId w:val="1"/>
        </w:numPr>
        <w:spacing w:lineRule="auto" w:line="276" w:before="120" w:after="120"/>
        <w:ind w:left="1134" w:hanging="0"/>
        <w:jc w:val="both"/>
        <w:rPr>
          <w:rFonts w:cs="Arial"/>
          <w:b/>
          <w:b/>
          <w:color w:val="000000"/>
          <w:szCs w:val="20"/>
        </w:rPr>
      </w:pPr>
      <w:r>
        <w:rPr>
          <w:rFonts w:cs="Arial"/>
          <w:szCs w:val="20"/>
        </w:rPr>
        <w:t>receber o objeto no prazo e condições estabelecidas no Edital e seus anexos;</w:t>
      </w:r>
    </w:p>
    <w:p>
      <w:pPr>
        <w:pStyle w:val="Normal"/>
        <w:numPr>
          <w:ilvl w:val="2"/>
          <w:numId w:val="1"/>
        </w:numPr>
        <w:spacing w:lineRule="auto" w:line="276" w:before="120" w:after="120"/>
        <w:ind w:left="1134" w:hanging="0"/>
        <w:jc w:val="both"/>
        <w:rPr>
          <w:rFonts w:cs="Arial"/>
          <w:b/>
          <w:b/>
          <w:color w:val="000000"/>
          <w:szCs w:val="20"/>
        </w:rPr>
      </w:pPr>
      <w:r>
        <w:rPr>
          <w:rFonts w:cs="Arial"/>
          <w:szCs w:val="20"/>
          <w:lang w:eastAsia="en-US"/>
        </w:rPr>
        <w:t>verificar minuciosamente, no prazo fixado, a conformidade dos bens recebidos provisoriamente com as especificações constantes do Edital e da proposta, para fins de aceitação e recebimento definitivo;</w:t>
      </w:r>
    </w:p>
    <w:p>
      <w:pPr>
        <w:pStyle w:val="Normal"/>
        <w:numPr>
          <w:ilvl w:val="2"/>
          <w:numId w:val="1"/>
        </w:numPr>
        <w:spacing w:lineRule="auto" w:line="276" w:before="120" w:after="120"/>
        <w:ind w:left="1134" w:hanging="0"/>
        <w:jc w:val="both"/>
        <w:rPr>
          <w:rFonts w:cs="Arial"/>
          <w:b/>
          <w:b/>
          <w:color w:val="000000"/>
          <w:szCs w:val="20"/>
        </w:rPr>
      </w:pPr>
      <w:r>
        <w:rPr>
          <w:rFonts w:cs="Arial"/>
          <w:szCs w:val="20"/>
        </w:rPr>
        <w:t>comunicar à Contratada, por escrito, sobre imperfeições, falhas ou irregularidades verificadas no objeto fornecido, para que seja substituído, reparado ou corrigido;</w:t>
      </w:r>
    </w:p>
    <w:p>
      <w:pPr>
        <w:pStyle w:val="Normal"/>
        <w:numPr>
          <w:ilvl w:val="2"/>
          <w:numId w:val="1"/>
        </w:numPr>
        <w:spacing w:lineRule="auto" w:line="276" w:before="120" w:after="120"/>
        <w:ind w:left="1134" w:hanging="0"/>
        <w:jc w:val="both"/>
        <w:rPr>
          <w:rFonts w:cs="Arial"/>
          <w:b/>
          <w:b/>
          <w:color w:val="000000"/>
          <w:szCs w:val="20"/>
        </w:rPr>
      </w:pPr>
      <w:r>
        <w:rPr>
          <w:rFonts w:cs="Arial"/>
          <w:szCs w:val="20"/>
          <w:lang w:eastAsia="en-US"/>
        </w:rPr>
        <w:t>acompanhar e fiscalizar o cumprimento das obrigações da Contratada, através de comissão/servidor especialmente designado;</w:t>
      </w:r>
    </w:p>
    <w:p>
      <w:pPr>
        <w:pStyle w:val="Normal"/>
        <w:numPr>
          <w:ilvl w:val="2"/>
          <w:numId w:val="1"/>
        </w:numPr>
        <w:spacing w:lineRule="auto" w:line="276" w:before="120" w:after="120"/>
        <w:ind w:left="1134" w:hanging="0"/>
        <w:jc w:val="both"/>
        <w:rPr>
          <w:rFonts w:cs="Arial"/>
          <w:b/>
          <w:b/>
          <w:color w:val="000000"/>
          <w:szCs w:val="20"/>
        </w:rPr>
      </w:pPr>
      <w:r>
        <w:rPr>
          <w:rFonts w:cs="Arial"/>
          <w:szCs w:val="20"/>
        </w:rPr>
        <w:t>efetuar o pagamento à Contratada</w:t>
      </w:r>
      <w:r>
        <w:rPr>
          <w:rFonts w:cs="Arial"/>
          <w:b/>
          <w:szCs w:val="20"/>
        </w:rPr>
        <w:t xml:space="preserve"> </w:t>
      </w:r>
      <w:r>
        <w:rPr>
          <w:rFonts w:cs="Arial"/>
          <w:szCs w:val="20"/>
        </w:rPr>
        <w:t>no valor correspondente ao fornecimento do objeto, no prazo e forma estabelecidos no Edital e seus anexos;</w:t>
      </w:r>
    </w:p>
    <w:p>
      <w:pPr>
        <w:pStyle w:val="Normal"/>
        <w:numPr>
          <w:ilvl w:val="1"/>
          <w:numId w:val="1"/>
        </w:numPr>
        <w:spacing w:lineRule="auto" w:line="276" w:before="120" w:after="120"/>
        <w:ind w:left="425" w:hanging="0"/>
        <w:jc w:val="both"/>
        <w:rPr>
          <w:rFonts w:cs="Arial"/>
          <w:b/>
          <w:b/>
          <w:color w:val="000000"/>
          <w:szCs w:val="20"/>
        </w:rPr>
      </w:pPr>
      <w:r>
        <w:rPr>
          <w:rFonts w:cs="Arial"/>
          <w:szCs w:val="2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pPr>
        <w:pStyle w:val="Nivel1"/>
        <w:numPr>
          <w:ilvl w:val="0"/>
          <w:numId w:val="1"/>
        </w:numPr>
        <w:rPr/>
      </w:pPr>
      <w:r>
        <w:rPr/>
        <w:t>OBRIGAÇÕES DA CONTRATADA</w:t>
      </w:r>
    </w:p>
    <w:p>
      <w:pPr>
        <w:pStyle w:val="Normal"/>
        <w:numPr>
          <w:ilvl w:val="1"/>
          <w:numId w:val="1"/>
        </w:numPr>
        <w:spacing w:lineRule="auto" w:line="276" w:before="120" w:after="120"/>
        <w:ind w:left="425" w:hanging="0"/>
        <w:jc w:val="both"/>
        <w:rPr>
          <w:rFonts w:cs="Arial"/>
          <w:b/>
          <w:b/>
          <w:color w:val="000000"/>
          <w:szCs w:val="20"/>
        </w:rPr>
      </w:pPr>
      <w:r>
        <w:rPr>
          <w:rFonts w:cs="Arial"/>
          <w:szCs w:val="20"/>
        </w:rPr>
        <w:t>A Contratada deve cumprir todas as obrigações constantes no Edital, seus anexos e sua proposta, assumindo como exclusivamente seus os riscos e as despesas decorrentes da boa e perfeita execução do objeto e, ainda:</w:t>
      </w:r>
    </w:p>
    <w:p>
      <w:pPr>
        <w:pStyle w:val="Normal"/>
        <w:numPr>
          <w:ilvl w:val="2"/>
          <w:numId w:val="1"/>
        </w:numPr>
        <w:spacing w:lineRule="auto" w:line="276" w:before="120" w:after="120"/>
        <w:ind w:left="1134" w:hanging="0"/>
        <w:jc w:val="both"/>
        <w:rPr>
          <w:rFonts w:cs="Arial"/>
          <w:b/>
          <w:b/>
          <w:color w:val="000000"/>
          <w:szCs w:val="20"/>
        </w:rPr>
      </w:pPr>
      <w:r>
        <w:rPr>
          <w:rFonts w:cs="Arial"/>
          <w:szCs w:val="20"/>
        </w:rPr>
        <w:t xml:space="preserve">efetuar a entrega do objeto em perfeitas condições, conforme especificações, prazo e local constantes no Termo de Referência e seus anexos, acompanhado da respectiva nota fiscal, na qual constarão as indicações referentes a: </w:t>
      </w:r>
      <w:r>
        <w:rPr>
          <w:rFonts w:cs="Arial"/>
          <w:color w:val="000000"/>
          <w:szCs w:val="20"/>
        </w:rPr>
        <w:t>marca, fabricante, modelo, procedência e prazo de garantia ou validade;</w:t>
      </w:r>
    </w:p>
    <w:p>
      <w:pPr>
        <w:pStyle w:val="Normal"/>
        <w:widowControl/>
        <w:suppressAutoHyphens w:val="true"/>
        <w:bidi w:val="0"/>
        <w:spacing w:lineRule="auto" w:line="276" w:before="120" w:after="120"/>
        <w:ind w:left="2211" w:right="0" w:hanging="0"/>
        <w:jc w:val="both"/>
        <w:rPr>
          <w:rFonts w:cs="Arial"/>
          <w:b/>
          <w:b/>
          <w:color w:val="000000"/>
          <w:szCs w:val="20"/>
        </w:rPr>
      </w:pPr>
      <w:r>
        <w:rPr>
          <w:rFonts w:cs="Arial"/>
          <w:color w:val="000000"/>
          <w:szCs w:val="20"/>
        </w:rPr>
        <w:t>8.1.1.1</w:t>
      </w:r>
      <w:r>
        <w:rPr>
          <w:rFonts w:cs="Arial"/>
          <w:b/>
          <w:bCs/>
          <w:color w:val="000000"/>
          <w:szCs w:val="20"/>
        </w:rPr>
        <w:t xml:space="preserve"> SUPRIMIDO</w:t>
      </w:r>
    </w:p>
    <w:p>
      <w:pPr>
        <w:pStyle w:val="Normal"/>
        <w:numPr>
          <w:ilvl w:val="2"/>
          <w:numId w:val="1"/>
        </w:numPr>
        <w:spacing w:lineRule="auto" w:line="276" w:before="120" w:after="120"/>
        <w:ind w:left="1134" w:hanging="0"/>
        <w:jc w:val="both"/>
        <w:rPr>
          <w:rFonts w:cs="Arial"/>
          <w:szCs w:val="20"/>
        </w:rPr>
      </w:pPr>
      <w:r>
        <w:rPr>
          <w:rFonts w:cs="Arial"/>
          <w:szCs w:val="20"/>
        </w:rPr>
        <w:t>responsabilizar-se pelos vícios e danos decorrentes do objeto, de acordo com os artigos 12, 13 e 17 a 27, do Código de Defesa do Consumidor (Lei nº 8.078, de 1990);</w:t>
      </w:r>
    </w:p>
    <w:p>
      <w:pPr>
        <w:pStyle w:val="Normal"/>
        <w:numPr>
          <w:ilvl w:val="2"/>
          <w:numId w:val="1"/>
        </w:numPr>
        <w:spacing w:lineRule="auto" w:line="276" w:before="120" w:after="120"/>
        <w:ind w:left="1134" w:hanging="0"/>
        <w:jc w:val="both"/>
        <w:rPr>
          <w:rFonts w:cs="Arial"/>
          <w:szCs w:val="20"/>
        </w:rPr>
      </w:pPr>
      <w:r>
        <w:rPr>
          <w:rFonts w:cs="Arial"/>
          <w:szCs w:val="20"/>
        </w:rPr>
        <w:t>substituir, reparar ou corrigir, às suas expensas, no prazo fixado neste Termo de Referência, o objeto com avarias ou defeitos;</w:t>
      </w:r>
    </w:p>
    <w:p>
      <w:pPr>
        <w:pStyle w:val="Normal"/>
        <w:numPr>
          <w:ilvl w:val="2"/>
          <w:numId w:val="1"/>
        </w:numPr>
        <w:spacing w:lineRule="auto" w:line="276" w:before="120" w:after="120"/>
        <w:ind w:left="1134" w:hanging="0"/>
        <w:jc w:val="both"/>
        <w:rPr>
          <w:rFonts w:cs="Arial"/>
          <w:szCs w:val="20"/>
        </w:rPr>
      </w:pPr>
      <w:r>
        <w:rPr>
          <w:rFonts w:cs="Arial"/>
          <w:szCs w:val="20"/>
        </w:rPr>
        <w:t>comunicar à Contratante, no prazo máximo de 24 (vinte e quatro) horas que antecede a data da entrega, os motivos que impossibilitem o cumprimento do prazo previsto, com a devida comprovação;</w:t>
      </w:r>
    </w:p>
    <w:p>
      <w:pPr>
        <w:pStyle w:val="Normal"/>
        <w:numPr>
          <w:ilvl w:val="2"/>
          <w:numId w:val="1"/>
        </w:numPr>
        <w:spacing w:lineRule="auto" w:line="276" w:before="120" w:after="120"/>
        <w:ind w:left="1134" w:hanging="0"/>
        <w:jc w:val="both"/>
        <w:rPr>
          <w:rFonts w:cs="Arial"/>
          <w:szCs w:val="20"/>
        </w:rPr>
      </w:pPr>
      <w:r>
        <w:rPr>
          <w:rFonts w:cs="Arial"/>
          <w:szCs w:val="20"/>
        </w:rPr>
        <w:t>manter, durante toda a execução do contrato, em compatibilidade com as obrigações assumidas, todas as condições de habilitação e qualificação exigidas na licitação;</w:t>
      </w:r>
    </w:p>
    <w:p>
      <w:pPr>
        <w:pStyle w:val="Normal"/>
        <w:numPr>
          <w:ilvl w:val="2"/>
          <w:numId w:val="1"/>
        </w:numPr>
        <w:spacing w:lineRule="auto" w:line="276" w:before="120" w:after="120"/>
        <w:ind w:left="1134" w:hanging="0"/>
        <w:jc w:val="both"/>
        <w:rPr>
          <w:rFonts w:cs="Arial"/>
          <w:szCs w:val="20"/>
        </w:rPr>
      </w:pPr>
      <w:r>
        <w:rPr>
          <w:rFonts w:cs="Arial"/>
          <w:szCs w:val="20"/>
        </w:rPr>
        <w:t>indicar preposto para representá-la durante a execução do contrato.</w:t>
      </w:r>
    </w:p>
    <w:p>
      <w:pPr>
        <w:pStyle w:val="Normal"/>
        <w:numPr>
          <w:ilvl w:val="2"/>
          <w:numId w:val="1"/>
        </w:numPr>
        <w:spacing w:lineRule="auto" w:line="276" w:before="120" w:after="120"/>
        <w:ind w:left="1134" w:hanging="0"/>
        <w:jc w:val="both"/>
        <w:rPr>
          <w:rFonts w:cs="Arial"/>
          <w:szCs w:val="20"/>
        </w:rPr>
      </w:pPr>
      <w:r>
        <w:rPr>
          <w:rFonts w:cs="Arial"/>
          <w:szCs w:val="20"/>
        </w:rPr>
        <w:t>promover a destinação final ambientalmente adequada, sempre que a legislação assim o exigir, como nos casos de pneus, pilhas e baterias, etc....</w:t>
      </w:r>
    </w:p>
    <w:p>
      <w:pPr>
        <w:pStyle w:val="Normal"/>
        <w:numPr>
          <w:ilvl w:val="1"/>
          <w:numId w:val="1"/>
        </w:numPr>
        <w:spacing w:lineRule="auto" w:line="276" w:before="120" w:after="120"/>
        <w:ind w:left="425" w:hanging="0"/>
        <w:jc w:val="both"/>
        <w:rPr>
          <w:rFonts w:cs="Arial"/>
          <w:iCs/>
          <w:szCs w:val="20"/>
        </w:rPr>
      </w:pPr>
      <w:r>
        <w:rPr>
          <w:rFonts w:cs="Arial"/>
          <w:iCs/>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w:t>
      </w:r>
    </w:p>
    <w:p>
      <w:pPr>
        <w:pStyle w:val="Nivel1"/>
        <w:numPr>
          <w:ilvl w:val="0"/>
          <w:numId w:val="1"/>
        </w:numPr>
        <w:rPr/>
      </w:pPr>
      <w:r>
        <w:rPr/>
        <w:t>DA SUBCONTRATAÇÃO</w:t>
      </w:r>
    </w:p>
    <w:p>
      <w:pPr>
        <w:pStyle w:val="ListParagraph"/>
        <w:numPr>
          <w:ilvl w:val="1"/>
          <w:numId w:val="1"/>
        </w:numPr>
        <w:spacing w:lineRule="auto" w:line="276" w:before="120" w:after="120"/>
        <w:contextualSpacing/>
        <w:jc w:val="both"/>
        <w:rPr>
          <w:color w:val="000000"/>
        </w:rPr>
      </w:pPr>
      <w:r>
        <w:rPr>
          <w:rFonts w:cs="Arial"/>
          <w:color w:val="000000"/>
          <w:szCs w:val="20"/>
        </w:rPr>
        <w:t xml:space="preserve">Não </w:t>
      </w:r>
      <w:r>
        <w:rPr>
          <w:color w:val="000000"/>
          <w:szCs w:val="20"/>
        </w:rPr>
        <w:t>será</w:t>
      </w:r>
      <w:r>
        <w:rPr>
          <w:rFonts w:cs="Arial"/>
          <w:color w:val="000000"/>
          <w:szCs w:val="20"/>
        </w:rPr>
        <w:t xml:space="preserve"> admitida a subcontratação do objeto licitatório.</w:t>
      </w:r>
    </w:p>
    <w:p>
      <w:pPr>
        <w:pStyle w:val="Nivel1"/>
        <w:numPr>
          <w:ilvl w:val="0"/>
          <w:numId w:val="1"/>
        </w:numPr>
        <w:rPr>
          <w:lang w:eastAsia="en-US"/>
        </w:rPr>
      </w:pPr>
      <w:r>
        <w:rPr>
          <w:lang w:eastAsia="en-US"/>
        </w:rPr>
        <w:t>DA ALTERAÇÃO SUBJETIVA</w:t>
      </w:r>
    </w:p>
    <w:p>
      <w:pPr>
        <w:pStyle w:val="Normal"/>
        <w:numPr>
          <w:ilvl w:val="1"/>
          <w:numId w:val="1"/>
        </w:numPr>
        <w:spacing w:lineRule="auto" w:line="276" w:before="120" w:after="120"/>
        <w:ind w:left="425" w:hanging="0"/>
        <w:jc w:val="both"/>
        <w:rPr>
          <w:rFonts w:cs="Arial"/>
          <w:color w:val="0000FF"/>
          <w:szCs w:val="20"/>
          <w:lang w:eastAsia="en-US"/>
        </w:rPr>
      </w:pPr>
      <w:r>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ivel1"/>
        <w:numPr>
          <w:ilvl w:val="0"/>
          <w:numId w:val="1"/>
        </w:numPr>
        <w:rPr>
          <w:lang w:eastAsia="en-US"/>
        </w:rPr>
      </w:pPr>
      <w:r>
        <w:rPr>
          <w:lang w:eastAsia="en-US"/>
        </w:rPr>
        <w:t xml:space="preserve">DO CONTROLE </w:t>
      </w:r>
      <w:r>
        <w:rPr>
          <w:color w:val="auto"/>
          <w:lang w:eastAsia="en-US"/>
        </w:rPr>
        <w:t xml:space="preserve">E FISCALIZAÇÃO DA </w:t>
      </w:r>
      <w:r>
        <w:rPr>
          <w:lang w:eastAsia="en-US"/>
        </w:rPr>
        <w:t>EXECUÇÃO</w:t>
      </w:r>
    </w:p>
    <w:p>
      <w:pPr>
        <w:pStyle w:val="Normal"/>
        <w:numPr>
          <w:ilvl w:val="1"/>
          <w:numId w:val="1"/>
        </w:numPr>
        <w:spacing w:lineRule="auto" w:line="276" w:before="120" w:after="120"/>
        <w:ind w:left="425" w:hanging="0"/>
        <w:jc w:val="both"/>
        <w:rPr>
          <w:rFonts w:cs="Arial"/>
          <w:bCs/>
          <w:color w:val="000000"/>
          <w:szCs w:val="20"/>
        </w:rPr>
      </w:pPr>
      <w:r>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2"/>
          <w:numId w:val="1"/>
        </w:numPr>
        <w:spacing w:lineRule="auto" w:line="276" w:before="120" w:after="120"/>
        <w:ind w:left="1134" w:hanging="0"/>
        <w:jc w:val="both"/>
        <w:rPr>
          <w:color w:val="000000"/>
        </w:rPr>
      </w:pPr>
      <w:r>
        <w:rPr>
          <w:rFonts w:cs="Arial"/>
          <w:color w:val="000000"/>
          <w:szCs w:val="20"/>
          <w:lang w:eastAsia="en-US"/>
        </w:rPr>
        <w:t>O recebimento de material de valor superior a R$ 176.000,00 (cento e setenta e seis mil reais) será confiado a uma comissão de, no mínimo, 3 (três) membros, designados pela autoridade competente.</w:t>
      </w:r>
    </w:p>
    <w:p>
      <w:pPr>
        <w:pStyle w:val="Normal"/>
        <w:numPr>
          <w:ilvl w:val="1"/>
          <w:numId w:val="1"/>
        </w:numPr>
        <w:spacing w:lineRule="auto" w:line="276" w:before="120" w:after="120"/>
        <w:ind w:left="425" w:hanging="0"/>
        <w:jc w:val="both"/>
        <w:rPr>
          <w:rFonts w:cs="Arial"/>
          <w:color w:val="000000"/>
          <w:szCs w:val="20"/>
          <w:lang w:eastAsia="en-US"/>
        </w:rPr>
      </w:pPr>
      <w:r>
        <w:rPr>
          <w:rFonts w:cs="Arial"/>
          <w:color w:val="00000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ivel1"/>
        <w:numPr>
          <w:ilvl w:val="0"/>
          <w:numId w:val="1"/>
        </w:numPr>
        <w:rPr/>
      </w:pPr>
      <w:r>
        <w:rPr/>
        <w:t>DO PAGAMENTO</w:t>
      </w:r>
    </w:p>
    <w:p>
      <w:pPr>
        <w:pStyle w:val="ListParagraph"/>
        <w:numPr>
          <w:ilvl w:val="1"/>
          <w:numId w:val="1"/>
        </w:numPr>
        <w:spacing w:lineRule="auto" w:line="276" w:before="120" w:after="120"/>
        <w:contextualSpacing/>
        <w:jc w:val="both"/>
        <w:rPr>
          <w:rFonts w:cs="Arial"/>
          <w:color w:val="000000"/>
          <w:szCs w:val="20"/>
          <w:lang w:eastAsia="en-US"/>
        </w:rPr>
      </w:pPr>
      <w:r>
        <w:rPr>
          <w:rFonts w:cs="Arial"/>
          <w:color w:val="000000"/>
          <w:szCs w:val="20"/>
          <w:lang w:eastAsia="en-US"/>
        </w:rPr>
        <w:t xml:space="preserve">O pagamento será realizado no prazo máximo de até 30(trinta)  dias, contados a partir </w:t>
      </w:r>
      <w:r>
        <w:rPr>
          <w:rFonts w:cs="Arial"/>
          <w:color w:val="000000"/>
          <w:szCs w:val="20"/>
        </w:rPr>
        <w:t xml:space="preserve">do recebimento da Nota Fiscal ou Fatura, </w:t>
      </w:r>
      <w:r>
        <w:rPr>
          <w:rFonts w:cs="Arial"/>
          <w:color w:val="000000"/>
          <w:szCs w:val="20"/>
          <w:lang w:eastAsia="en-US"/>
        </w:rPr>
        <w:t>através de ordem bancária, para crédito em banco, agência e conta corrente indicados pelo contratado.</w:t>
      </w:r>
    </w:p>
    <w:p>
      <w:pPr>
        <w:pStyle w:val="ListParagraph"/>
        <w:numPr>
          <w:ilvl w:val="2"/>
          <w:numId w:val="1"/>
        </w:numPr>
        <w:spacing w:lineRule="auto" w:line="276" w:before="120" w:after="120"/>
        <w:contextualSpacing/>
        <w:jc w:val="both"/>
        <w:rPr>
          <w:rFonts w:cs="Arial"/>
          <w:color w:val="000000"/>
          <w:szCs w:val="20"/>
          <w:lang w:eastAsia="en-US"/>
        </w:rPr>
      </w:pPr>
      <w:r>
        <w:rPr>
          <w:rFonts w:cs="Arial"/>
          <w:szCs w:val="20"/>
          <w:lang w:eastAsia="en-US"/>
        </w:rPr>
        <w:t xml:space="preserve">Os 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 nos termos do art. 5º, § 3º, da Lei nº 8.666, de 1993</w:t>
      </w:r>
      <w:r>
        <w:rPr>
          <w:rFonts w:cs="Arial"/>
          <w:color w:val="000000"/>
          <w:szCs w:val="20"/>
          <w:lang w:eastAsia="en-US"/>
        </w:rPr>
        <w:t>.</w:t>
      </w:r>
    </w:p>
    <w:p>
      <w:pPr>
        <w:pStyle w:val="ListParagraph"/>
        <w:numPr>
          <w:ilvl w:val="1"/>
          <w:numId w:val="1"/>
        </w:numPr>
        <w:spacing w:lineRule="auto" w:line="276" w:before="120" w:after="120"/>
        <w:contextualSpacing/>
        <w:jc w:val="both"/>
        <w:rPr>
          <w:rFonts w:cs="Arial"/>
          <w:strike/>
          <w:color w:val="000000"/>
        </w:rPr>
      </w:pPr>
      <w:r>
        <w:rPr>
          <w:rFonts w:cs="Arial"/>
          <w:color w:val="000000"/>
          <w:szCs w:val="20"/>
        </w:rPr>
        <w:t>Considera-se ocorrido o recebimento da nota fiscal ou fatura quando o órgão contratante atestar a execução do objeto do contrato.</w:t>
      </w:r>
    </w:p>
    <w:p>
      <w:pPr>
        <w:pStyle w:val="Normal"/>
        <w:numPr>
          <w:ilvl w:val="1"/>
          <w:numId w:val="1"/>
        </w:numPr>
        <w:spacing w:lineRule="auto" w:line="276" w:before="120" w:after="120"/>
        <w:jc w:val="both"/>
        <w:rPr>
          <w:color w:val="000000"/>
        </w:rPr>
      </w:pPr>
      <w:r>
        <w:rPr>
          <w:color w:val="000000"/>
        </w:rPr>
        <w:t xml:space="preserve">A Nota Fiscal ou Fatura deverá ser obrigatoriamente acompanhada da comprovação da regularidade fiscal, constatada por meio de consulta on-line ao SICAF ou, na impossibilidade de acesso </w:t>
      </w:r>
      <w:r>
        <w:rPr>
          <w:rFonts w:cs="Arial"/>
          <w:color w:val="000000"/>
          <w:lang w:eastAsia="en-US"/>
        </w:rPr>
        <w:t>ao</w:t>
      </w:r>
      <w:r>
        <w:rPr>
          <w:color w:val="000000"/>
        </w:rPr>
        <w:t xml:space="preserve"> referido Sistema, mediante consulta aos sítios eletrônicos oficiais ou à documentação mencionada no art. 29 da Lei nº 8.666, de 1993. </w:t>
      </w:r>
    </w:p>
    <w:p>
      <w:pPr>
        <w:pStyle w:val="Normal"/>
        <w:numPr>
          <w:ilvl w:val="2"/>
          <w:numId w:val="1"/>
        </w:numPr>
        <w:spacing w:lineRule="auto" w:line="276" w:before="120" w:after="120"/>
        <w:jc w:val="both"/>
        <w:rPr>
          <w:color w:val="000000"/>
        </w:rPr>
      </w:pPr>
      <w:r>
        <w:rPr>
          <w:color w:val="000000"/>
        </w:rPr>
        <w:t xml:space="preserve">Constatando-se, junto ao SICAF, a situação de irregularidade do fornecedor contratado, deverão ser tomadas as providências previstas no do art. 31 da Instrução </w:t>
      </w:r>
      <w:r>
        <w:rPr>
          <w:rFonts w:cs="Arial"/>
          <w:color w:val="000000"/>
          <w:lang w:eastAsia="en-US"/>
        </w:rPr>
        <w:t>Normativa</w:t>
      </w:r>
      <w:r>
        <w:rPr>
          <w:color w:val="000000"/>
        </w:rPr>
        <w:t xml:space="preserve"> nº 3, de 26 de abril de 2018.</w:t>
      </w:r>
    </w:p>
    <w:p>
      <w:pPr>
        <w:pStyle w:val="ListParagraph"/>
        <w:numPr>
          <w:ilvl w:val="1"/>
          <w:numId w:val="1"/>
        </w:numPr>
        <w:spacing w:lineRule="auto" w:line="276" w:before="120" w:after="120"/>
        <w:ind w:left="425" w:hanging="0"/>
        <w:contextualSpacing/>
        <w:jc w:val="both"/>
        <w:rPr>
          <w:rFonts w:cs="Arial"/>
          <w:color w:val="000000"/>
          <w:szCs w:val="20"/>
          <w:lang w:eastAsia="en-US"/>
        </w:rPr>
      </w:pPr>
      <w:r>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Pr>
          <w:rFonts w:cs="Arial"/>
          <w:color w:val="000000"/>
          <w:szCs w:val="20"/>
        </w:rPr>
        <w:t>obrigação financeira pendente, decorrente de penalidade imposta ou inadimplência,</w:t>
      </w:r>
      <w:r>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1"/>
        </w:numPr>
        <w:spacing w:lineRule="auto" w:line="276" w:before="120" w:after="120"/>
        <w:jc w:val="both"/>
        <w:rPr>
          <w:rFonts w:cs="Arial"/>
          <w:szCs w:val="20"/>
          <w:lang w:eastAsia="en-US"/>
        </w:rPr>
      </w:pPr>
      <w:r>
        <w:rPr>
          <w:rFonts w:cs="Arial"/>
          <w:szCs w:val="20"/>
          <w:lang w:eastAsia="en-US"/>
        </w:rPr>
        <w:t>Será considerada data do pagamento o dia em que constar como emitida a ordem bancária para pagamento.</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Antes de cada pagamento à contratada, será realizada consulta ao SICAF para verificar a manutenção das condições de habilitação exigidas no edital. </w:t>
      </w:r>
    </w:p>
    <w:p>
      <w:pPr>
        <w:pStyle w:val="Normal"/>
        <w:numPr>
          <w:ilvl w:val="1"/>
          <w:numId w:val="1"/>
        </w:numPr>
        <w:spacing w:lineRule="auto" w:line="276" w:before="120" w:after="120"/>
        <w:jc w:val="both"/>
        <w:rPr>
          <w:rFonts w:cs="Arial"/>
          <w:szCs w:val="20"/>
          <w:lang w:eastAsia="en-US"/>
        </w:rPr>
      </w:pPr>
      <w:r>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1"/>
          <w:numId w:val="1"/>
        </w:numPr>
        <w:spacing w:lineRule="auto" w:line="276" w:before="120" w:after="120"/>
        <w:jc w:val="both"/>
        <w:rPr>
          <w:rFonts w:cs="Arial"/>
          <w:szCs w:val="20"/>
          <w:lang w:eastAsia="en-US"/>
        </w:rPr>
      </w:pPr>
      <w:r>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pPr>
        <w:pStyle w:val="ListParagraph"/>
        <w:spacing w:lineRule="auto" w:line="276" w:before="120" w:after="120"/>
        <w:ind w:left="716" w:hanging="0"/>
        <w:contextualSpacing/>
        <w:jc w:val="both"/>
        <w:rPr>
          <w:rFonts w:cs="Arial"/>
          <w:color w:val="000000"/>
          <w:szCs w:val="20"/>
        </w:rPr>
      </w:pPr>
      <w:r>
        <w:rPr>
          <w:rFonts w:cs="Arial"/>
          <w:szCs w:val="20"/>
          <w:lang w:eastAsia="en-US"/>
        </w:rPr>
        <w:t>10.11.1.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ListParagraph"/>
        <w:numPr>
          <w:ilvl w:val="1"/>
          <w:numId w:val="1"/>
        </w:numPr>
        <w:spacing w:lineRule="auto" w:line="276" w:before="120" w:after="120"/>
        <w:contextualSpacing/>
        <w:jc w:val="both"/>
        <w:rPr>
          <w:rFonts w:cs="Arial"/>
          <w:color w:val="000000"/>
          <w:szCs w:val="20"/>
        </w:rPr>
      </w:pPr>
      <w:r>
        <w:rPr>
          <w:rFonts w:cs="Arial"/>
          <w:color w:val="000000"/>
          <w:szCs w:val="20"/>
        </w:rPr>
        <w:t>Quando do pagamento, será efetuada a retenção tributária prevista na legislação aplicável.</w:t>
      </w:r>
    </w:p>
    <w:p>
      <w:pPr>
        <w:pStyle w:val="Normal"/>
        <w:numPr>
          <w:ilvl w:val="2"/>
          <w:numId w:val="1"/>
        </w:numPr>
        <w:tabs>
          <w:tab w:val="clear" w:pos="720"/>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Pr>
          <w:rFonts w:cs="Arial"/>
          <w:szCs w:val="20"/>
          <w:lang w:eastAsia="en-US"/>
        </w:rPr>
        <w:t xml:space="preserve"> </w:t>
      </w:r>
    </w:p>
    <w:p>
      <w:pPr>
        <w:pStyle w:val="ListParagraph"/>
        <w:numPr>
          <w:ilvl w:val="1"/>
          <w:numId w:val="1"/>
        </w:numPr>
        <w:spacing w:lineRule="auto" w:line="276" w:before="120" w:after="120"/>
        <w:ind w:left="425" w:hanging="0"/>
        <w:contextualSpacing/>
        <w:jc w:val="both"/>
        <w:rPr/>
      </w:pPr>
      <w:r>
        <w:rPr>
          <w:rFonts w:cs="Arial"/>
          <w:szCs w:val="20"/>
          <w:lang w:eastAsia="en-US"/>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Pr>
          <w:rFonts w:cs="Arial"/>
          <w:color w:val="000000"/>
          <w:szCs w:val="20"/>
        </w:rPr>
        <w:t>:</w:t>
      </w:r>
    </w:p>
    <w:p>
      <w:pPr>
        <w:pStyle w:val="Normal"/>
        <w:tabs>
          <w:tab w:val="clear" w:pos="720"/>
          <w:tab w:val="left" w:pos="1701" w:leader="none"/>
        </w:tabs>
        <w:spacing w:lineRule="auto" w:line="276" w:before="120" w:after="120"/>
        <w:ind w:left="425" w:hanging="0"/>
        <w:jc w:val="both"/>
        <w:rPr>
          <w:rFonts w:cs="Arial"/>
          <w:color w:val="000000"/>
          <w:szCs w:val="20"/>
        </w:rPr>
      </w:pPr>
      <w:r>
        <w:rPr>
          <w:rFonts w:cs="Arial"/>
          <w:color w:val="000000"/>
          <w:szCs w:val="20"/>
        </w:rPr>
        <w:t>EM = I x N x VP, sendo:</w:t>
      </w:r>
    </w:p>
    <w:p>
      <w:pPr>
        <w:pStyle w:val="Normal"/>
        <w:tabs>
          <w:tab w:val="clear" w:pos="720"/>
          <w:tab w:val="left" w:pos="1701" w:leader="none"/>
        </w:tabs>
        <w:spacing w:lineRule="auto" w:line="276" w:before="120" w:after="120"/>
        <w:ind w:left="425" w:hanging="0"/>
        <w:jc w:val="both"/>
        <w:rPr>
          <w:rFonts w:cs="Arial"/>
          <w:color w:val="000000"/>
          <w:szCs w:val="20"/>
        </w:rPr>
      </w:pPr>
      <w:r>
        <w:rPr>
          <w:rFonts w:cs="Arial"/>
          <w:color w:val="000000"/>
          <w:szCs w:val="20"/>
        </w:rPr>
        <w:t>EM = Encargos moratórios;</w:t>
      </w:r>
    </w:p>
    <w:p>
      <w:pPr>
        <w:pStyle w:val="Normal"/>
        <w:tabs>
          <w:tab w:val="clear" w:pos="720"/>
          <w:tab w:val="left" w:pos="1701" w:leader="none"/>
        </w:tabs>
        <w:spacing w:lineRule="auto" w:line="276" w:before="120" w:after="120"/>
        <w:ind w:left="425" w:hanging="0"/>
        <w:jc w:val="both"/>
        <w:rPr>
          <w:rFonts w:cs="Arial"/>
          <w:color w:val="000000"/>
          <w:szCs w:val="20"/>
        </w:rPr>
      </w:pPr>
      <w:r>
        <w:rPr>
          <w:rFonts w:cs="Arial"/>
          <w:color w:val="000000"/>
          <w:szCs w:val="20"/>
        </w:rPr>
        <w:t>N = Número de dias entre a data prevista para o pagamento e a do efetivo pagamento;</w:t>
      </w:r>
    </w:p>
    <w:p>
      <w:pPr>
        <w:pStyle w:val="Normal"/>
        <w:tabs>
          <w:tab w:val="clear" w:pos="720"/>
          <w:tab w:val="left" w:pos="1701" w:leader="none"/>
        </w:tabs>
        <w:spacing w:lineRule="auto" w:line="276" w:before="120" w:after="120"/>
        <w:ind w:left="425" w:hanging="0"/>
        <w:jc w:val="both"/>
        <w:rPr>
          <w:rFonts w:cs="Arial"/>
          <w:color w:val="000000"/>
          <w:szCs w:val="20"/>
        </w:rPr>
      </w:pPr>
      <w:r>
        <w:rPr>
          <w:rFonts w:cs="Arial"/>
          <w:color w:val="000000"/>
          <w:szCs w:val="20"/>
        </w:rPr>
        <w:t>VP = Valor da parcela a ser paga.</w:t>
      </w:r>
    </w:p>
    <w:p>
      <w:pPr>
        <w:pStyle w:val="Normal"/>
        <w:tabs>
          <w:tab w:val="clear" w:pos="720"/>
          <w:tab w:val="left" w:pos="1701" w:leader="none"/>
        </w:tabs>
        <w:spacing w:lineRule="auto" w:line="276" w:before="120" w:after="120"/>
        <w:ind w:left="425" w:hanging="0"/>
        <w:jc w:val="both"/>
        <w:rPr>
          <w:rFonts w:cs="Arial"/>
          <w:color w:val="000000"/>
          <w:szCs w:val="20"/>
        </w:rPr>
      </w:pPr>
      <w:r>
        <w:rPr>
          <w:rFonts w:cs="Arial"/>
          <w:color w:val="000000"/>
          <w:szCs w:val="20"/>
        </w:rPr>
        <w:t>I = Índice de compensação financeira = 0,00016438, assim apurado:</w:t>
      </w:r>
    </w:p>
    <w:tbl>
      <w:tblPr>
        <w:tblStyle w:val="Tabelacomgrade"/>
        <w:tblW w:w="8647" w:type="dxa"/>
        <w:jc w:val="left"/>
        <w:tblInd w:w="533" w:type="dxa"/>
        <w:tblCellMar>
          <w:top w:w="0" w:type="dxa"/>
          <w:left w:w="108" w:type="dxa"/>
          <w:bottom w:w="0" w:type="dxa"/>
          <w:right w:w="108" w:type="dxa"/>
        </w:tblCellMar>
        <w:tblLook w:firstRow="1" w:noVBand="1" w:lastRow="0" w:firstColumn="1" w:lastColumn="0" w:noHBand="0" w:val="04a0"/>
      </w:tblPr>
      <w:tblGrid>
        <w:gridCol w:w="2147"/>
        <w:gridCol w:w="581"/>
        <w:gridCol w:w="1247"/>
        <w:gridCol w:w="4671"/>
      </w:tblGrid>
      <w:tr>
        <w:trPr/>
        <w:tc>
          <w:tcPr>
            <w:tcW w:w="2147" w:type="dxa"/>
            <w:tcBorders>
              <w:top w:val="nil"/>
              <w:left w:val="nil"/>
              <w:bottom w:val="nil"/>
              <w:right w:val="nil"/>
            </w:tcBorders>
            <w:vAlign w:val="center"/>
          </w:tcPr>
          <w:p>
            <w:pPr>
              <w:pStyle w:val="Normal"/>
              <w:tabs>
                <w:tab w:val="clear" w:pos="720"/>
                <w:tab w:val="left" w:pos="1701" w:leader="none"/>
              </w:tabs>
              <w:jc w:val="center"/>
              <w:rPr>
                <w:rFonts w:cs="Arial"/>
                <w:color w:val="000000"/>
                <w:szCs w:val="20"/>
              </w:rPr>
            </w:pPr>
            <w:r>
              <w:rPr>
                <w:rFonts w:eastAsia="" w:cs="Arial" w:eastAsiaTheme="minorEastAsia"/>
                <w:color w:val="000000"/>
                <w:szCs w:val="20"/>
                <w:lang w:eastAsia="en-US"/>
              </w:rPr>
              <w:t>I = (TX)</w:t>
            </w:r>
          </w:p>
        </w:tc>
        <w:tc>
          <w:tcPr>
            <w:tcW w:w="581" w:type="dxa"/>
            <w:tcBorders>
              <w:top w:val="nil"/>
              <w:left w:val="nil"/>
              <w:bottom w:val="nil"/>
              <w:right w:val="nil"/>
            </w:tcBorders>
            <w:vAlign w:val="center"/>
          </w:tcPr>
          <w:p>
            <w:pPr>
              <w:pStyle w:val="Normal"/>
              <w:tabs>
                <w:tab w:val="clear" w:pos="720"/>
                <w:tab w:val="left" w:pos="1701" w:leader="none"/>
              </w:tabs>
              <w:rPr>
                <w:rFonts w:cs="Arial"/>
                <w:color w:val="000000"/>
                <w:szCs w:val="20"/>
              </w:rPr>
            </w:pPr>
            <w:r>
              <w:rPr>
                <w:rFonts w:eastAsia="" w:cs="Arial" w:eastAsiaTheme="minorEastAsia"/>
                <w:color w:val="000000"/>
                <w:szCs w:val="20"/>
                <w:lang w:eastAsia="en-US"/>
              </w:rPr>
              <w:t xml:space="preserve">I = </w:t>
            </w:r>
          </w:p>
        </w:tc>
        <w:tc>
          <w:tcPr>
            <w:tcW w:w="1247" w:type="dxa"/>
            <w:tcBorders>
              <w:top w:val="nil"/>
              <w:left w:val="nil"/>
              <w:right w:val="nil"/>
            </w:tcBorders>
          </w:tcPr>
          <w:p>
            <w:pPr>
              <w:pStyle w:val="Normal"/>
              <w:tabs>
                <w:tab w:val="clear" w:pos="720"/>
                <w:tab w:val="left" w:pos="1701" w:leader="none"/>
              </w:tabs>
              <w:jc w:val="center"/>
              <w:rPr>
                <w:rFonts w:cs="Arial"/>
                <w:color w:val="000000"/>
                <w:szCs w:val="20"/>
              </w:rPr>
            </w:pPr>
            <w:r>
              <w:rPr>
                <w:rFonts w:eastAsia="" w:cs="Arial" w:eastAsiaTheme="minorEastAsia"/>
                <w:color w:val="000000"/>
                <w:szCs w:val="20"/>
                <w:lang w:eastAsia="en-US"/>
              </w:rPr>
              <w:t>( 6 / 100 )</w:t>
            </w:r>
          </w:p>
        </w:tc>
        <w:tc>
          <w:tcPr>
            <w:tcW w:w="4671" w:type="dxa"/>
            <w:tcBorders>
              <w:top w:val="nil"/>
              <w:left w:val="nil"/>
              <w:bottom w:val="nil"/>
              <w:right w:val="nil"/>
            </w:tcBorders>
            <w:vAlign w:val="center"/>
          </w:tcPr>
          <w:p>
            <w:pPr>
              <w:pStyle w:val="Normal"/>
              <w:tabs>
                <w:tab w:val="clear" w:pos="720"/>
                <w:tab w:val="left" w:pos="1701" w:leader="none"/>
              </w:tabs>
              <w:ind w:left="742" w:hanging="0"/>
              <w:rPr>
                <w:rFonts w:cs="Arial"/>
                <w:color w:val="000000"/>
                <w:szCs w:val="20"/>
              </w:rPr>
            </w:pPr>
            <w:r>
              <w:rPr>
                <w:rFonts w:eastAsia="" w:cs="Arial" w:eastAsiaTheme="minorEastAsia"/>
                <w:color w:val="000000"/>
                <w:szCs w:val="20"/>
                <w:lang w:eastAsia="en-US"/>
              </w:rPr>
              <w:t>I = 0,00016438</w:t>
            </w:r>
          </w:p>
          <w:p>
            <w:pPr>
              <w:pStyle w:val="Normal"/>
              <w:tabs>
                <w:tab w:val="clear" w:pos="720"/>
                <w:tab w:val="left" w:pos="1701" w:leader="none"/>
              </w:tabs>
              <w:ind w:left="742" w:hanging="0"/>
              <w:rPr>
                <w:rFonts w:cs="Arial"/>
                <w:color w:val="000000"/>
                <w:szCs w:val="20"/>
              </w:rPr>
            </w:pPr>
            <w:r>
              <w:rPr>
                <w:rFonts w:eastAsia="" w:cs="Arial" w:eastAsiaTheme="minorEastAsia"/>
                <w:color w:val="000000"/>
                <w:szCs w:val="20"/>
                <w:lang w:eastAsia="en-US"/>
              </w:rPr>
              <w:t>TX = Percentual da taxa anual = 6%</w:t>
            </w:r>
          </w:p>
        </w:tc>
      </w:tr>
    </w:tbl>
    <w:p>
      <w:pPr>
        <w:pStyle w:val="Normal"/>
        <w:rPr/>
      </w:pPr>
      <w:r>
        <w:rPr/>
        <w:t xml:space="preserve">                                                            </w:t>
      </w:r>
      <w:r>
        <w:rPr/>
        <w:t>365</w:t>
      </w:r>
    </w:p>
    <w:p>
      <w:pPr>
        <w:pStyle w:val="Nivel1"/>
        <w:numPr>
          <w:ilvl w:val="0"/>
          <w:numId w:val="1"/>
        </w:numPr>
        <w:rPr/>
      </w:pPr>
      <w:r>
        <w:rPr/>
        <w:t xml:space="preserve">DO REAJUSTE </w:t>
      </w:r>
    </w:p>
    <w:p>
      <w:pPr>
        <w:pStyle w:val="Normal"/>
        <w:rPr>
          <w:highlight w:val="yellow"/>
        </w:rPr>
      </w:pPr>
      <w:r>
        <w:rPr>
          <w:highlight w:val="yellow"/>
        </w:rPr>
      </w:r>
    </w:p>
    <w:p>
      <w:pPr>
        <w:pStyle w:val="Normal"/>
        <w:numPr>
          <w:ilvl w:val="1"/>
          <w:numId w:val="1"/>
        </w:numPr>
        <w:spacing w:lineRule="auto" w:line="276" w:before="120" w:after="120"/>
        <w:ind w:left="425" w:hanging="0"/>
        <w:jc w:val="both"/>
        <w:rPr>
          <w:rFonts w:cs="Arial"/>
          <w:szCs w:val="20"/>
        </w:rPr>
      </w:pPr>
      <w:r>
        <w:rPr>
          <w:rFonts w:cs="Arial"/>
          <w:color w:val="000000"/>
          <w:szCs w:val="20"/>
        </w:rPr>
        <w:t>Os preços inicialmente contratados são fixos e irreajustáveis no prazo de um ano contado da data limite para a apresentação das propostas.</w:t>
      </w:r>
    </w:p>
    <w:p>
      <w:pPr>
        <w:pStyle w:val="Normal"/>
        <w:numPr>
          <w:ilvl w:val="1"/>
          <w:numId w:val="1"/>
        </w:numPr>
        <w:spacing w:lineRule="auto" w:line="276" w:before="120" w:after="120"/>
        <w:ind w:left="425" w:hanging="0"/>
        <w:jc w:val="both"/>
        <w:rPr/>
      </w:pPr>
      <w:r>
        <w:rPr>
          <w:rFonts w:cs="Arial"/>
          <w:szCs w:val="20"/>
        </w:rPr>
        <w:t>Após o interregno de um ano, e independentemente de pedido da CONTRATADA, os preços iniciais serão reajustados, mediante a aplicação, pela CONTRATANTE, do índice IPA/FGV</w:t>
      </w:r>
      <w:r>
        <w:rPr>
          <w:rFonts w:cs="Arial"/>
          <w:i/>
          <w:iCs/>
          <w:szCs w:val="20"/>
        </w:rPr>
        <w:t>,</w:t>
      </w:r>
      <w:r>
        <w:rPr>
          <w:rFonts w:cs="Arial"/>
          <w:szCs w:val="20"/>
        </w:rPr>
        <w:t xml:space="preserve"> exclusivamente para as obrigações iniciadas e concluídas após a ocorrência da anualidade, com base na seguinte fórmula (art. 5º do Decreto n.º 1.054, de 1994): </w:t>
      </w:r>
    </w:p>
    <w:p>
      <w:pPr>
        <w:pStyle w:val="Normal"/>
        <w:spacing w:lineRule="auto" w:line="276" w:before="120" w:after="120"/>
        <w:ind w:left="1418" w:hanging="0"/>
        <w:jc w:val="both"/>
        <w:rPr>
          <w:rFonts w:cs="Arial"/>
          <w:szCs w:val="20"/>
        </w:rPr>
      </w:pPr>
      <w:r>
        <w:rPr>
          <w:rFonts w:cs="Arial"/>
          <w:szCs w:val="20"/>
        </w:rPr>
        <w:t>R = V (I – Iº) / Iº, onde:</w:t>
      </w:r>
    </w:p>
    <w:p>
      <w:pPr>
        <w:pStyle w:val="Normal"/>
        <w:spacing w:lineRule="auto" w:line="276" w:before="120" w:after="120"/>
        <w:ind w:left="1418" w:hanging="0"/>
        <w:jc w:val="both"/>
        <w:rPr>
          <w:rFonts w:cs="Arial"/>
          <w:szCs w:val="20"/>
        </w:rPr>
      </w:pPr>
      <w:r>
        <w:rPr>
          <w:rFonts w:cs="Arial"/>
          <w:szCs w:val="20"/>
        </w:rPr>
        <w:t>R = Valor do reajuste procurado;</w:t>
      </w:r>
    </w:p>
    <w:p>
      <w:pPr>
        <w:pStyle w:val="Normal"/>
        <w:spacing w:lineRule="auto" w:line="276" w:before="120" w:after="120"/>
        <w:ind w:left="1418" w:hanging="0"/>
        <w:jc w:val="both"/>
        <w:rPr>
          <w:rFonts w:cs="Arial"/>
          <w:szCs w:val="20"/>
        </w:rPr>
      </w:pPr>
      <w:r>
        <w:rPr>
          <w:rFonts w:cs="Arial"/>
          <w:szCs w:val="20"/>
        </w:rPr>
        <w:t>V = Valor contratual a ser reajustado;</w:t>
      </w:r>
    </w:p>
    <w:p>
      <w:pPr>
        <w:pStyle w:val="Normal"/>
        <w:spacing w:lineRule="auto" w:line="276" w:before="120" w:after="120"/>
        <w:ind w:left="1418" w:hanging="0"/>
        <w:jc w:val="both"/>
        <w:rPr>
          <w:rFonts w:cs="Arial"/>
          <w:szCs w:val="20"/>
        </w:rPr>
      </w:pPr>
      <w:r>
        <w:rPr>
          <w:rFonts w:cs="Arial"/>
          <w:szCs w:val="20"/>
        </w:rPr>
        <w:t>Iº = índice inicial - refere-se ao índice de custos ou de preços correspondente à data fixada para entrega da proposta na licitação;</w:t>
      </w:r>
    </w:p>
    <w:p>
      <w:pPr>
        <w:pStyle w:val="Normal"/>
        <w:spacing w:lineRule="auto" w:line="276" w:before="120" w:after="120"/>
        <w:ind w:left="1418" w:hanging="0"/>
        <w:jc w:val="both"/>
        <w:rPr>
          <w:rFonts w:cs="Arial"/>
          <w:szCs w:val="20"/>
        </w:rPr>
      </w:pPr>
      <w:r>
        <w:rPr>
          <w:rFonts w:cs="Arial"/>
          <w:szCs w:val="20"/>
        </w:rPr>
        <w:t>I = Índice relativo ao mês do reajustamento;</w:t>
      </w:r>
    </w:p>
    <w:p>
      <w:pPr>
        <w:pStyle w:val="Normal"/>
        <w:numPr>
          <w:ilvl w:val="1"/>
          <w:numId w:val="1"/>
        </w:numPr>
        <w:spacing w:lineRule="auto" w:line="276" w:before="120" w:after="120"/>
        <w:ind w:left="425" w:hanging="0"/>
        <w:jc w:val="both"/>
        <w:rPr>
          <w:rFonts w:cs="Arial"/>
          <w:szCs w:val="20"/>
        </w:rPr>
      </w:pPr>
      <w:r>
        <w:rPr>
          <w:rFonts w:cs="Arial"/>
          <w:szCs w:val="20"/>
        </w:rPr>
        <w:t>Nos reajustes subsequentes ao primeiro, o interregno mínimo de um ano será contado a partir dos efeitos financeiros do último reajuste.</w:t>
      </w:r>
    </w:p>
    <w:p>
      <w:pPr>
        <w:pStyle w:val="Normal"/>
        <w:numPr>
          <w:ilvl w:val="1"/>
          <w:numId w:val="1"/>
        </w:numPr>
        <w:spacing w:lineRule="auto" w:line="276" w:before="120" w:after="120"/>
        <w:ind w:left="425" w:hanging="0"/>
        <w:jc w:val="both"/>
        <w:rPr>
          <w:rFonts w:cs="Arial"/>
          <w:szCs w:val="20"/>
        </w:rPr>
      </w:pPr>
      <w:r>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pPr>
        <w:pStyle w:val="Normal"/>
        <w:numPr>
          <w:ilvl w:val="1"/>
          <w:numId w:val="1"/>
        </w:numPr>
        <w:spacing w:lineRule="auto" w:line="276" w:before="120" w:after="120"/>
        <w:ind w:left="425" w:hanging="0"/>
        <w:jc w:val="both"/>
        <w:rPr>
          <w:rFonts w:cs="Arial"/>
          <w:szCs w:val="20"/>
        </w:rPr>
      </w:pPr>
      <w:r>
        <w:rPr>
          <w:rFonts w:cs="Arial"/>
          <w:szCs w:val="20"/>
        </w:rPr>
        <w:t>Nas aferições finais, o índice utilizado para reajuste será, obrigatoriamente, o definitivo.</w:t>
      </w:r>
    </w:p>
    <w:p>
      <w:pPr>
        <w:pStyle w:val="Normal"/>
        <w:numPr>
          <w:ilvl w:val="1"/>
          <w:numId w:val="1"/>
        </w:numPr>
        <w:spacing w:lineRule="auto" w:line="276" w:before="120" w:after="120"/>
        <w:ind w:left="425" w:hanging="0"/>
        <w:jc w:val="both"/>
        <w:rPr>
          <w:rFonts w:cs="Arial"/>
          <w:szCs w:val="20"/>
        </w:rPr>
      </w:pPr>
      <w:r>
        <w:rPr>
          <w:rFonts w:cs="Arial"/>
          <w:szCs w:val="20"/>
        </w:rPr>
        <w:t>Caso o índice estabelecido para reajustamento venha a ser extinto ou de qualquer forma não possa mais ser utilizado, será adotado, em substituição, o que vier a ser determinado pela legislação então em vigor.</w:t>
      </w:r>
    </w:p>
    <w:p>
      <w:pPr>
        <w:pStyle w:val="Normal"/>
        <w:numPr>
          <w:ilvl w:val="1"/>
          <w:numId w:val="1"/>
        </w:numPr>
        <w:spacing w:lineRule="auto" w:line="276" w:before="120" w:after="120"/>
        <w:ind w:left="425" w:hanging="0"/>
        <w:jc w:val="both"/>
        <w:rPr>
          <w:rFonts w:cs="Arial"/>
          <w:szCs w:val="20"/>
        </w:rPr>
      </w:pPr>
      <w:r>
        <w:rPr>
          <w:rFonts w:cs="Arial"/>
          <w:szCs w:val="20"/>
        </w:rPr>
        <w:t xml:space="preserve">Na ausência de previsão legal quanto ao índice substituto, as partes elegerão novo índice oficial, para reajustamento do preço do valor remanescente, por meio de termo aditivo. </w:t>
      </w:r>
    </w:p>
    <w:p>
      <w:pPr>
        <w:pStyle w:val="Normal"/>
        <w:numPr>
          <w:ilvl w:val="1"/>
          <w:numId w:val="1"/>
        </w:numPr>
        <w:spacing w:lineRule="auto" w:line="276" w:before="120" w:after="120"/>
        <w:ind w:left="425" w:hanging="0"/>
        <w:jc w:val="both"/>
        <w:rPr>
          <w:rFonts w:cs="Arial"/>
          <w:szCs w:val="20"/>
        </w:rPr>
      </w:pPr>
      <w:r>
        <w:rPr>
          <w:rFonts w:cs="Arial"/>
          <w:szCs w:val="20"/>
        </w:rPr>
        <w:t>O reajuste será realizado por apostilamento.</w:t>
      </w:r>
    </w:p>
    <w:p>
      <w:pPr>
        <w:pStyle w:val="Normal"/>
        <w:spacing w:lineRule="auto" w:line="276" w:before="0" w:after="120"/>
        <w:ind w:left="425" w:hanging="0"/>
        <w:jc w:val="both"/>
        <w:rPr>
          <w:rFonts w:cs="Arial"/>
          <w:color w:val="000000"/>
          <w:szCs w:val="20"/>
        </w:rPr>
      </w:pPr>
      <w:r>
        <w:rPr>
          <w:rFonts w:cs="Arial"/>
          <w:color w:val="000000"/>
          <w:szCs w:val="20"/>
        </w:rPr>
      </w:r>
    </w:p>
    <w:p>
      <w:pPr>
        <w:pStyle w:val="Nivel1"/>
        <w:keepNext w:val="true"/>
        <w:keepLines/>
        <w:widowControl/>
        <w:numPr>
          <w:ilvl w:val="0"/>
          <w:numId w:val="1"/>
        </w:numPr>
        <w:suppressAutoHyphens w:val="true"/>
        <w:bidi w:val="0"/>
        <w:spacing w:lineRule="auto" w:line="276" w:before="0" w:after="120"/>
        <w:ind w:left="0" w:right="0" w:hanging="340"/>
        <w:jc w:val="both"/>
        <w:rPr/>
      </w:pPr>
      <w:r>
        <w:rPr/>
        <w:t>DA GARANTIA DE EXECUÇÃO</w:t>
      </w:r>
    </w:p>
    <w:p>
      <w:pPr>
        <w:pStyle w:val="Normal"/>
        <w:widowControl/>
        <w:numPr>
          <w:ilvl w:val="1"/>
          <w:numId w:val="1"/>
        </w:numPr>
        <w:suppressAutoHyphens w:val="true"/>
        <w:bidi w:val="0"/>
        <w:spacing w:lineRule="auto" w:line="276" w:before="120" w:after="120"/>
        <w:ind w:left="170" w:right="0" w:hanging="454"/>
        <w:jc w:val="both"/>
        <w:rPr>
          <w:color w:val="000000"/>
        </w:rPr>
      </w:pPr>
      <w:r>
        <w:rPr>
          <w:rFonts w:cs="Arial"/>
          <w:color w:val="000000"/>
        </w:rPr>
        <w:t>Não haverá exigência de garantia contratual da execução, pelas razões abaixo justificadas:</w:t>
      </w:r>
    </w:p>
    <w:p>
      <w:pPr>
        <w:pStyle w:val="Normal"/>
        <w:numPr>
          <w:ilvl w:val="2"/>
          <w:numId w:val="1"/>
        </w:numPr>
        <w:tabs>
          <w:tab w:val="clear" w:pos="720"/>
          <w:tab w:val="left" w:pos="735" w:leader="none"/>
        </w:tabs>
        <w:spacing w:lineRule="auto" w:line="276" w:before="120" w:after="120"/>
        <w:ind w:left="716" w:hanging="0"/>
        <w:jc w:val="both"/>
        <w:rPr>
          <w:color w:val="000000"/>
        </w:rPr>
      </w:pPr>
      <w:r>
        <w:rPr>
          <w:rFonts w:cs="Arial"/>
          <w:b/>
          <w:color w:val="000000"/>
          <w:sz w:val="22"/>
          <w:szCs w:val="22"/>
          <w:highlight w:val="white"/>
          <w:u w:val="single"/>
        </w:rPr>
        <w:t>Por se tratar de uma licitação de registro de preços, que gera apenas expectativa da aquisição do bem/material e não ter a obrigatoriedade de atingir a margem de consumo estimada (considerando tratar-se de produtos com entrega imediata e que não geram obrigações futuras).</w:t>
      </w:r>
    </w:p>
    <w:p>
      <w:pPr>
        <w:pStyle w:val="Nivel1"/>
        <w:numPr>
          <w:ilvl w:val="0"/>
          <w:numId w:val="1"/>
        </w:numPr>
        <w:rPr/>
      </w:pPr>
      <w:r>
        <w:rPr/>
        <w:t xml:space="preserve">A GARANTIA CONTRATUAL DOS BENS - </w:t>
      </w:r>
      <w:r>
        <w:rPr>
          <w:b w:val="false"/>
          <w:u w:val="single"/>
        </w:rPr>
        <w:t>SUPRIMIDO</w:t>
      </w:r>
      <w:r>
        <w:rPr>
          <w:b w:val="false"/>
        </w:rPr>
        <w:t xml:space="preserve"> </w:t>
      </w:r>
    </w:p>
    <w:p>
      <w:pPr>
        <w:pStyle w:val="Nivel1"/>
        <w:keepNext w:val="true"/>
        <w:keepLines/>
        <w:widowControl/>
        <w:suppressAutoHyphens w:val="true"/>
        <w:bidi w:val="0"/>
        <w:spacing w:lineRule="auto" w:line="276" w:before="366" w:after="6"/>
        <w:ind w:left="0" w:right="0" w:hanging="0"/>
        <w:jc w:val="both"/>
        <w:rPr/>
      </w:pPr>
      <w:r>
        <w:rPr/>
        <w:t>16 DAS SANÇÕES ADMINISTRATIVAS</w:t>
      </w:r>
    </w:p>
    <w:p>
      <w:pPr>
        <w:pStyle w:val="Normal"/>
        <w:widowControl/>
        <w:suppressAutoHyphens w:val="true"/>
        <w:bidi w:val="0"/>
        <w:spacing w:lineRule="auto" w:line="276" w:before="120" w:after="120"/>
        <w:ind w:left="680" w:right="0" w:hanging="0"/>
        <w:jc w:val="both"/>
        <w:rPr>
          <w:rFonts w:cs="Arial"/>
          <w:szCs w:val="20"/>
        </w:rPr>
      </w:pPr>
      <w:r>
        <w:rPr>
          <w:rFonts w:cs="Arial"/>
          <w:szCs w:val="20"/>
        </w:rPr>
        <w:t>16.1 Comete infração administrativa nos termos da Lei nº 10.520, de 2002, a Contratada que:</w:t>
      </w:r>
    </w:p>
    <w:p>
      <w:pPr>
        <w:pStyle w:val="PargrafodaLista1"/>
        <w:numPr>
          <w:ilvl w:val="2"/>
          <w:numId w:val="10"/>
        </w:numPr>
        <w:spacing w:lineRule="auto" w:line="276" w:before="120" w:after="120"/>
        <w:ind w:left="1224" w:right="-30" w:hanging="504"/>
        <w:jc w:val="both"/>
        <w:rPr>
          <w:rFonts w:ascii="Arial" w:hAnsi="Arial" w:cs="Arial"/>
          <w:sz w:val="20"/>
          <w:szCs w:val="20"/>
        </w:rPr>
      </w:pPr>
      <w:r>
        <w:rPr>
          <w:rFonts w:cs="Arial" w:ascii="Arial" w:hAnsi="Arial"/>
          <w:sz w:val="20"/>
          <w:szCs w:val="20"/>
        </w:rPr>
        <w:t>falhar na execução do contrato, pela inexecução, total ou parcial, de quaisquer das obrigações assumidas na contratação;</w:t>
      </w:r>
    </w:p>
    <w:p>
      <w:pPr>
        <w:pStyle w:val="PargrafodaLista1"/>
        <w:numPr>
          <w:ilvl w:val="2"/>
          <w:numId w:val="11"/>
        </w:numPr>
        <w:spacing w:lineRule="auto" w:line="276" w:before="120" w:after="120"/>
        <w:ind w:left="1224" w:right="-30" w:hanging="504"/>
        <w:jc w:val="both"/>
        <w:rPr>
          <w:rFonts w:ascii="Arial" w:hAnsi="Arial" w:cs="Arial"/>
          <w:sz w:val="20"/>
          <w:szCs w:val="20"/>
        </w:rPr>
      </w:pPr>
      <w:r>
        <w:rPr>
          <w:rFonts w:cs="Arial" w:ascii="Arial" w:hAnsi="Arial"/>
          <w:sz w:val="20"/>
          <w:szCs w:val="20"/>
        </w:rPr>
        <w:t>ensejar o retardamento da execução do objeto;</w:t>
      </w:r>
    </w:p>
    <w:p>
      <w:pPr>
        <w:pStyle w:val="PargrafodaLista1"/>
        <w:numPr>
          <w:ilvl w:val="2"/>
          <w:numId w:val="11"/>
        </w:numPr>
        <w:spacing w:lineRule="auto" w:line="276" w:before="120" w:after="120"/>
        <w:ind w:left="1224" w:right="-30" w:hanging="504"/>
        <w:jc w:val="both"/>
        <w:rPr>
          <w:rFonts w:ascii="Arial" w:hAnsi="Arial" w:cs="Arial"/>
          <w:sz w:val="20"/>
          <w:szCs w:val="20"/>
        </w:rPr>
      </w:pPr>
      <w:r>
        <w:rPr>
          <w:rFonts w:cs="Arial" w:ascii="Arial" w:hAnsi="Arial"/>
          <w:sz w:val="20"/>
          <w:szCs w:val="20"/>
        </w:rPr>
        <w:t>fraudar na execução do contrato;</w:t>
      </w:r>
    </w:p>
    <w:p>
      <w:pPr>
        <w:pStyle w:val="PargrafodaLista1"/>
        <w:numPr>
          <w:ilvl w:val="2"/>
          <w:numId w:val="11"/>
        </w:numPr>
        <w:spacing w:lineRule="auto" w:line="276" w:before="120" w:after="120"/>
        <w:ind w:left="1224" w:right="-30" w:hanging="504"/>
        <w:jc w:val="both"/>
        <w:rPr>
          <w:rFonts w:ascii="Arial" w:hAnsi="Arial" w:cs="Arial"/>
          <w:sz w:val="20"/>
          <w:szCs w:val="20"/>
        </w:rPr>
      </w:pPr>
      <w:r>
        <w:rPr>
          <w:rFonts w:cs="Arial" w:ascii="Arial" w:hAnsi="Arial"/>
          <w:sz w:val="20"/>
          <w:szCs w:val="20"/>
        </w:rPr>
        <w:t>comportar-se de modo inidôneo; ou</w:t>
      </w:r>
    </w:p>
    <w:p>
      <w:pPr>
        <w:pStyle w:val="PargrafodaLista1"/>
        <w:numPr>
          <w:ilvl w:val="2"/>
          <w:numId w:val="11"/>
        </w:numPr>
        <w:spacing w:lineRule="auto" w:line="276" w:before="120" w:after="120"/>
        <w:ind w:left="1224" w:right="-30" w:hanging="504"/>
        <w:jc w:val="both"/>
        <w:rPr>
          <w:rFonts w:ascii="Arial" w:hAnsi="Arial" w:cs="Arial"/>
          <w:sz w:val="20"/>
          <w:szCs w:val="20"/>
        </w:rPr>
      </w:pPr>
      <w:r>
        <w:rPr>
          <w:rFonts w:cs="Arial" w:ascii="Arial" w:hAnsi="Arial"/>
          <w:sz w:val="20"/>
          <w:szCs w:val="20"/>
        </w:rPr>
        <w:t>cometer fraude fiscal.</w:t>
      </w:r>
    </w:p>
    <w:p>
      <w:pPr>
        <w:pStyle w:val="Normal"/>
        <w:spacing w:lineRule="auto" w:line="276" w:before="120" w:after="120"/>
        <w:ind w:left="1141" w:hanging="0"/>
        <w:jc w:val="both"/>
        <w:rPr>
          <w:rFonts w:cs="Arial"/>
          <w:szCs w:val="20"/>
        </w:rPr>
      </w:pPr>
      <w:r>
        <w:rPr>
          <w:rFonts w:cs="Arial"/>
          <w:szCs w:val="20"/>
        </w:rPr>
        <w:t xml:space="preserve">16.2 Pela inexecução </w:t>
      </w:r>
      <w:r>
        <w:rPr>
          <w:rFonts w:cs="Arial"/>
          <w:szCs w:val="20"/>
          <w:u w:val="single"/>
        </w:rPr>
        <w:t>total ou parcial</w:t>
      </w:r>
      <w:r>
        <w:rPr>
          <w:rFonts w:cs="Arial"/>
          <w:szCs w:val="20"/>
        </w:rPr>
        <w:t xml:space="preserve"> do objeto deste contrato, a Administração pode aplicar à CONTRATADA as seguintes sanções:</w:t>
      </w:r>
    </w:p>
    <w:p>
      <w:pPr>
        <w:pStyle w:val="Normal"/>
        <w:numPr>
          <w:ilvl w:val="2"/>
          <w:numId w:val="12"/>
        </w:numPr>
        <w:spacing w:lineRule="auto" w:line="276" w:before="120" w:after="120"/>
        <w:jc w:val="both"/>
        <w:rPr>
          <w:rFonts w:cs="Arial"/>
          <w:szCs w:val="20"/>
        </w:rPr>
      </w:pPr>
      <w:r>
        <w:rPr>
          <w:rFonts w:cs="Arial"/>
          <w:b/>
          <w:bCs/>
          <w:szCs w:val="20"/>
        </w:rPr>
        <w:t>Advertência por escrito</w:t>
      </w:r>
      <w:r>
        <w:rPr>
          <w:rFonts w:cs="Arial"/>
          <w:szCs w:val="20"/>
        </w:rPr>
        <w:t>, quando do não cumprimento de quaisquer das obrigações contratuais consideradas faltas leves, assim entendidas aquelas que não acarretam prejuízos significativos para o serviço contratado;</w:t>
      </w:r>
    </w:p>
    <w:p>
      <w:pPr>
        <w:pStyle w:val="Normal"/>
        <w:numPr>
          <w:ilvl w:val="2"/>
          <w:numId w:val="13"/>
        </w:numPr>
        <w:spacing w:lineRule="auto" w:line="276" w:before="120" w:after="120"/>
        <w:jc w:val="both"/>
        <w:rPr>
          <w:rFonts w:cs="Arial"/>
          <w:szCs w:val="20"/>
        </w:rPr>
      </w:pPr>
      <w:r>
        <w:rPr>
          <w:rFonts w:cs="Arial"/>
          <w:b/>
          <w:bCs/>
          <w:szCs w:val="20"/>
        </w:rPr>
        <w:t>Multa:</w:t>
      </w:r>
    </w:p>
    <w:p>
      <w:pPr>
        <w:pStyle w:val="Normal"/>
        <w:numPr>
          <w:ilvl w:val="3"/>
          <w:numId w:val="13"/>
        </w:numPr>
        <w:spacing w:lineRule="auto" w:line="276" w:before="120" w:after="120"/>
        <w:jc w:val="both"/>
        <w:rPr>
          <w:rFonts w:cs="Arial"/>
          <w:szCs w:val="20"/>
        </w:rPr>
      </w:pPr>
      <w:r>
        <w:rPr>
          <w:rFonts w:cs="Arial"/>
          <w:szCs w:val="20"/>
        </w:rPr>
        <w:t xml:space="preserve">moratória de </w:t>
      </w:r>
      <w:r>
        <w:rPr>
          <w:rFonts w:cs="Arial"/>
          <w:color w:val="000000"/>
          <w:szCs w:val="20"/>
        </w:rPr>
        <w:t>1%</w:t>
      </w:r>
      <w:r>
        <w:rPr>
          <w:rFonts w:cs="Arial"/>
          <w:szCs w:val="20"/>
        </w:rPr>
        <w:t xml:space="preserve"> (um por cento) por dia de atraso injustificado sobre o valor da parcela inadimplida, até o </w:t>
      </w:r>
      <w:r>
        <w:rPr>
          <w:rFonts w:cs="Arial"/>
          <w:color w:val="000000"/>
          <w:szCs w:val="20"/>
        </w:rPr>
        <w:t>limite</w:t>
      </w:r>
      <w:r>
        <w:rPr>
          <w:rFonts w:cs="Arial"/>
          <w:szCs w:val="20"/>
        </w:rPr>
        <w:t xml:space="preserve"> de 10</w:t>
      </w:r>
      <w:r>
        <w:rPr>
          <w:rFonts w:cs="Arial"/>
          <w:color w:val="FF0000"/>
          <w:szCs w:val="20"/>
        </w:rPr>
        <w:t xml:space="preserve"> </w:t>
      </w:r>
      <w:r>
        <w:rPr>
          <w:rFonts w:cs="Arial"/>
          <w:color w:val="000000"/>
          <w:szCs w:val="20"/>
        </w:rPr>
        <w:t>(dez) dias;</w:t>
      </w:r>
    </w:p>
    <w:p>
      <w:pPr>
        <w:pStyle w:val="Normal"/>
        <w:numPr>
          <w:ilvl w:val="3"/>
          <w:numId w:val="13"/>
        </w:numPr>
        <w:spacing w:lineRule="auto" w:line="276" w:before="120" w:after="120"/>
        <w:jc w:val="both"/>
        <w:rPr>
          <w:rFonts w:cs="Arial"/>
          <w:szCs w:val="20"/>
        </w:rPr>
      </w:pPr>
      <w:r>
        <w:rPr>
          <w:rFonts w:cs="Arial"/>
          <w:szCs w:val="20"/>
        </w:rPr>
        <w:t>compensatória de 10% (dez por cento) sobre o valor total do contrato, no caso de inexecução total do objeto;</w:t>
      </w:r>
    </w:p>
    <w:p>
      <w:pPr>
        <w:pStyle w:val="Normal"/>
        <w:numPr>
          <w:ilvl w:val="2"/>
          <w:numId w:val="13"/>
        </w:numPr>
        <w:spacing w:lineRule="auto" w:line="276" w:before="120" w:after="120"/>
        <w:jc w:val="both"/>
        <w:rPr>
          <w:rFonts w:cs="Arial"/>
          <w:szCs w:val="20"/>
        </w:rPr>
      </w:pPr>
      <w:r>
        <w:rPr>
          <w:rFonts w:cs="Arial"/>
          <w:b/>
          <w:bCs/>
          <w:szCs w:val="20"/>
        </w:rPr>
        <w:t>Suspensão de licitar e impedimento de contratar</w:t>
      </w:r>
      <w:r>
        <w:rPr>
          <w:rFonts w:cs="Arial"/>
          <w:szCs w:val="20"/>
        </w:rPr>
        <w:t xml:space="preserve"> com o órgão, entidade ou unidade administrativa pela qual a Administração Pública opera e atua concretamente, pelo prazo de até dois anos;</w:t>
      </w:r>
    </w:p>
    <w:p>
      <w:pPr>
        <w:pStyle w:val="ListParagraph"/>
        <w:numPr>
          <w:ilvl w:val="2"/>
          <w:numId w:val="13"/>
        </w:numPr>
        <w:jc w:val="both"/>
        <w:rPr>
          <w:rFonts w:cs="Arial"/>
          <w:szCs w:val="20"/>
        </w:rPr>
      </w:pPr>
      <w:r>
        <w:rPr>
          <w:rFonts w:cs="Arial"/>
          <w:b/>
          <w:bCs/>
          <w:szCs w:val="20"/>
        </w:rPr>
        <w:t>Sanção de impedimento de licitar e contratar com órgãos e entidades da União</w:t>
      </w:r>
      <w:r>
        <w:rPr>
          <w:rFonts w:cs="Arial"/>
          <w:szCs w:val="20"/>
        </w:rPr>
        <w:t>, com o consequente descredenciamento no SICAF pelo prazo de até cinco anos.</w:t>
      </w:r>
    </w:p>
    <w:p>
      <w:pPr>
        <w:pStyle w:val="Normal"/>
        <w:numPr>
          <w:ilvl w:val="2"/>
          <w:numId w:val="13"/>
        </w:numPr>
        <w:spacing w:lineRule="auto" w:line="276" w:before="120" w:after="120"/>
        <w:jc w:val="both"/>
        <w:rPr>
          <w:rFonts w:cs="Arial"/>
          <w:szCs w:val="20"/>
        </w:rPr>
      </w:pPr>
      <w:r>
        <w:rPr>
          <w:rFonts w:cs="Arial"/>
          <w:b/>
          <w:bCs/>
          <w:szCs w:val="20"/>
        </w:rPr>
        <w:t>Declaração de inidoneidade para licitar ou contratar</w:t>
      </w:r>
      <w:r>
        <w:rPr>
          <w:rFonts w:cs="Arial"/>
          <w:szCs w:val="20"/>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pPr>
        <w:pStyle w:val="Normal"/>
        <w:spacing w:lineRule="auto" w:line="276" w:before="120" w:after="120"/>
        <w:ind w:left="113" w:hanging="0"/>
        <w:jc w:val="both"/>
        <w:rPr/>
      </w:pPr>
      <w:r>
        <w:rPr>
          <w:rFonts w:cs="Arial"/>
          <w:szCs w:val="20"/>
        </w:rPr>
        <w:t>16.3 A Sanção de impedimento de licitar e contratar prevista no subitem “iv” também é aplicável em quaisquer das hipóteses previstas como infração administrativa neste Termo de Referência.</w:t>
      </w:r>
    </w:p>
    <w:p>
      <w:pPr>
        <w:pStyle w:val="Normal"/>
        <w:spacing w:lineRule="auto" w:line="276" w:before="120" w:after="120"/>
        <w:ind w:left="113" w:hanging="0"/>
        <w:jc w:val="both"/>
        <w:rPr/>
      </w:pPr>
      <w:r>
        <w:rPr>
          <w:rFonts w:cs="Arial"/>
          <w:szCs w:val="20"/>
        </w:rPr>
        <w:t>16.4 As sanções previstas nos subitens “i”, “iii”, “iv” e “v” poderão ser aplicadas à CONTRATADA juntamente com as de multa, descontando-a dos pagamentos a serem efetuados.</w:t>
      </w:r>
      <w:bookmarkStart w:id="1" w:name="_Hlk78351618"/>
      <w:bookmarkEnd w:id="1"/>
    </w:p>
    <w:p>
      <w:pPr>
        <w:pStyle w:val="Normal"/>
        <w:spacing w:lineRule="auto" w:line="276" w:before="120" w:after="120"/>
        <w:ind w:left="113" w:hanging="0"/>
        <w:jc w:val="both"/>
        <w:rPr/>
      </w:pPr>
      <w:r>
        <w:rPr>
          <w:rFonts w:cs="Arial"/>
          <w:szCs w:val="20"/>
        </w:rPr>
        <w:t>16.5 Também ficam sujeitas às penalidades do art. 87, III e IV da Lei nº 8.666, de 1993, as empresas ou profissionais que:</w:t>
      </w:r>
    </w:p>
    <w:p>
      <w:pPr>
        <w:pStyle w:val="Normal"/>
        <w:spacing w:lineRule="auto" w:line="276" w:before="120" w:after="120"/>
        <w:ind w:left="2064" w:hanging="0"/>
        <w:jc w:val="both"/>
        <w:rPr>
          <w:rFonts w:cs="Arial"/>
          <w:szCs w:val="20"/>
        </w:rPr>
      </w:pPr>
      <w:r>
        <w:rPr>
          <w:rFonts w:cs="Arial"/>
          <w:szCs w:val="20"/>
        </w:rPr>
        <w:t>16.5.1 tenham sofrido condenação definitiva por praticar, por meio dolosos, fraude fiscal no recolhimento de quaisquer tributos;</w:t>
      </w:r>
    </w:p>
    <w:p>
      <w:pPr>
        <w:pStyle w:val="Normal"/>
        <w:spacing w:lineRule="auto" w:line="276" w:before="120" w:after="120"/>
        <w:ind w:left="2064" w:hanging="0"/>
        <w:jc w:val="both"/>
        <w:rPr>
          <w:rFonts w:cs="Arial"/>
          <w:szCs w:val="20"/>
        </w:rPr>
      </w:pPr>
      <w:r>
        <w:rPr>
          <w:rFonts w:cs="Arial"/>
          <w:szCs w:val="20"/>
        </w:rPr>
        <w:t>16.5.2 tenham praticado atos ilícitos visando a frustrar os objetivos da licitação;</w:t>
      </w:r>
    </w:p>
    <w:p>
      <w:pPr>
        <w:pStyle w:val="Normal"/>
        <w:spacing w:lineRule="auto" w:line="276" w:before="240" w:after="120"/>
        <w:ind w:left="1781" w:right="-17" w:hanging="0"/>
        <w:jc w:val="both"/>
        <w:rPr>
          <w:rFonts w:cs="Arial"/>
          <w:szCs w:val="20"/>
        </w:rPr>
      </w:pPr>
      <w:r>
        <w:rPr>
          <w:rFonts w:cs="Arial"/>
          <w:szCs w:val="20"/>
        </w:rPr>
        <w:t>16.5.3 demonstrem não possuir idoneidade para contratar com a Administração em virtude de atos ilícitos praticados.</w:t>
      </w:r>
    </w:p>
    <w:p>
      <w:pPr>
        <w:pStyle w:val="Normal"/>
        <w:spacing w:lineRule="auto" w:line="276" w:before="120" w:after="120"/>
        <w:jc w:val="both"/>
        <w:rPr>
          <w:rFonts w:cs="Arial"/>
          <w:szCs w:val="20"/>
        </w:rPr>
      </w:pPr>
      <w:r>
        <w:rPr>
          <w:rFonts w:cs="Arial"/>
          <w:szCs w:val="20"/>
        </w:rPr>
        <w:t>16.4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spacing w:lineRule="auto" w:line="276" w:before="120" w:after="120"/>
        <w:ind w:right="-30" w:hanging="0"/>
        <w:jc w:val="both"/>
        <w:rPr/>
      </w:pPr>
      <w:r>
        <w:rPr>
          <w:szCs w:val="20"/>
        </w:rPr>
        <w:t>16.5 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Normal"/>
        <w:spacing w:lineRule="auto" w:line="276" w:before="120" w:after="120"/>
        <w:ind w:right="-30" w:hanging="0"/>
        <w:jc w:val="both"/>
        <w:rPr/>
      </w:pPr>
      <w:r>
        <w:rPr>
          <w:szCs w:val="20"/>
        </w:rPr>
        <w:t>16.5.1 Caso a Contratante determine, a multa deverá ser recolhida no prazo máximo de</w:t>
      </w:r>
      <w:r>
        <w:rPr>
          <w:color w:val="000000"/>
          <w:szCs w:val="20"/>
        </w:rPr>
        <w:t xml:space="preserve"> 15 (quin</w:t>
      </w:r>
      <w:r>
        <w:rPr>
          <w:szCs w:val="20"/>
        </w:rPr>
        <w:t>ze) dias, a contar da data do recebimento da comunicação enviada pela autoridade competente.</w:t>
      </w:r>
    </w:p>
    <w:p>
      <w:pPr>
        <w:pStyle w:val="Normal"/>
        <w:spacing w:lineRule="auto" w:line="276" w:before="120" w:after="120"/>
        <w:ind w:right="-30" w:hanging="0"/>
        <w:jc w:val="both"/>
        <w:rPr>
          <w:rFonts w:cs="Arial"/>
          <w:szCs w:val="20"/>
        </w:rPr>
      </w:pPr>
      <w:r>
        <w:rPr>
          <w:rFonts w:cs="Arial"/>
          <w:szCs w:val="20"/>
        </w:rPr>
        <w:t>16.6 Caso o valor da multa não seja suficiente para cobrir os prejuízos causados pela conduta do licitante, a União ou Entidade poderá cobrar o valor remanescente judicialmente, conforme artigo 419 do Código Civil.</w:t>
      </w:r>
    </w:p>
    <w:p>
      <w:pPr>
        <w:pStyle w:val="Normal"/>
        <w:spacing w:lineRule="auto" w:line="276" w:before="120" w:after="120"/>
        <w:ind w:right="-30" w:hanging="0"/>
        <w:jc w:val="both"/>
        <w:rPr/>
      </w:pPr>
      <w:r>
        <w:rPr/>
        <w:t>16.7 A autoridade competente, na aplicação das sanções, levará em consideração a gravidade da conduta do infrator, o caráter educativo da pena, bem como o dano causado à Administração, observado o princípio da proporcionalidade.</w:t>
      </w:r>
    </w:p>
    <w:p>
      <w:pPr>
        <w:pStyle w:val="Nivel2"/>
        <w:rPr>
          <w:rFonts w:ascii="Arial" w:hAnsi="Arial" w:cs="Arial"/>
        </w:rPr>
      </w:pPr>
      <w:r>
        <w:rPr>
          <w:rFonts w:cs="Arial" w:ascii="Arial" w:hAnsi="Arial"/>
        </w:rPr>
        <w:t xml:space="preserve">16.8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ivel2"/>
        <w:rPr>
          <w:rFonts w:ascii="Arial" w:hAnsi="Arial" w:cs="Arial"/>
        </w:rPr>
      </w:pPr>
      <w:r>
        <w:rPr>
          <w:rFonts w:cs="Arial" w:ascii="Arial" w:hAnsi="Arial"/>
        </w:rPr>
        <w:t>16.9 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ivel2"/>
        <w:rPr>
          <w:rFonts w:ascii="Arial" w:hAnsi="Arial" w:cs="Arial"/>
        </w:rPr>
      </w:pPr>
      <w:r>
        <w:rPr>
          <w:rFonts w:cs="Arial" w:ascii="Arial" w:hAnsi="Arial"/>
        </w:rPr>
        <w:t xml:space="preserve">16.10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spacing w:lineRule="auto" w:line="276" w:before="120" w:after="120"/>
        <w:jc w:val="both"/>
        <w:rPr>
          <w:rFonts w:cs="Arial"/>
          <w:i/>
          <w:i/>
          <w:szCs w:val="20"/>
        </w:rPr>
      </w:pPr>
      <w:r>
        <w:rPr>
          <w:rFonts w:cs="Arial"/>
          <w:szCs w:val="20"/>
        </w:rPr>
        <w:t>16.11 As penalidades serão obrigatoriamente registradas no SICAF.</w:t>
      </w:r>
    </w:p>
    <w:p>
      <w:pPr>
        <w:pStyle w:val="Nivel1"/>
        <w:spacing w:before="366" w:after="6"/>
        <w:ind w:left="303" w:hanging="0"/>
        <w:rPr/>
      </w:pPr>
      <w:r>
        <w:rPr>
          <w:bCs/>
        </w:rPr>
        <w:t>17. CRITÉRIOS DE SELEÇÃO DO FORNECEDOR</w:t>
      </w:r>
    </w:p>
    <w:p>
      <w:pPr>
        <w:pStyle w:val="Normal"/>
        <w:spacing w:lineRule="auto" w:line="276" w:before="120" w:after="120"/>
        <w:ind w:left="716" w:hanging="0"/>
        <w:jc w:val="both"/>
        <w:rPr/>
      </w:pPr>
      <w:r>
        <w:rPr>
          <w:rFonts w:cs="Arial"/>
          <w:szCs w:val="20"/>
        </w:rPr>
        <w:t>17.1 As exigências de habilitação jurídica e de regularidade fiscal e trabalhista são as usuais para a generalidade dos objetos, conforme disciplinado no edital.</w:t>
      </w:r>
    </w:p>
    <w:p>
      <w:pPr>
        <w:pStyle w:val="Normal"/>
        <w:spacing w:lineRule="auto" w:line="276" w:before="120" w:after="120"/>
        <w:ind w:left="659" w:hanging="0"/>
        <w:jc w:val="both"/>
        <w:rPr/>
      </w:pPr>
      <w:r>
        <w:rPr>
          <w:rFonts w:cs="Arial"/>
          <w:szCs w:val="20"/>
        </w:rPr>
        <w:t>17.2 Os critérios de qualificação econômico-financeira a serem atendidos pelo fornecedor estão previstos no edital.</w:t>
      </w:r>
    </w:p>
    <w:p>
      <w:pPr>
        <w:pStyle w:val="Normal"/>
        <w:spacing w:lineRule="auto" w:line="276" w:before="120" w:after="120"/>
        <w:ind w:left="716" w:hanging="0"/>
        <w:jc w:val="both"/>
        <w:rPr/>
      </w:pPr>
      <w:r>
        <w:rPr>
          <w:rFonts w:cs="Arial"/>
          <w:szCs w:val="20"/>
        </w:rPr>
        <w:t>17.3 Os critérios de qualificação técnica a serem atendidos pelo fornecedor serão:</w:t>
      </w:r>
    </w:p>
    <w:p>
      <w:pPr>
        <w:pStyle w:val="ListParagraph"/>
        <w:widowControl/>
        <w:tabs>
          <w:tab w:val="clear" w:pos="720"/>
          <w:tab w:val="left" w:pos="1440" w:leader="none"/>
        </w:tabs>
        <w:suppressAutoHyphens w:val="true"/>
        <w:bidi w:val="0"/>
        <w:snapToGrid w:val="false"/>
        <w:spacing w:lineRule="auto" w:line="276" w:before="120" w:after="120"/>
        <w:ind w:left="964" w:right="0" w:hanging="0"/>
        <w:contextualSpacing/>
        <w:jc w:val="both"/>
        <w:rPr/>
      </w:pPr>
      <w:r>
        <w:rPr>
          <w:rFonts w:cs="Arial"/>
          <w:color w:val="000000"/>
          <w:szCs w:val="20"/>
        </w:rPr>
        <w:t>17.3.1 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ListParagraph"/>
        <w:tabs>
          <w:tab w:val="clear" w:pos="720"/>
          <w:tab w:val="left" w:pos="1440" w:leader="none"/>
        </w:tabs>
        <w:snapToGrid w:val="false"/>
        <w:spacing w:lineRule="auto" w:line="276" w:before="120" w:after="120"/>
        <w:ind w:left="3211" w:hanging="0"/>
        <w:contextualSpacing/>
        <w:jc w:val="both"/>
        <w:rPr>
          <w:rFonts w:cs="Arial"/>
          <w:color w:val="000000"/>
          <w:szCs w:val="20"/>
        </w:rPr>
      </w:pPr>
      <w:r>
        <w:rPr>
          <w:rFonts w:cs="Arial"/>
          <w:color w:val="000000"/>
          <w:szCs w:val="20"/>
        </w:rPr>
      </w:r>
    </w:p>
    <w:p>
      <w:pPr>
        <w:pStyle w:val="ListParagraph"/>
        <w:widowControl/>
        <w:tabs>
          <w:tab w:val="clear" w:pos="720"/>
          <w:tab w:val="left" w:pos="1440" w:leader="none"/>
        </w:tabs>
        <w:suppressAutoHyphens w:val="true"/>
        <w:bidi w:val="0"/>
        <w:snapToGrid w:val="false"/>
        <w:spacing w:lineRule="auto" w:line="276" w:before="6" w:after="6"/>
        <w:ind w:left="1644" w:right="0" w:hanging="0"/>
        <w:contextualSpacing/>
        <w:jc w:val="both"/>
        <w:rPr/>
      </w:pPr>
      <w:r>
        <w:rPr>
          <w:rFonts w:cs="Arial"/>
          <w:color w:val="000000"/>
          <w:szCs w:val="20"/>
        </w:rPr>
        <w:t xml:space="preserve">17.3.1.1 </w:t>
      </w:r>
      <w:r>
        <w:rPr>
          <w:rFonts w:cs="Arial"/>
          <w:b/>
          <w:bCs/>
          <w:color w:val="000000"/>
          <w:szCs w:val="20"/>
          <w:u w:val="single"/>
        </w:rPr>
        <w:t>SUPRIMIDO</w:t>
      </w:r>
    </w:p>
    <w:p>
      <w:pPr>
        <w:pStyle w:val="ListParagraph"/>
        <w:tabs>
          <w:tab w:val="clear" w:pos="720"/>
          <w:tab w:val="left" w:pos="1440" w:leader="none"/>
        </w:tabs>
        <w:snapToGrid w:val="false"/>
        <w:spacing w:lineRule="auto" w:line="276"/>
        <w:ind w:left="4784" w:hanging="0"/>
        <w:jc w:val="both"/>
        <w:rPr>
          <w:rFonts w:cs="Arial"/>
          <w:color w:val="FF0000"/>
          <w:szCs w:val="20"/>
          <w:highlight w:val="yellow"/>
        </w:rPr>
      </w:pPr>
      <w:r>
        <w:rPr>
          <w:rFonts w:cs="Arial"/>
          <w:color w:val="FF0000"/>
          <w:szCs w:val="20"/>
          <w:highlight w:val="yellow"/>
        </w:rPr>
      </w:r>
    </w:p>
    <w:p>
      <w:pPr>
        <w:pStyle w:val="ListParagraph"/>
        <w:numPr>
          <w:ilvl w:val="0"/>
          <w:numId w:val="2"/>
        </w:numPr>
        <w:spacing w:lineRule="auto" w:line="276" w:before="120" w:after="120"/>
        <w:ind w:left="360" w:right="-30" w:hanging="360"/>
        <w:contextualSpacing/>
        <w:jc w:val="both"/>
        <w:rPr>
          <w:i/>
          <w:i/>
          <w:vanish/>
          <w:color w:val="FF0000"/>
          <w:szCs w:val="20"/>
        </w:rPr>
      </w:pPr>
      <w:r>
        <w:rPr>
          <w:i/>
          <w:vanish/>
          <w:color w:val="FF0000"/>
          <w:szCs w:val="20"/>
        </w:rPr>
      </w:r>
    </w:p>
    <w:p>
      <w:pPr>
        <w:pStyle w:val="Normal"/>
        <w:spacing w:lineRule="auto" w:line="276" w:before="6" w:after="6"/>
        <w:ind w:left="57" w:hanging="0"/>
        <w:jc w:val="both"/>
        <w:rPr>
          <w:color w:val="000000"/>
        </w:rPr>
      </w:pPr>
      <w:r>
        <w:rPr>
          <w:color w:val="000000"/>
          <w:szCs w:val="20"/>
        </w:rPr>
        <w:t>17.4 Os</w:t>
      </w:r>
      <w:r>
        <w:rPr>
          <w:rFonts w:cs="Arial"/>
          <w:color w:val="000000"/>
          <w:szCs w:val="20"/>
        </w:rPr>
        <w:t xml:space="preserve"> critérios de aceitabilidade de preços serão:</w:t>
      </w:r>
    </w:p>
    <w:p>
      <w:pPr>
        <w:pStyle w:val="Normal"/>
        <w:spacing w:lineRule="auto" w:line="276" w:before="120" w:after="120"/>
        <w:ind w:left="850" w:hanging="0"/>
        <w:jc w:val="both"/>
        <w:rPr>
          <w:color w:val="000000"/>
        </w:rPr>
      </w:pPr>
      <w:r>
        <w:rPr>
          <w:rFonts w:cs="Arial"/>
          <w:color w:val="000000"/>
          <w:szCs w:val="20"/>
        </w:rPr>
        <w:t xml:space="preserve">17.4.1 Valor Global: </w:t>
      </w:r>
      <w:r>
        <w:rPr>
          <w:rFonts w:cs="Arial"/>
          <w:b/>
          <w:bCs/>
          <w:color w:val="000000"/>
          <w:szCs w:val="20"/>
        </w:rPr>
        <w:t xml:space="preserve">R$ </w:t>
      </w:r>
      <w:r>
        <w:rPr>
          <w:rFonts w:cs="Arial"/>
          <w:b/>
          <w:color w:val="000000"/>
          <w:sz w:val="21"/>
          <w:szCs w:val="21"/>
        </w:rPr>
        <w:t>169.416,36(cento e sessenta e nove mil, quatrocentos e dezesseis reais e trinta e seis centavos)</w:t>
      </w:r>
    </w:p>
    <w:p>
      <w:pPr>
        <w:pStyle w:val="Normal"/>
        <w:spacing w:lineRule="auto" w:line="276" w:before="120" w:after="120"/>
        <w:ind w:left="1134" w:hanging="0"/>
        <w:jc w:val="both"/>
        <w:rPr>
          <w:color w:val="000000"/>
        </w:rPr>
      </w:pPr>
      <w:r>
        <w:rPr>
          <w:rFonts w:cs="Arial"/>
          <w:color w:val="000000"/>
          <w:szCs w:val="20"/>
        </w:rPr>
        <w:t>17.4.2 Valores unitários: conforme planilha de composição de preços anexa ao edital.</w:t>
      </w:r>
    </w:p>
    <w:p>
      <w:pPr>
        <w:pStyle w:val="Normal"/>
        <w:widowControl/>
        <w:suppressAutoHyphens w:val="true"/>
        <w:bidi w:val="0"/>
        <w:spacing w:lineRule="auto" w:line="276" w:before="120" w:after="120"/>
        <w:ind w:left="-113" w:right="0" w:hanging="0"/>
        <w:jc w:val="both"/>
        <w:rPr>
          <w:rFonts w:cs="Arial"/>
          <w:szCs w:val="20"/>
        </w:rPr>
      </w:pPr>
      <w:r>
        <w:rPr>
          <w:rFonts w:cs="Arial"/>
          <w:szCs w:val="20"/>
        </w:rPr>
        <w:t>17.5 O critério de julgamento da proposta é o menor preço global por item.</w:t>
      </w:r>
    </w:p>
    <w:p>
      <w:pPr>
        <w:pStyle w:val="Normal"/>
        <w:widowControl/>
        <w:suppressAutoHyphens w:val="true"/>
        <w:bidi w:val="0"/>
        <w:spacing w:lineRule="auto" w:line="276" w:before="63" w:after="63"/>
        <w:ind w:left="-170" w:right="0" w:hanging="0"/>
        <w:jc w:val="both"/>
        <w:rPr>
          <w:rFonts w:cs="Arial"/>
          <w:b/>
          <w:b/>
          <w:szCs w:val="20"/>
          <w:lang w:val="x-none"/>
        </w:rPr>
      </w:pPr>
      <w:r>
        <w:rPr>
          <w:rFonts w:cs="Arial"/>
          <w:szCs w:val="20"/>
        </w:rPr>
        <w:t>17.6 As regras de desempate entre propostas são as discriminadas no edital.</w:t>
      </w:r>
    </w:p>
    <w:p>
      <w:pPr>
        <w:pStyle w:val="Normal"/>
        <w:spacing w:lineRule="auto" w:line="276"/>
        <w:ind w:left="1148" w:right="-17" w:hanging="0"/>
        <w:jc w:val="both"/>
        <w:rPr>
          <w:rFonts w:cs="Arial"/>
          <w:b/>
          <w:b/>
          <w:szCs w:val="20"/>
          <w:lang w:val="x-none"/>
        </w:rPr>
      </w:pPr>
      <w:r>
        <w:rPr>
          <w:rFonts w:cs="Arial"/>
          <w:b/>
          <w:szCs w:val="20"/>
          <w:lang w:val="x-none"/>
        </w:rPr>
      </w:r>
    </w:p>
    <w:p>
      <w:pPr>
        <w:pStyle w:val="Nivel1"/>
        <w:keepNext w:val="true"/>
        <w:keepLines/>
        <w:widowControl/>
        <w:suppressAutoHyphens w:val="true"/>
        <w:bidi w:val="0"/>
        <w:spacing w:lineRule="auto" w:line="276" w:before="0" w:after="0"/>
        <w:ind w:left="-113" w:right="-57" w:hanging="0"/>
        <w:jc w:val="both"/>
        <w:rPr>
          <w:b w:val="false"/>
          <w:b w:val="false"/>
          <w:bCs/>
          <w:color w:val="FF0000"/>
        </w:rPr>
      </w:pPr>
      <w:r>
        <w:rPr>
          <w:bCs/>
        </w:rPr>
        <w:t xml:space="preserve">18. ESTIMATIVA DE </w:t>
      </w:r>
      <w:r>
        <w:rPr/>
        <w:t>PREÇOS</w:t>
      </w:r>
      <w:r>
        <w:rPr>
          <w:bCs/>
        </w:rPr>
        <w:t xml:space="preserve"> E PREÇOS REFERENCIAIS.</w:t>
      </w:r>
    </w:p>
    <w:p>
      <w:pPr>
        <w:pStyle w:val="Normal"/>
        <w:widowControl/>
        <w:suppressAutoHyphens w:val="true"/>
        <w:bidi w:val="0"/>
        <w:spacing w:lineRule="auto" w:line="276" w:before="120" w:after="120"/>
        <w:ind w:left="-57" w:right="0" w:hanging="0"/>
        <w:jc w:val="both"/>
        <w:rPr>
          <w:color w:val="000000"/>
        </w:rPr>
      </w:pPr>
      <w:r>
        <w:rPr>
          <w:i/>
          <w:color w:val="000000"/>
        </w:rPr>
        <w:t xml:space="preserve">18.1 O custo estimado da contratação é de </w:t>
      </w:r>
      <w:r>
        <w:rPr>
          <w:rFonts w:cs="Arial"/>
          <w:b/>
          <w:i w:val="false"/>
          <w:iCs w:val="false"/>
          <w:color w:val="000000"/>
          <w:sz w:val="21"/>
          <w:szCs w:val="21"/>
        </w:rPr>
        <w:t>169.416,36(cento e sessenta e nove mil, quatrocentos e dezesseis reais e trinta e seis centavos).</w:t>
      </w:r>
    </w:p>
    <w:p>
      <w:pPr>
        <w:pStyle w:val="Normal"/>
        <w:widowControl/>
        <w:suppressAutoHyphens w:val="true"/>
        <w:bidi w:val="0"/>
        <w:spacing w:before="0" w:after="0"/>
        <w:ind w:left="-397" w:right="0" w:hanging="0"/>
        <w:jc w:val="left"/>
        <w:rPr/>
      </w:pPr>
      <w:r>
        <w:rPr/>
      </w:r>
    </w:p>
    <w:p>
      <w:pPr>
        <w:pStyle w:val="Nivel1"/>
        <w:keepNext w:val="true"/>
        <w:keepLines/>
        <w:widowControl/>
        <w:suppressAutoHyphens w:val="true"/>
        <w:bidi w:val="0"/>
        <w:spacing w:lineRule="auto" w:line="276" w:before="0" w:after="0"/>
        <w:ind w:left="-283" w:right="-57" w:hanging="0"/>
        <w:jc w:val="both"/>
        <w:rPr/>
      </w:pPr>
      <w:r>
        <w:rPr/>
        <w:t>19. DOS RECURSOS ORÇAMENTÁRIOS.</w:t>
      </w:r>
    </w:p>
    <w:p>
      <w:pPr>
        <w:pStyle w:val="Normal"/>
        <w:spacing w:lineRule="auto" w:line="276"/>
        <w:ind w:left="716" w:hanging="0"/>
        <w:jc w:val="both"/>
        <w:rPr/>
      </w:pPr>
      <w:r>
        <w:rPr/>
      </w:r>
    </w:p>
    <w:p>
      <w:pPr>
        <w:pStyle w:val="Normal"/>
        <w:widowControl/>
        <w:suppressAutoHyphens w:val="true"/>
        <w:bidi w:val="0"/>
        <w:spacing w:lineRule="auto" w:line="276" w:before="6" w:after="6"/>
        <w:ind w:left="-227" w:right="0" w:hanging="0"/>
        <w:jc w:val="both"/>
        <w:rPr>
          <w:color w:val="000000"/>
        </w:rPr>
      </w:pPr>
      <w:r>
        <w:rPr>
          <w:rFonts w:cs="Arial"/>
          <w:color w:val="000000"/>
          <w:szCs w:val="20"/>
        </w:rPr>
        <w:t>19.1 A indicação da dotação orçamentária fica postergada para o momento da assinatura do contrato ou instrumento equivalente.</w:t>
      </w:r>
    </w:p>
    <w:p>
      <w:pPr>
        <w:pStyle w:val="Normal"/>
        <w:spacing w:lineRule="auto" w:line="276" w:before="6" w:after="6"/>
        <w:ind w:left="262" w:hanging="0"/>
        <w:jc w:val="both"/>
        <w:rPr>
          <w:color w:val="000000"/>
        </w:rPr>
      </w:pPr>
      <w:r>
        <w:rPr>
          <w:color w:val="000000"/>
        </w:rPr>
      </w:r>
    </w:p>
    <w:p>
      <w:pPr>
        <w:pStyle w:val="Normal"/>
        <w:widowControl/>
        <w:suppressAutoHyphens w:val="true"/>
        <w:bidi w:val="0"/>
        <w:spacing w:before="0" w:after="132"/>
        <w:ind w:left="-227" w:right="0" w:hanging="0"/>
        <w:jc w:val="left"/>
        <w:rPr>
          <w:b/>
          <w:b/>
          <w:bCs/>
        </w:rPr>
      </w:pPr>
      <w:r>
        <w:rPr>
          <w:b/>
          <w:bCs/>
        </w:rPr>
      </w:r>
    </w:p>
    <w:p>
      <w:pPr>
        <w:pStyle w:val="Normal"/>
        <w:widowControl/>
        <w:suppressAutoHyphens w:val="true"/>
        <w:bidi w:val="0"/>
        <w:spacing w:before="0" w:after="132"/>
        <w:ind w:left="-227" w:right="0" w:hanging="0"/>
        <w:jc w:val="left"/>
        <w:rPr>
          <w:b/>
          <w:b/>
          <w:bCs/>
        </w:rPr>
      </w:pPr>
      <w:r>
        <w:rPr>
          <w:b/>
          <w:bCs/>
        </w:rPr>
      </w:r>
    </w:p>
    <w:p>
      <w:pPr>
        <w:pStyle w:val="Normal"/>
        <w:widowControl/>
        <w:suppressAutoHyphens w:val="true"/>
        <w:bidi w:val="0"/>
        <w:spacing w:before="0" w:after="132"/>
        <w:ind w:left="-227" w:right="0" w:hanging="0"/>
        <w:jc w:val="left"/>
        <w:rPr>
          <w:b/>
          <w:b/>
          <w:bCs/>
        </w:rPr>
      </w:pPr>
      <w:r>
        <w:rPr>
          <w:b/>
          <w:bCs/>
        </w:rPr>
      </w:r>
    </w:p>
    <w:p>
      <w:pPr>
        <w:pStyle w:val="Normal"/>
        <w:widowControl/>
        <w:suppressAutoHyphens w:val="true"/>
        <w:bidi w:val="0"/>
        <w:spacing w:before="0" w:after="132"/>
        <w:ind w:left="-227" w:right="0" w:hanging="0"/>
        <w:jc w:val="left"/>
        <w:rPr>
          <w:b/>
          <w:b/>
          <w:bCs/>
        </w:rPr>
      </w:pPr>
      <w:r>
        <w:rPr>
          <w:b/>
          <w:bCs/>
        </w:rPr>
      </w:r>
    </w:p>
    <w:p>
      <w:pPr>
        <w:pStyle w:val="Normal"/>
        <w:widowControl/>
        <w:suppressAutoHyphens w:val="true"/>
        <w:bidi w:val="0"/>
        <w:spacing w:before="0" w:after="132"/>
        <w:ind w:left="-227" w:right="0" w:hanging="0"/>
        <w:jc w:val="left"/>
        <w:rPr>
          <w:b/>
          <w:b/>
          <w:bCs/>
        </w:rPr>
      </w:pPr>
      <w:r>
        <w:rPr>
          <w:rFonts w:cs="Arial"/>
          <w:b/>
          <w:bCs/>
          <w:szCs w:val="20"/>
        </w:rPr>
        <w:t>ANEXOS</w:t>
      </w:r>
    </w:p>
    <w:p>
      <w:pPr>
        <w:pStyle w:val="Normal"/>
        <w:widowControl/>
        <w:suppressAutoHyphens w:val="true"/>
        <w:bidi w:val="0"/>
        <w:spacing w:lineRule="auto" w:line="276" w:before="120" w:after="0"/>
        <w:ind w:left="-170" w:right="-57" w:hanging="0"/>
        <w:jc w:val="both"/>
        <w:rPr>
          <w:b/>
          <w:b/>
          <w:szCs w:val="20"/>
        </w:rPr>
      </w:pPr>
      <w:r>
        <w:rPr>
          <w:b/>
          <w:szCs w:val="20"/>
        </w:rPr>
      </w:r>
    </w:p>
    <w:p>
      <w:pPr>
        <w:pStyle w:val="Normal"/>
        <w:widowControl/>
        <w:suppressAutoHyphens w:val="true"/>
        <w:bidi w:val="0"/>
        <w:spacing w:lineRule="auto" w:line="276" w:before="120" w:after="0"/>
        <w:ind w:left="-170" w:right="-57" w:hanging="0"/>
        <w:jc w:val="both"/>
        <w:rPr/>
      </w:pPr>
      <w:r>
        <w:rPr>
          <w:b/>
          <w:szCs w:val="20"/>
        </w:rPr>
        <w:t xml:space="preserve">ANEXO I/A: </w:t>
      </w:r>
      <w:r>
        <w:rPr>
          <w:szCs w:val="20"/>
        </w:rPr>
        <w:t>Estudo Técnico Preliminar(ETP) - Presente no site do IFSertãoPE, no seguinte endereço:</w:t>
      </w:r>
      <w:hyperlink r:id="rId2">
        <w:r>
          <w:rPr>
            <w:rStyle w:val="LinkdaInternet"/>
            <w:b/>
            <w:color w:val="1155CC"/>
            <w:szCs w:val="20"/>
          </w:rPr>
          <w:t xml:space="preserve"> </w:t>
        </w:r>
      </w:hyperlink>
      <w:hyperlink r:id="rId3">
        <w:r>
          <w:rPr>
            <w:rStyle w:val="LinkdaInternet"/>
            <w:b/>
            <w:color w:val="1155CC"/>
            <w:szCs w:val="20"/>
          </w:rPr>
          <w:t>https://www.ifsertao-pe.edu.br/index.php/licitacoes/pregao-eletronico/pregao-rei?id=1171</w:t>
        </w:r>
      </w:hyperlink>
      <w:r>
        <w:rPr>
          <w:b/>
          <w:szCs w:val="20"/>
        </w:rPr>
        <w:t>;</w:t>
      </w:r>
    </w:p>
    <w:p>
      <w:pPr>
        <w:pStyle w:val="LOnormal"/>
        <w:widowControl/>
        <w:suppressAutoHyphens w:val="true"/>
        <w:bidi w:val="0"/>
        <w:spacing w:lineRule="auto" w:line="276" w:before="120" w:after="0"/>
        <w:ind w:left="-113" w:right="-57" w:hanging="0"/>
        <w:jc w:val="both"/>
        <w:rPr>
          <w:color w:val="000000"/>
        </w:rPr>
      </w:pPr>
      <w:r>
        <w:rPr>
          <w:color w:val="000000"/>
        </w:rPr>
      </w:r>
    </w:p>
    <w:p>
      <w:pPr>
        <w:pStyle w:val="Normal"/>
        <w:spacing w:before="0" w:after="75"/>
        <w:ind w:left="360" w:hanging="0"/>
        <w:jc w:val="right"/>
        <w:rPr>
          <w:rFonts w:cs="Arial"/>
          <w:color w:val="000000"/>
          <w:szCs w:val="20"/>
        </w:rPr>
      </w:pPr>
      <w:r>
        <w:rPr>
          <w:rFonts w:cs="Arial"/>
          <w:color w:val="000000"/>
          <w:szCs w:val="20"/>
        </w:rPr>
      </w:r>
    </w:p>
    <w:p>
      <w:pPr>
        <w:pStyle w:val="Normal"/>
        <w:spacing w:before="0" w:after="360"/>
        <w:ind w:left="360" w:hanging="0"/>
        <w:jc w:val="right"/>
        <w:rPr/>
      </w:pPr>
      <w:r>
        <w:rPr>
          <w:rFonts w:cs="Arial"/>
          <w:color w:val="000000"/>
          <w:szCs w:val="20"/>
        </w:rPr>
        <w:t xml:space="preserve">Município de Petrolina  </w:t>
      </w:r>
      <w:r>
        <w:rPr>
          <w:rFonts w:eastAsia="Times New Roman" w:cs="Arial"/>
          <w:color w:val="000000"/>
          <w:kern w:val="0"/>
          <w:sz w:val="20"/>
          <w:szCs w:val="20"/>
          <w:lang w:val="pt-BR" w:eastAsia="pt-BR" w:bidi="ar-SA"/>
        </w:rPr>
        <w:t>05</w:t>
      </w:r>
      <w:r>
        <w:rPr>
          <w:rFonts w:cs="Arial"/>
          <w:color w:val="000000"/>
          <w:szCs w:val="20"/>
        </w:rPr>
        <w:t xml:space="preserve"> de novembro de 2021. </w:t>
      </w:r>
    </w:p>
    <w:p>
      <w:pPr>
        <w:pStyle w:val="Normal"/>
        <w:spacing w:before="0" w:after="360"/>
        <w:ind w:left="360" w:hanging="0"/>
        <w:jc w:val="center"/>
        <w:rPr>
          <w:b/>
          <w:b/>
          <w:bCs/>
        </w:rPr>
      </w:pPr>
      <w:r>
        <w:rPr>
          <w:rFonts w:cs="Arial"/>
          <w:b/>
          <w:bCs/>
          <w:szCs w:val="20"/>
        </w:rPr>
        <w:t xml:space="preserve">Equipe Responsável </w:t>
      </w:r>
    </w:p>
    <w:p>
      <w:pPr>
        <w:pStyle w:val="Normal"/>
        <w:spacing w:before="0" w:after="360"/>
        <w:ind w:left="360" w:hanging="0"/>
        <w:rPr>
          <w:rFonts w:cs="Arial"/>
          <w:szCs w:val="20"/>
        </w:rPr>
      </w:pPr>
      <w:r>
        <w:rPr>
          <w:rFonts w:cs="Arial"/>
          <w:szCs w:val="20"/>
        </w:rPr>
      </w:r>
    </w:p>
    <w:p>
      <w:pPr>
        <w:pStyle w:val="Normal"/>
        <w:spacing w:lineRule="auto" w:line="276"/>
        <w:ind w:right="-30" w:hanging="0"/>
        <w:jc w:val="both"/>
        <w:rPr>
          <w:szCs w:val="20"/>
        </w:rPr>
      </w:pPr>
      <w:r>
        <w:rPr>
          <w:szCs w:val="20"/>
        </w:rPr>
      </w:r>
    </w:p>
    <w:p>
      <w:pPr>
        <w:pStyle w:val="Normal"/>
        <w:spacing w:lineRule="auto" w:line="276"/>
        <w:ind w:right="-30" w:hanging="0"/>
        <w:jc w:val="both"/>
        <w:rPr>
          <w:szCs w:val="20"/>
        </w:rPr>
      </w:pPr>
      <w:r>
        <w:rPr>
          <w:szCs w:val="20"/>
        </w:rPr>
      </w:r>
    </w:p>
    <w:p>
      <w:pPr>
        <w:pStyle w:val="Normal"/>
        <w:spacing w:lineRule="auto" w:line="276"/>
        <w:ind w:right="-30" w:hanging="0"/>
        <w:jc w:val="both"/>
        <w:rPr>
          <w:szCs w:val="20"/>
        </w:rPr>
      </w:pPr>
      <w:r>
        <w:rPr>
          <w:szCs w:val="20"/>
        </w:rPr>
      </w:r>
    </w:p>
    <w:p>
      <w:pPr>
        <w:pStyle w:val="Normal"/>
        <w:spacing w:lineRule="auto" w:line="276"/>
        <w:ind w:right="-30" w:hanging="0"/>
        <w:jc w:val="both"/>
        <w:rPr>
          <w:szCs w:val="20"/>
        </w:rPr>
      </w:pPr>
      <w:r>
        <w:rPr>
          <w:szCs w:val="20"/>
        </w:rPr>
      </w:r>
    </w:p>
    <w:p>
      <w:pPr>
        <w:pStyle w:val="Normal"/>
        <w:spacing w:lineRule="auto" w:line="276"/>
        <w:ind w:right="-30" w:hanging="0"/>
        <w:jc w:val="both"/>
        <w:rPr>
          <w:szCs w:val="20"/>
        </w:rPr>
      </w:pPr>
      <w:r>
        <w:rPr>
          <w:szCs w:val="20"/>
        </w:rPr>
      </w:r>
    </w:p>
    <w:p>
      <w:pPr>
        <w:pStyle w:val="Normal"/>
        <w:spacing w:lineRule="auto" w:line="276"/>
        <w:ind w:right="-30" w:hanging="0"/>
        <w:jc w:val="both"/>
        <w:rPr>
          <w:szCs w:val="20"/>
        </w:rPr>
      </w:pPr>
      <w:r>
        <w:rPr>
          <w:szCs w:val="20"/>
        </w:rPr>
      </w:r>
    </w:p>
    <w:p>
      <w:pPr>
        <w:pStyle w:val="Normal"/>
        <w:spacing w:lineRule="auto" w:line="276"/>
        <w:ind w:right="-30" w:hanging="0"/>
        <w:jc w:val="both"/>
        <w:rPr>
          <w:szCs w:val="20"/>
        </w:rPr>
      </w:pPr>
      <w:r>
        <w:rPr>
          <w:szCs w:val="20"/>
        </w:rPr>
      </w:r>
    </w:p>
    <w:p>
      <w:pPr>
        <w:pStyle w:val="Normal"/>
        <w:spacing w:lineRule="auto" w:line="276"/>
        <w:ind w:left="-340" w:right="-57" w:hanging="0"/>
        <w:jc w:val="both"/>
        <w:rPr>
          <w:szCs w:val="20"/>
        </w:rPr>
      </w:pPr>
      <w:r>
        <w:rPr>
          <w:b/>
          <w:szCs w:val="20"/>
        </w:rPr>
        <w:t>APROVO E AUTORIZO:</w:t>
      </w:r>
    </w:p>
    <w:p>
      <w:pPr>
        <w:pStyle w:val="Normal"/>
        <w:spacing w:lineRule="auto" w:line="276"/>
        <w:ind w:left="-284" w:right="-30" w:hanging="0"/>
        <w:jc w:val="both"/>
        <w:rPr>
          <w:b/>
          <w:b/>
          <w:szCs w:val="20"/>
        </w:rPr>
      </w:pPr>
      <w:r>
        <w:rPr>
          <w:b/>
          <w:szCs w:val="20"/>
        </w:rPr>
      </w:r>
    </w:p>
    <w:p>
      <w:pPr>
        <w:pStyle w:val="Normal"/>
        <w:ind w:left="-284" w:right="-30" w:hanging="0"/>
        <w:jc w:val="both"/>
        <w:rPr>
          <w:szCs w:val="20"/>
        </w:rPr>
      </w:pPr>
      <w:r>
        <w:rPr>
          <w:szCs w:val="20"/>
        </w:rPr>
        <w:t xml:space="preserve">O presente Termo de Referência de acordo com os Incisos II do Art. 14 do Decreto Federal Nº 10.024/2019 e Art. 3º do Decreto nº 10.193/2019 cuja finalidade é subsidiar os licitantes de todas as informações necessárias à participação no certame de Pregão Eletrônico para </w:t>
      </w:r>
      <w:r>
        <w:rPr>
          <w:b/>
          <w:bCs/>
          <w:szCs w:val="20"/>
          <w:highlight w:val="white"/>
        </w:rPr>
        <w:t>Aquisição de materiais zootécnicos e medicamentos veterinários para os campi do Instituto Federal de Educação, Ciência e Tecnologia do Sertão Pernambucano</w:t>
      </w:r>
      <w:r>
        <w:rPr>
          <w:szCs w:val="20"/>
        </w:rPr>
        <w:t xml:space="preserve"> a partir da data de assinatura do contrato, estando presentes os elementos necessários à identificação do objeto, seu custo e todos os critérios para participação de forma clara e concisa, estando presente neste ato administrativo todos os elementos técnicos fundamentais para a contratação.</w:t>
      </w:r>
    </w:p>
    <w:p>
      <w:pPr>
        <w:pStyle w:val="Normal"/>
        <w:spacing w:lineRule="auto" w:line="276"/>
        <w:ind w:left="-284" w:right="-30" w:hanging="0"/>
        <w:jc w:val="both"/>
        <w:rPr>
          <w:color w:val="FF0000"/>
          <w:szCs w:val="20"/>
        </w:rPr>
      </w:pPr>
      <w:r>
        <w:rPr>
          <w:color w:val="FF0000"/>
          <w:szCs w:val="20"/>
        </w:rPr>
      </w:r>
    </w:p>
    <w:p>
      <w:pPr>
        <w:pStyle w:val="Normal"/>
        <w:spacing w:lineRule="auto" w:line="276"/>
        <w:ind w:left="716" w:right="-30" w:hanging="0"/>
        <w:jc w:val="right"/>
        <w:rPr>
          <w:szCs w:val="20"/>
        </w:rPr>
      </w:pPr>
      <w:r>
        <w:rPr>
          <w:szCs w:val="20"/>
        </w:rPr>
        <w:t xml:space="preserve">Petrolina – PE, </w:t>
      </w:r>
      <w:r>
        <w:rPr>
          <w:rFonts w:eastAsia="Times New Roman" w:cs="Tahoma"/>
          <w:color w:val="auto"/>
          <w:kern w:val="0"/>
          <w:sz w:val="20"/>
          <w:szCs w:val="20"/>
          <w:lang w:val="pt-BR" w:eastAsia="pt-BR" w:bidi="ar-SA"/>
        </w:rPr>
        <w:t>05</w:t>
      </w:r>
      <w:r>
        <w:rPr>
          <w:szCs w:val="20"/>
        </w:rPr>
        <w:t xml:space="preserve"> de </w:t>
      </w:r>
      <w:r>
        <w:rPr>
          <w:rFonts w:cs="Times New Roman"/>
          <w:szCs w:val="20"/>
        </w:rPr>
        <w:t xml:space="preserve">novembro </w:t>
      </w:r>
      <w:r>
        <w:rPr>
          <w:szCs w:val="20"/>
        </w:rPr>
        <w:t xml:space="preserve"> de 2021</w:t>
      </w:r>
    </w:p>
    <w:p>
      <w:pPr>
        <w:pStyle w:val="Normal"/>
        <w:spacing w:lineRule="auto" w:line="276"/>
        <w:ind w:left="716" w:right="-30" w:hanging="0"/>
        <w:jc w:val="both"/>
        <w:rPr>
          <w:color w:val="FF0000"/>
          <w:szCs w:val="20"/>
        </w:rPr>
      </w:pPr>
      <w:r>
        <w:rPr>
          <w:color w:val="FF0000"/>
          <w:szCs w:val="20"/>
        </w:rPr>
      </w:r>
    </w:p>
    <w:p>
      <w:pPr>
        <w:pStyle w:val="Normal"/>
        <w:spacing w:lineRule="auto" w:line="276"/>
        <w:ind w:left="716" w:right="-30" w:hanging="0"/>
        <w:jc w:val="both"/>
        <w:rPr>
          <w:color w:val="FF0000"/>
          <w:szCs w:val="20"/>
        </w:rPr>
      </w:pPr>
      <w:r>
        <w:rPr>
          <w:color w:val="FF0000"/>
          <w:szCs w:val="20"/>
        </w:rPr>
      </w:r>
    </w:p>
    <w:p>
      <w:pPr>
        <w:pStyle w:val="Normal"/>
        <w:spacing w:lineRule="auto" w:line="276"/>
        <w:ind w:left="716" w:right="-30" w:hanging="0"/>
        <w:jc w:val="both"/>
        <w:rPr>
          <w:color w:val="FF0000"/>
          <w:szCs w:val="20"/>
        </w:rPr>
      </w:pPr>
      <w:r>
        <w:rPr>
          <w:color w:val="FF0000"/>
          <w:szCs w:val="20"/>
        </w:rPr>
      </w:r>
    </w:p>
    <w:p>
      <w:pPr>
        <w:pStyle w:val="Normal"/>
        <w:spacing w:lineRule="auto" w:line="276"/>
        <w:ind w:left="716" w:right="-30" w:hanging="0"/>
        <w:jc w:val="both"/>
        <w:rPr>
          <w:color w:val="FF0000"/>
          <w:szCs w:val="20"/>
        </w:rPr>
      </w:pPr>
      <w:r>
        <w:rPr>
          <w:color w:val="FF0000"/>
          <w:szCs w:val="20"/>
        </w:rPr>
      </w:r>
    </w:p>
    <w:p>
      <w:pPr>
        <w:pStyle w:val="Normal"/>
        <w:spacing w:lineRule="auto" w:line="276"/>
        <w:ind w:left="716" w:right="-30" w:hanging="0"/>
        <w:jc w:val="both"/>
        <w:rPr>
          <w:color w:val="FF0000"/>
          <w:szCs w:val="20"/>
        </w:rPr>
      </w:pPr>
      <w:r>
        <w:rPr>
          <w:color w:val="FF0000"/>
          <w:szCs w:val="20"/>
        </w:rPr>
      </w:r>
    </w:p>
    <w:p>
      <w:pPr>
        <w:pStyle w:val="Normal"/>
        <w:spacing w:lineRule="auto" w:line="276"/>
        <w:ind w:left="716" w:right="-30" w:hanging="0"/>
        <w:jc w:val="both"/>
        <w:rPr>
          <w:color w:val="FF0000"/>
          <w:szCs w:val="20"/>
        </w:rPr>
      </w:pPr>
      <w:r>
        <w:rPr>
          <w:color w:val="FF0000"/>
          <w:szCs w:val="20"/>
        </w:rPr>
      </w:r>
    </w:p>
    <w:p>
      <w:pPr>
        <w:pStyle w:val="Normal"/>
        <w:spacing w:lineRule="auto" w:line="276"/>
        <w:jc w:val="center"/>
        <w:rPr>
          <w:szCs w:val="20"/>
        </w:rPr>
      </w:pPr>
      <w:r>
        <w:rPr>
          <w:szCs w:val="20"/>
        </w:rPr>
        <w:t>Maria Leopoldina Veras camelo</w:t>
      </w:r>
    </w:p>
    <w:p>
      <w:pPr>
        <w:pStyle w:val="Normal"/>
        <w:spacing w:lineRule="auto" w:line="276"/>
        <w:jc w:val="center"/>
        <w:rPr>
          <w:szCs w:val="20"/>
        </w:rPr>
      </w:pPr>
      <w:r>
        <w:rPr>
          <w:szCs w:val="20"/>
        </w:rPr>
        <w:t>Reitora/</w:t>
      </w:r>
      <w:r>
        <w:rPr>
          <w:rFonts w:cs="Arial"/>
          <w:szCs w:val="20"/>
        </w:rPr>
        <w:t>IFSertãoPE</w:t>
      </w:r>
    </w:p>
    <w:p>
      <w:pPr>
        <w:pStyle w:val="Normal"/>
        <w:spacing w:before="0" w:after="360"/>
        <w:rPr>
          <w:rFonts w:cs="Arial"/>
          <w:szCs w:val="20"/>
        </w:rPr>
      </w:pPr>
      <w:r>
        <w:rPr/>
      </w:r>
    </w:p>
    <w:sectPr>
      <w:headerReference w:type="default" r:id="rId4"/>
      <w:footerReference w:type="default" r:id="rId5"/>
      <w:type w:val="nextPage"/>
      <w:pgSz w:w="11906" w:h="16838"/>
      <w:pgMar w:left="1706" w:right="1800" w:header="1418" w:top="2849" w:footer="709" w:bottom="1418"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alibri">
    <w:charset w:val="00"/>
    <w:family w:val="swiss"/>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Normal"/>
      <w:rPr>
        <w:sz w:val="14"/>
        <w:szCs w:val="14"/>
      </w:rPr>
    </w:pPr>
    <w:r>
      <w:rPr>
        <w:rFonts w:cs="Arial"/>
        <w:sz w:val="14"/>
        <w:szCs w:val="14"/>
      </w:rPr>
      <w:t xml:space="preserve"> </w:t>
    </w:r>
    <w:r>
      <w:rPr>
        <w:b/>
        <w:color w:val="00000A"/>
        <w:sz w:val="14"/>
        <w:szCs w:val="14"/>
      </w:rPr>
      <w:t>Endereço: Rua Aristarco Lopes, 240, Centro, Petrolina-PE, CEP: 56.302-100. Tel.: (87) 2101-2350, Ramal 2373;</w:t>
    </w:r>
  </w:p>
  <w:p>
    <w:pPr>
      <w:pStyle w:val="Normal"/>
      <w:rPr>
        <w:sz w:val="14"/>
        <w:szCs w:val="14"/>
      </w:rPr>
    </w:pPr>
    <w:r>
      <w:rPr>
        <w:b/>
        <w:color w:val="030303"/>
        <w:sz w:val="14"/>
        <w:szCs w:val="14"/>
      </w:rPr>
      <w:t xml:space="preserve">E-mail: </w:t>
    </w:r>
    <w:r>
      <w:rPr>
        <w:b/>
        <w:color w:val="0000FF"/>
        <w:sz w:val="14"/>
        <w:szCs w:val="14"/>
      </w:rPr>
      <w:t>licitacoes@ifsertao-pe.edu.br</w:t>
    </w:r>
  </w:p>
  <w:p>
    <w:pPr>
      <w:pStyle w:val="Rodap"/>
      <w:rPr>
        <w:rFonts w:cs="Arial"/>
        <w:sz w:val="12"/>
        <w:szCs w:val="12"/>
      </w:rPr>
    </w:pPr>
    <w:r>
      <w:rPr>
        <w:rFonts w:cs="Arial"/>
        <w:sz w:val="12"/>
        <w:szCs w:val="12"/>
      </w:rPr>
      <w:t>Câmara Nacional de Modelos de Licitações e Contratos da Consultoria-Geral da União</w:t>
    </w:r>
  </w:p>
  <w:p>
    <w:pPr>
      <w:pStyle w:val="Rodap"/>
      <w:rPr>
        <w:rFonts w:cs="Arial"/>
        <w:sz w:val="12"/>
        <w:szCs w:val="12"/>
      </w:rPr>
    </w:pPr>
    <w:r>
      <w:rPr>
        <w:rFonts w:cs="Arial"/>
        <w:sz w:val="12"/>
        <w:szCs w:val="12"/>
      </w:rPr>
      <w:t>Termo de Referência - Modelo para Pregão Eletrônico – Compras</w:t>
    </w:r>
  </w:p>
  <w:p>
    <w:pPr>
      <w:pStyle w:val="Rodap"/>
      <w:rPr>
        <w:rFonts w:cs="Arial"/>
      </w:rPr>
    </w:pPr>
    <w:r>
      <w:rPr>
        <w:rFonts w:cs="Arial"/>
        <w:sz w:val="12"/>
        <w:szCs w:val="12"/>
      </w:rPr>
      <w:t>Atualização: Junho/2021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tulo6"/>
      <w:tabs>
        <w:tab w:val="clear" w:pos="720"/>
        <w:tab w:val="left" w:pos="0" w:leader="none"/>
      </w:tabs>
      <w:spacing w:before="0" w:after="0"/>
      <w:jc w:val="center"/>
      <w:rPr>
        <w:sz w:val="16"/>
        <w:szCs w:val="16"/>
      </w:rPr>
    </w:pPr>
    <w:r>
      <w:rPr>
        <w:sz w:val="16"/>
        <w:szCs w:val="16"/>
      </w:rPr>
      <w:t xml:space="preserve">SERVIÇO </w:t>
    </w:r>
    <w:r>
      <w:drawing>
        <wp:anchor behindDoc="1" distT="0" distB="0" distL="0" distR="0" simplePos="0" locked="0" layoutInCell="1" allowOverlap="1" relativeHeight="58">
          <wp:simplePos x="0" y="0"/>
          <wp:positionH relativeFrom="column">
            <wp:posOffset>2694940</wp:posOffset>
          </wp:positionH>
          <wp:positionV relativeFrom="paragraph">
            <wp:posOffset>-539750</wp:posOffset>
          </wp:positionV>
          <wp:extent cx="546100" cy="494665"/>
          <wp:effectExtent l="0" t="0" r="0" b="0"/>
          <wp:wrapTopAndBottom/>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546100" cy="494665"/>
                  </a:xfrm>
                  <a:prstGeom prst="rect">
                    <a:avLst/>
                  </a:prstGeom>
                </pic:spPr>
              </pic:pic>
            </a:graphicData>
          </a:graphic>
        </wp:anchor>
      </w:drawing>
    </w:r>
    <w:r>
      <w:rPr>
        <w:sz w:val="16"/>
        <w:szCs w:val="16"/>
      </w:rPr>
      <w:t>P</w:t>
    </w:r>
    <w:r>
      <w:rPr>
        <w:sz w:val="16"/>
        <w:szCs w:val="16"/>
      </w:rPr>
      <w:t>ÚBLICO FEDERAL</w:t>
    </w:r>
  </w:p>
  <w:p>
    <w:pPr>
      <w:pStyle w:val="Ttulo6"/>
      <w:tabs>
        <w:tab w:val="clear" w:pos="720"/>
        <w:tab w:val="left" w:pos="0" w:leader="none"/>
      </w:tabs>
      <w:spacing w:before="0" w:after="0"/>
      <w:jc w:val="center"/>
      <w:rPr>
        <w:sz w:val="16"/>
        <w:szCs w:val="16"/>
      </w:rPr>
    </w:pPr>
    <w:r>
      <w:rPr>
        <w:sz w:val="16"/>
        <w:szCs w:val="16"/>
      </w:rPr>
      <w:t>MINISTÉRIO DA EDUCAÇÃO</w:t>
    </w:r>
  </w:p>
  <w:p>
    <w:pPr>
      <w:pStyle w:val="Ttulo6"/>
      <w:tabs>
        <w:tab w:val="clear" w:pos="720"/>
        <w:tab w:val="left" w:pos="0" w:leader="none"/>
      </w:tabs>
      <w:spacing w:before="0" w:after="0"/>
      <w:ind w:left="2169" w:hanging="0"/>
      <w:jc w:val="center"/>
      <w:rPr>
        <w:sz w:val="16"/>
        <w:szCs w:val="16"/>
      </w:rPr>
    </w:pPr>
    <w:r>
      <w:rPr>
        <w:sz w:val="16"/>
        <w:szCs w:val="16"/>
      </w:rPr>
      <w:t>SECRETARIA DE EDUCAÇÃO PROFISSIONAL E TECNOLÓGICA</w:t>
    </w:r>
  </w:p>
  <w:p>
    <w:pPr>
      <w:pStyle w:val="LOnormal"/>
      <w:tabs>
        <w:tab w:val="clear" w:pos="720"/>
        <w:tab w:val="center" w:pos="4252" w:leader="none"/>
        <w:tab w:val="center" w:pos="4819" w:leader="none"/>
        <w:tab w:val="right" w:pos="8504" w:leader="none"/>
        <w:tab w:val="right" w:pos="9071" w:leader="none"/>
      </w:tabs>
      <w:ind w:left="-567" w:firstLine="567"/>
      <w:jc w:val="center"/>
      <w:rPr>
        <w:rFonts w:ascii="Calibri" w:hAnsi="Calibri" w:eastAsia="Calibri" w:cs="Calibri"/>
        <w:b/>
        <w:b/>
        <w:color w:val="000000"/>
        <w:sz w:val="16"/>
        <w:szCs w:val="16"/>
      </w:rPr>
    </w:pPr>
    <w:r>
      <w:rPr>
        <w:rFonts w:eastAsia="Calibri" w:cs="Calibri" w:ascii="Calibri" w:hAnsi="Calibri"/>
        <w:b/>
        <w:color w:val="000000"/>
        <w:sz w:val="16"/>
        <w:szCs w:val="16"/>
      </w:rPr>
      <w:t>INSTITUTO FEDERAL DE EDUCAÇÃO, CIÊNCIA E TECNOLOGIA DO SERTÃO PERNAMBUCANO</w:t>
    </w:r>
  </w:p>
  <w:p>
    <w:pPr>
      <w:pStyle w:val="LOnormal"/>
      <w:tabs>
        <w:tab w:val="clear" w:pos="720"/>
        <w:tab w:val="center" w:pos="4252" w:leader="none"/>
        <w:tab w:val="center" w:pos="4819" w:leader="none"/>
        <w:tab w:val="right" w:pos="8504" w:leader="none"/>
        <w:tab w:val="right" w:pos="9071" w:leader="none"/>
      </w:tabs>
      <w:ind w:left="-567" w:firstLine="567"/>
      <w:jc w:val="center"/>
      <w:rPr>
        <w:rFonts w:eastAsia="Times New Roman"/>
        <w:b/>
        <w:b/>
        <w:bCs/>
        <w:color w:val="000000"/>
        <w:sz w:val="16"/>
        <w:szCs w:val="16"/>
        <w:lang w:eastAsia="pt-BR" w:bidi="ar-SA"/>
      </w:rPr>
    </w:pPr>
    <w:r>
      <w:rPr>
        <w:rFonts w:eastAsia="Times New Roman"/>
        <w:b/>
        <w:bCs/>
        <w:color w:val="000000"/>
        <w:sz w:val="16"/>
        <w:szCs w:val="16"/>
        <w:lang w:eastAsia="pt-BR" w:bidi="ar-SA"/>
      </w:rPr>
      <w:t>PROAD/DLIC</w:t>
    </w:r>
  </w:p>
  <w:p>
    <w:pPr>
      <w:pStyle w:val="LOnormal"/>
      <w:tabs>
        <w:tab w:val="clear" w:pos="720"/>
        <w:tab w:val="center" w:pos="4252" w:leader="none"/>
        <w:tab w:val="center" w:pos="4819" w:leader="none"/>
        <w:tab w:val="right" w:pos="8504" w:leader="none"/>
        <w:tab w:val="right" w:pos="9071" w:leader="none"/>
      </w:tabs>
      <w:ind w:left="-567" w:firstLine="567"/>
      <w:jc w:val="center"/>
      <w:rPr>
        <w:rFonts w:eastAsia="Times New Roman"/>
        <w:b/>
        <w:b/>
        <w:bCs/>
        <w:color w:val="000000"/>
        <w:sz w:val="16"/>
        <w:szCs w:val="16"/>
        <w:lang w:eastAsia="pt-BR" w:bidi="ar-SA"/>
      </w:rPr>
    </w:pPr>
    <w:r>
      <w:rPr>
        <w:rFonts w:eastAsia="Times New Roman"/>
        <w:b/>
        <w:bCs/>
        <w:color w:val="000000"/>
        <w:sz w:val="16"/>
        <w:szCs w:val="16"/>
        <w:lang w:eastAsia="pt-BR" w:bidi="ar-SA"/>
      </w:rPr>
      <w:t>REITORIA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716" w:hanging="432"/>
      </w:pPr>
      <w:rPr>
        <w:dstrike w:val="false"/>
        <w:strike w:val="false"/>
        <w:i w:val="false"/>
        <w:b w:val="false"/>
        <w:color w:val="auto"/>
      </w:rPr>
    </w:lvl>
    <w:lvl w:ilvl="2">
      <w:start w:val="1"/>
      <w:numFmt w:val="decimal"/>
      <w:lvlText w:val="%1.%2.%3."/>
      <w:lvlJc w:val="left"/>
      <w:pPr>
        <w:tabs>
          <w:tab w:val="num" w:pos="0"/>
        </w:tabs>
        <w:ind w:left="930" w:hanging="504"/>
      </w:pPr>
      <w:rPr>
        <w:i w:val="false"/>
        <w:b w:val="false"/>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20"/>
      <w:numFmt w:val="decimal"/>
      <w:lvlText w:val="%1."/>
      <w:lvlJc w:val="left"/>
      <w:pPr>
        <w:tabs>
          <w:tab w:val="num" w:pos="0"/>
        </w:tabs>
        <w:ind w:left="360" w:hanging="360"/>
      </w:pPr>
    </w:lvl>
    <w:lvl w:ilvl="1">
      <w:start w:val="4"/>
      <w:numFmt w:val="decimal"/>
      <w:lvlText w:val="%1.%2."/>
      <w:lvlJc w:val="left"/>
      <w:pPr>
        <w:tabs>
          <w:tab w:val="num" w:pos="0"/>
        </w:tabs>
        <w:ind w:left="792" w:hanging="432"/>
      </w:pPr>
      <w:rPr>
        <w:i w:val="false"/>
        <w:b w:val="false"/>
      </w:rPr>
    </w:lvl>
    <w:lvl w:ilvl="2">
      <w:start w:val="1"/>
      <w:numFmt w:val="decimal"/>
      <w:lvlText w:val="%1.%2.%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716" w:hanging="432"/>
      </w:pPr>
      <w:rPr>
        <w:dstrike w:val="false"/>
        <w:strike w:val="false"/>
        <w:i w:val="false"/>
        <w:b w:val="false"/>
        <w:color w:val="auto"/>
      </w:rPr>
    </w:lvl>
    <w:lvl w:ilvl="2">
      <w:start w:val="1"/>
      <w:numFmt w:val="decimal"/>
      <w:lvlText w:val="%1.%2.%3."/>
      <w:lvlJc w:val="left"/>
      <w:pPr>
        <w:tabs>
          <w:tab w:val="num" w:pos="0"/>
        </w:tabs>
        <w:ind w:left="930" w:hanging="504"/>
      </w:pPr>
      <w:rPr>
        <w:i w:val="false"/>
        <w:b w:val="false"/>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
    <w:lvlOverride w:ilvl="1">
      <w:startOverride w:val="1"/>
    </w:lvlOverride>
  </w:num>
  <w:num w:numId="10">
    <w:abstractNumId w:val="4"/>
    <w:lvlOverride w:ilvl="2">
      <w:startOverride w:val="1"/>
    </w:lvlOverride>
  </w:num>
  <w:num w:numId="11">
    <w:abstractNumId w:val="4"/>
  </w:num>
  <w:num w:numId="12">
    <w:abstractNumId w:val="6"/>
    <w:lvlOverride w:ilvl="2">
      <w:startOverride w:val="1"/>
    </w:lvlOverride>
  </w:num>
  <w:num w:numId="13">
    <w:abstractNumId w:val="6"/>
  </w:num>
</w:numbering>
</file>

<file path=word/settings.xml><?xml version="1.0" encoding="utf-8"?>
<w:settings xmlns:w="http://schemas.openxmlformats.org/wordprocessingml/2006/main">
  <w:zoom w:percent="100"/>
  <w:mirrorMargin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uiPriority="22" w:semiHidden="0" w:unhideWhenUsed="0" w:qFormat="1"/>
    <w:lsdException w:name="Emphasis" w:uiPriority="20"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semiHidden="0" w:unhideWhenUsed="0" w:qFormat="1"/>
    <w:lsdException w:name="Quote"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e7070"/>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qFormat/>
    <w:rsid w:val="00de7070"/>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val="true"/>
      <w:tabs>
        <w:tab w:val="clear" w:pos="720"/>
        <w:tab w:val="left" w:pos="1701" w:leader="none"/>
      </w:tabs>
      <w:ind w:right="-1" w:hanging="0"/>
      <w:jc w:val="center"/>
      <w:outlineLvl w:val="1"/>
    </w:pPr>
    <w:rPr>
      <w:rFonts w:ascii="Times New Roman" w:hAnsi="Times New Roman" w:cs="Times New Roman"/>
      <w:b/>
      <w:color w:val="000000"/>
      <w:szCs w:val="20"/>
    </w:rPr>
  </w:style>
  <w:style w:type="paragraph" w:styleId="Ttulo6">
    <w:name w:val="Heading 6"/>
    <w:basedOn w:val="LOnormal"/>
    <w:next w:val="LOnormal"/>
    <w:qFormat/>
    <w:pPr>
      <w:spacing w:before="240" w:after="60"/>
      <w:outlineLvl w:val="5"/>
    </w:pPr>
    <w:rPr>
      <w:rFonts w:ascii="Calibri" w:hAnsi="Calibri" w:eastAsia="Calibri" w:cs="Calibri"/>
      <w:b/>
      <w:sz w:val="22"/>
      <w:szCs w:val="22"/>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uiPriority w:val="99"/>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customStyle="1">
    <w:name w:val="Link da Internet"/>
    <w:qFormat/>
    <w:rsid w:val="00f119a0"/>
    <w:rPr>
      <w:color w:val="000080"/>
      <w:u w:val="single"/>
    </w:rPr>
  </w:style>
  <w:style w:type="character" w:styleId="CitaoChar" w:customStyle="1">
    <w:name w:val="Citação Char"/>
    <w:link w:val="Citao"/>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CitaoChar"/>
    <w:qFormat/>
    <w:rsid w:val="000a23da"/>
    <w:rPr>
      <w:rFonts w:ascii="Ecofont_Spranq_eco_Sans" w:hAnsi="Ecofont_Spranq_eco_Sans" w:eastAsia="Calibri" w:cs="Tahoma"/>
      <w:i/>
      <w:iCs/>
      <w:color w:val="000000"/>
      <w:szCs w:val="24"/>
      <w:shd w:fill="FFFFCC" w:val="clear"/>
      <w:lang w:eastAsia="en-US"/>
    </w:rPr>
  </w:style>
  <w:style w:type="character" w:styleId="GradeColoridanfase1Char" w:customStyle="1">
    <w:name w:val="Grade Colorida - Ênfase 1 Char"/>
    <w:uiPriority w:val="29"/>
    <w:qFormat/>
    <w:rsid w:val="00821b3a"/>
    <w:rPr>
      <w:rFonts w:ascii="Ecofont_Spranq_eco_Sans" w:hAnsi="Ecofont_Spranq_eco_Sans" w:eastAsia="Calibri"/>
      <w:i/>
      <w:iCs/>
      <w:color w:val="000000"/>
      <w:szCs w:val="24"/>
      <w:shd w:fill="FFFFCC" w:val="clear"/>
      <w:lang w:val="x-none" w:eastAsia="en-US"/>
    </w:rPr>
  </w:style>
  <w:style w:type="character" w:styleId="CabealhoChar" w:customStyle="1">
    <w:name w:val="Cabeçalho Char"/>
    <w:basedOn w:val="DefaultParagraphFont"/>
    <w:link w:val="Cabealho"/>
    <w:qFormat/>
    <w:rsid w:val="00a3644b"/>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a3644b"/>
    <w:rPr>
      <w:rFonts w:ascii="Ecofont_Spranq_eco_Sans" w:hAnsi="Ecofont_Spranq_eco_Sans" w:cs="Tahoma"/>
      <w:sz w:val="24"/>
      <w:szCs w:val="24"/>
    </w:rPr>
  </w:style>
  <w:style w:type="character" w:styleId="Ttulo1Char" w:customStyle="1">
    <w:name w:val="Título 1 Char"/>
    <w:basedOn w:val="DefaultParagraphFont"/>
    <w:link w:val="Ttulo1"/>
    <w:qFormat/>
    <w:rsid w:val="00de7070"/>
    <w:rPr>
      <w:rFonts w:ascii="Cambria" w:hAnsi="Cambria" w:eastAsia="" w:cs="" w:asciiTheme="majorHAnsi" w:cstheme="majorBidi" w:eastAsiaTheme="majorEastAsia" w:hAnsiTheme="majorHAnsi"/>
      <w:color w:val="365F91" w:themeColor="accent1" w:themeShade="bf"/>
      <w:sz w:val="32"/>
      <w:szCs w:val="32"/>
    </w:rPr>
  </w:style>
  <w:style w:type="character" w:styleId="Nivel1Char" w:customStyle="1">
    <w:name w:val="Nivel1 Char"/>
    <w:basedOn w:val="Ttulo1Char"/>
    <w:link w:val="Nivel1"/>
    <w:qFormat/>
    <w:rsid w:val="00de7070"/>
    <w:rPr>
      <w:rFonts w:ascii="Arial" w:hAnsi="Arial" w:eastAsia="" w:cs="Arial" w:eastAsiaTheme="majorEastAsia"/>
      <w:b/>
      <w:color w:val="000000"/>
      <w:sz w:val="32"/>
      <w:szCs w:val="32"/>
    </w:rPr>
  </w:style>
  <w:style w:type="character" w:styleId="Annotationreference">
    <w:name w:val="annotation reference"/>
    <w:basedOn w:val="DefaultParagraphFont"/>
    <w:semiHidden/>
    <w:unhideWhenUsed/>
    <w:qFormat/>
    <w:rsid w:val="00453b1d"/>
    <w:rPr>
      <w:sz w:val="18"/>
      <w:szCs w:val="18"/>
    </w:rPr>
  </w:style>
  <w:style w:type="character" w:styleId="TextodecomentrioChar" w:customStyle="1">
    <w:name w:val="Texto de comentário Char"/>
    <w:basedOn w:val="DefaultParagraphFont"/>
    <w:link w:val="Textodecomentrio"/>
    <w:qFormat/>
    <w:rsid w:val="00453b1d"/>
    <w:rPr>
      <w:rFonts w:ascii="Arial" w:hAnsi="Arial" w:cs="Tahoma"/>
      <w:sz w:val="24"/>
      <w:szCs w:val="24"/>
    </w:rPr>
  </w:style>
  <w:style w:type="character" w:styleId="AssuntodocomentrioChar" w:customStyle="1">
    <w:name w:val="Assunto do comentário Char"/>
    <w:basedOn w:val="TextodecomentrioChar"/>
    <w:link w:val="Assuntodocomentrio"/>
    <w:semiHidden/>
    <w:qFormat/>
    <w:rsid w:val="005e4cdc"/>
    <w:rPr>
      <w:rFonts w:ascii="Arial" w:hAnsi="Arial" w:cs="Tahoma"/>
      <w:b/>
      <w:bCs/>
      <w:sz w:val="24"/>
      <w:szCs w:val="24"/>
    </w:rPr>
  </w:style>
  <w:style w:type="character" w:styleId="Nivel01Char" w:customStyle="1">
    <w:name w:val="Nivel 01 Char"/>
    <w:basedOn w:val="DefaultParagraphFont"/>
    <w:link w:val="Nivel01"/>
    <w:qFormat/>
    <w:rsid w:val="00563cba"/>
    <w:rPr>
      <w:rFonts w:ascii="Ecofont_Spranq_eco_Sans" w:hAnsi="Ecofont_Spranq_eco_Sans" w:eastAsia="" w:eastAsiaTheme="majorEastAsia"/>
      <w:b/>
      <w:bCs/>
      <w:color w:val="000000"/>
    </w:rPr>
  </w:style>
  <w:style w:type="character" w:styleId="Nivel01Char1" w:customStyle="1">
    <w:name w:val="Nivel_01 Char"/>
    <w:basedOn w:val="Ttulo1Char"/>
    <w:qFormat/>
    <w:rsid w:val="00d37dc8"/>
    <w:rPr>
      <w:rFonts w:ascii="Ecofont_Spranq_eco_Sans" w:hAnsi="Ecofont_Spranq_eco_Sans" w:eastAsia="" w:cs="" w:cstheme="majorBidi" w:eastAsiaTheme="majorEastAsia"/>
      <w:b/>
      <w:bCs/>
      <w:color w:val="365F91" w:themeColor="accent1" w:themeShade="bf"/>
      <w:sz w:val="32"/>
      <w:szCs w:val="32"/>
    </w:rPr>
  </w:style>
  <w:style w:type="character" w:styleId="Strong">
    <w:name w:val="Strong"/>
    <w:basedOn w:val="DefaultParagraphFont"/>
    <w:uiPriority w:val="22"/>
    <w:qFormat/>
    <w:rsid w:val="00520bcd"/>
    <w:rPr>
      <w:b/>
      <w:bCs/>
    </w:rPr>
  </w:style>
  <w:style w:type="character" w:styleId="Nfase">
    <w:name w:val="Ênfase"/>
    <w:basedOn w:val="DefaultParagraphFont"/>
    <w:uiPriority w:val="20"/>
    <w:qFormat/>
    <w:rsid w:val="00520bcd"/>
    <w:rPr>
      <w:i/>
      <w:iCs/>
    </w:rPr>
  </w:style>
  <w:style w:type="character" w:styleId="Nivel2Char" w:customStyle="1">
    <w:name w:val="Nivel 2 Char"/>
    <w:basedOn w:val="DefaultParagraphFont"/>
    <w:link w:val="Nivel2"/>
    <w:qFormat/>
    <w:rsid w:val="00210b85"/>
    <w:rPr>
      <w:rFonts w:ascii="Ecofont_Spranq_eco_Sans" w:hAnsi="Ecofont_Spranq_eco_Sans" w:eastAsia="Arial Unicode MS"/>
    </w:rPr>
  </w:style>
  <w:style w:type="character" w:styleId="QuoteChar" w:customStyle="1">
    <w:name w:val="Quote Char"/>
    <w:link w:val="Citao1"/>
    <w:qFormat/>
    <w:rsid w:val="0039126b"/>
    <w:rPr>
      <w:rFonts w:ascii="Ecofont_Spranq_eco_Sans" w:hAnsi="Ecofont_Spranq_eco_Sans" w:cs="Ecofont_Spranq_eco_Sans"/>
      <w:i/>
      <w:iCs/>
      <w:color w:val="000000"/>
      <w:sz w:val="24"/>
      <w:szCs w:val="24"/>
      <w:shd w:fill="FFFFCC" w:val="clear"/>
      <w:lang w:eastAsia="en-US"/>
    </w:rPr>
  </w:style>
  <w:style w:type="character" w:styleId="Appleconvertedspace" w:customStyle="1">
    <w:name w:val="apple-converted-space"/>
    <w:basedOn w:val="DefaultParagraphFont"/>
    <w:qFormat/>
    <w:rsid w:val="00f108db"/>
    <w:rPr/>
  </w:style>
  <w:style w:type="character" w:styleId="Scaytmisspellword" w:customStyle="1">
    <w:name w:val="scayt-misspell-word"/>
    <w:basedOn w:val="DefaultParagraphFont"/>
    <w:qFormat/>
    <w:rsid w:val="00471331"/>
    <w:rPr/>
  </w:style>
  <w:style w:type="character" w:styleId="Linkdainternetvisitado" w:customStyle="1">
    <w:name w:val="Link da internet visitado"/>
    <w:rPr>
      <w:color w:val="800000"/>
      <w:u w:val="single"/>
    </w:rPr>
  </w:style>
  <w:style w:type="character" w:styleId="Fontepargpadro">
    <w:name w:val="Fonte parág. padrão"/>
    <w:qFormat/>
    <w:rPr/>
  </w:style>
  <w:style w:type="paragraph" w:styleId="Ttulo" w:customStyle="1">
    <w:name w:val="Título"/>
    <w:basedOn w:val="Standard"/>
    <w:next w:val="Textbody"/>
    <w:qFormat/>
    <w:rsid w:val="00f119a0"/>
    <w:pPr>
      <w:keepNext w:val="true"/>
      <w:spacing w:before="240" w:after="120"/>
    </w:pPr>
    <w:rPr>
      <w:rFonts w:ascii="Liberation Sans" w:hAnsi="Liberation Sans" w:eastAsia="Microsoft YaHei" w:cs="Liberation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Standard"/>
    <w:qFormat/>
    <w:rsid w:val="00f119a0"/>
    <w:pPr>
      <w:suppressLineNumbers/>
    </w:pPr>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rPr>
  </w:style>
  <w:style w:type="paragraph" w:styleId="ListParagraph">
    <w:name w:val="List Paragraph"/>
    <w:basedOn w:val="Normal"/>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uiPriority w:val="99"/>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qFormat/>
    <w:rsid w:val="000a23da"/>
    <w:pPr>
      <w:shd w:val="clear" w:fill="FFFFCC"/>
    </w:pPr>
    <w:rPr>
      <w:szCs w:val="20"/>
    </w:rPr>
  </w:style>
  <w:style w:type="paragraph" w:styleId="GradeColoridanfase11" w:customStyle="1">
    <w:name w:val="Grade Colorida - Ênfase 11"/>
    <w:basedOn w:val="Normal"/>
    <w:next w:val="Normal"/>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CabealhoeRodap" w:customStyle="1">
    <w:name w:val="Cabeçalho e Rodapé"/>
    <w:basedOn w:val="Standard"/>
    <w:qFormat/>
    <w:rsid w:val="00f119a0"/>
    <w:pPr>
      <w:suppressLineNumbers/>
      <w:tabs>
        <w:tab w:val="clear" w:pos="720"/>
        <w:tab w:val="center" w:pos="4819" w:leader="none"/>
        <w:tab w:val="right" w:pos="9638" w:leader="none"/>
      </w:tabs>
    </w:pPr>
    <w:rPr/>
  </w:style>
  <w:style w:type="paragraph" w:styleId="Cabealho">
    <w:name w:val="Header"/>
    <w:basedOn w:val="Normal"/>
    <w:link w:val="CabealhoChar"/>
    <w:unhideWhenUsed/>
    <w:rsid w:val="00a3644b"/>
    <w:pPr>
      <w:tabs>
        <w:tab w:val="clear" w:pos="720"/>
        <w:tab w:val="center" w:pos="4252" w:leader="none"/>
        <w:tab w:val="right" w:pos="8504" w:leader="none"/>
      </w:tabs>
    </w:pPr>
    <w:rPr/>
  </w:style>
  <w:style w:type="paragraph" w:styleId="Rodap">
    <w:name w:val="Footer"/>
    <w:basedOn w:val="Normal"/>
    <w:link w:val="RodapChar"/>
    <w:unhideWhenUsed/>
    <w:rsid w:val="00a3644b"/>
    <w:pPr>
      <w:tabs>
        <w:tab w:val="clear" w:pos="720"/>
        <w:tab w:val="center" w:pos="4252" w:leader="none"/>
        <w:tab w:val="right" w:pos="8504" w:leader="none"/>
      </w:tabs>
    </w:pPr>
    <w:rPr/>
  </w:style>
  <w:style w:type="paragraph" w:styleId="Nivel1" w:customStyle="1">
    <w:name w:val="Nivel1"/>
    <w:basedOn w:val="Ttulo1"/>
    <w:next w:val="Normal"/>
    <w:link w:val="Nivel1Char"/>
    <w:qFormat/>
    <w:rsid w:val="00de7070"/>
    <w:pPr>
      <w:spacing w:lineRule="auto" w:line="276" w:before="480" w:after="120"/>
      <w:jc w:val="both"/>
    </w:pPr>
    <w:rPr>
      <w:rFonts w:ascii="Arial" w:hAnsi="Arial" w:cs="Arial"/>
      <w:b/>
      <w:color w:val="000000"/>
      <w:sz w:val="20"/>
      <w:szCs w:val="20"/>
    </w:rPr>
  </w:style>
  <w:style w:type="paragraph" w:styleId="Annotationtext">
    <w:name w:val="annotation text"/>
    <w:basedOn w:val="Normal"/>
    <w:link w:val="TextodecomentrioChar"/>
    <w:unhideWhenUsed/>
    <w:qFormat/>
    <w:rsid w:val="00453b1d"/>
    <w:pPr/>
    <w:rPr>
      <w:sz w:val="24"/>
    </w:rPr>
  </w:style>
  <w:style w:type="paragraph" w:styleId="Annotationsubject">
    <w:name w:val="annotation subject"/>
    <w:basedOn w:val="Annotationtext"/>
    <w:next w:val="Annotationtext"/>
    <w:link w:val="AssuntodocomentrioChar"/>
    <w:semiHidden/>
    <w:unhideWhenUsed/>
    <w:qFormat/>
    <w:rsid w:val="005e4cdc"/>
    <w:pPr/>
    <w:rPr>
      <w:b/>
      <w:bCs/>
      <w:sz w:val="20"/>
      <w:szCs w:val="20"/>
    </w:rPr>
  </w:style>
  <w:style w:type="paragraph" w:styleId="Nivel01" w:customStyle="1">
    <w:name w:val="Nivel 01"/>
    <w:basedOn w:val="Ttulo1"/>
    <w:next w:val="Normal"/>
    <w:link w:val="Nivel01Char"/>
    <w:qFormat/>
    <w:rsid w:val="00563cba"/>
    <w:pPr>
      <w:tabs>
        <w:tab w:val="clear" w:pos="720"/>
        <w:tab w:val="left" w:pos="567" w:leader="none"/>
      </w:tabs>
      <w:jc w:val="both"/>
    </w:pPr>
    <w:rPr>
      <w:rFonts w:ascii="Ecofont_Spranq_eco_Sans" w:hAnsi="Ecofont_Spranq_eco_Sans" w:cs="Times New Roman"/>
      <w:b/>
      <w:bCs/>
      <w:color w:val="000000"/>
      <w:sz w:val="20"/>
      <w:szCs w:val="20"/>
    </w:rPr>
  </w:style>
  <w:style w:type="paragraph" w:styleId="Nivel011" w:customStyle="1">
    <w:name w:val="Nivel_01"/>
    <w:basedOn w:val="Ttulo1"/>
    <w:qFormat/>
    <w:rsid w:val="00ea46e8"/>
    <w:pPr>
      <w:tabs>
        <w:tab w:val="clear" w:pos="720"/>
        <w:tab w:val="left" w:pos="567" w:leader="none"/>
      </w:tabs>
      <w:jc w:val="both"/>
    </w:pPr>
    <w:rPr>
      <w:rFonts w:ascii="Ecofont_Spranq_eco_Sans" w:hAnsi="Ecofont_Spranq_eco_Sans" w:cs="Times New Roman"/>
      <w:b/>
      <w:bCs/>
      <w:color w:val="auto"/>
      <w:sz w:val="20"/>
      <w:szCs w:val="20"/>
    </w:rPr>
  </w:style>
  <w:style w:type="paragraph" w:styleId="SombreamentoMdio1nfase31" w:customStyle="1">
    <w:name w:val="Sombreamento Médio 1 - Ênfase 31"/>
    <w:basedOn w:val="Normal"/>
    <w:next w:val="Normal"/>
    <w:qFormat/>
    <w:rsid w:val="00323a82"/>
    <w:pPr>
      <w:pBdr>
        <w:top w:val="single" w:sz="4" w:space="1" w:color="000080"/>
        <w:left w:val="single" w:sz="4" w:space="4" w:color="000080"/>
        <w:bottom w:val="single" w:sz="4" w:space="1" w:color="000080"/>
        <w:right w:val="single" w:sz="4" w:space="4" w:color="000080"/>
      </w:pBdr>
      <w:shd w:val="clear" w:color="auto" w:fill="FFFFCC"/>
      <w:spacing w:before="120" w:after="0"/>
      <w:jc w:val="both"/>
    </w:pPr>
    <w:rPr>
      <w:rFonts w:ascii="Ecofont_Spranq_eco_Sans" w:hAnsi="Ecofont_Spranq_eco_Sans" w:eastAsia="Calibri"/>
      <w:i/>
      <w:iCs/>
      <w:color w:val="000000"/>
      <w:lang w:eastAsia="zh-CN"/>
    </w:rPr>
  </w:style>
  <w:style w:type="paragraph" w:styleId="PargrafodaLista1" w:customStyle="1">
    <w:name w:val="Parágrafo da Lista1"/>
    <w:basedOn w:val="Normal"/>
    <w:qFormat/>
    <w:rsid w:val="00834300"/>
    <w:pPr>
      <w:ind w:left="720" w:hanging="0"/>
    </w:pPr>
    <w:rPr>
      <w:rFonts w:ascii="Ecofont_Spranq_eco_Sans" w:hAnsi="Ecofont_Spranq_eco_Sans" w:cs="Ecofont_Spranq_eco_Sans"/>
      <w:sz w:val="24"/>
    </w:rPr>
  </w:style>
  <w:style w:type="paragraph" w:styleId="Nivel2" w:customStyle="1">
    <w:name w:val="Nivel 2"/>
    <w:link w:val="Nivel2Char"/>
    <w:qFormat/>
    <w:rsid w:val="00210b85"/>
    <w:pPr>
      <w:widowControl/>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210b85"/>
    <w:pPr>
      <w:tabs>
        <w:tab w:val="clear" w:pos="720"/>
        <w:tab w:val="left" w:pos="360" w:leader="none"/>
      </w:tabs>
      <w:ind w:left="644" w:hanging="432"/>
    </w:pPr>
    <w:rPr>
      <w:rFonts w:cs="Arial"/>
      <w:b/>
    </w:rPr>
  </w:style>
  <w:style w:type="paragraph" w:styleId="Nivel3" w:customStyle="1">
    <w:name w:val="Nivel 3"/>
    <w:basedOn w:val="Nivel2"/>
    <w:qFormat/>
    <w:rsid w:val="00210b85"/>
    <w:pPr>
      <w:tabs>
        <w:tab w:val="clear" w:pos="720"/>
        <w:tab w:val="left" w:pos="360" w:leader="none"/>
      </w:tabs>
      <w:ind w:left="1922" w:hanging="0"/>
    </w:pPr>
    <w:rPr>
      <w:rFonts w:cs="Arial"/>
      <w:color w:val="000000"/>
    </w:rPr>
  </w:style>
  <w:style w:type="paragraph" w:styleId="Nivel4" w:customStyle="1">
    <w:name w:val="Nivel 4"/>
    <w:basedOn w:val="Nivel3"/>
    <w:qFormat/>
    <w:rsid w:val="00210b85"/>
    <w:pPr>
      <w:ind w:left="2491" w:hanging="0"/>
    </w:pPr>
    <w:rPr>
      <w:color w:val="auto"/>
    </w:rPr>
  </w:style>
  <w:style w:type="paragraph" w:styleId="Nivel5" w:customStyle="1">
    <w:name w:val="Nivel 5"/>
    <w:basedOn w:val="Nivel4"/>
    <w:qFormat/>
    <w:rsid w:val="00210b85"/>
    <w:pPr>
      <w:ind w:left="3485" w:hanging="0"/>
    </w:pPr>
    <w:rPr/>
  </w:style>
  <w:style w:type="paragraph" w:styleId="Citao1" w:customStyle="1">
    <w:name w:val="Citação1"/>
    <w:basedOn w:val="Normal"/>
    <w:next w:val="Normal"/>
    <w:link w:val="QuoteChar"/>
    <w:qFormat/>
    <w:rsid w:val="0039126b"/>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cs="Ecofont_Spranq_eco_Sans"/>
      <w:i/>
      <w:iCs/>
      <w:color w:val="000000"/>
      <w:sz w:val="24"/>
      <w:shd w:fill="FFFFCC" w:val="clear"/>
      <w:lang w:eastAsia="en-US"/>
    </w:rPr>
  </w:style>
  <w:style w:type="paragraph" w:styleId="GradeColoridanfase110" w:customStyle="1">
    <w:name w:val="Grade Colorida - Ênfase 110"/>
    <w:basedOn w:val="Normal"/>
    <w:next w:val="Normal"/>
    <w:qFormat/>
    <w:rsid w:val="00c63cf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i/>
      <w:color w:val="000000"/>
      <w:sz w:val="24"/>
      <w:lang w:eastAsia="en-US"/>
    </w:rPr>
  </w:style>
  <w:style w:type="paragraph" w:styleId="LOnormal" w:customStyle="1">
    <w:name w:val="LO-normal"/>
    <w:qFormat/>
    <w:pPr>
      <w:widowControl/>
      <w:suppressAutoHyphens w:val="true"/>
      <w:bidi w:val="0"/>
      <w:spacing w:before="0" w:after="0"/>
      <w:jc w:val="left"/>
    </w:pPr>
    <w:rPr>
      <w:rFonts w:ascii="Arial" w:hAnsi="Arial" w:eastAsia="Arial" w:cs="Arial"/>
      <w:color w:val="auto"/>
      <w:kern w:val="0"/>
      <w:sz w:val="20"/>
      <w:szCs w:val="20"/>
      <w:lang w:val="pt-BR" w:eastAsia="zh-CN" w:bidi="hi-IN"/>
    </w:rPr>
  </w:style>
  <w:style w:type="paragraph" w:styleId="Contedodatabela" w:customStyle="1">
    <w:name w:val="Conteúdo da tabela"/>
    <w:basedOn w:val="Standard"/>
    <w:qFormat/>
    <w:rsid w:val="00f119a0"/>
    <w:pPr>
      <w:suppressLineNumbers/>
    </w:pPr>
    <w:rPr/>
  </w:style>
  <w:style w:type="paragraph" w:styleId="Standard" w:customStyle="1">
    <w:name w:val="Standard"/>
    <w:qFormat/>
    <w:rsid w:val="00f119a0"/>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pt-BR" w:eastAsia="zh-CN" w:bidi="hi-IN"/>
    </w:rPr>
  </w:style>
  <w:style w:type="paragraph" w:styleId="Textbody" w:customStyle="1">
    <w:name w:val="Text body"/>
    <w:basedOn w:val="Standard"/>
    <w:qFormat/>
    <w:rsid w:val="00f119a0"/>
    <w:pPr>
      <w:spacing w:lineRule="auto" w:line="288" w:before="0" w:after="140"/>
    </w:pPr>
    <w:rPr/>
  </w:style>
  <w:style w:type="paragraph" w:styleId="Ttulodetabela" w:customStyle="1">
    <w:name w:val="Título de tabela"/>
    <w:basedOn w:val="Contedodatabela"/>
    <w:qFormat/>
    <w:rsid w:val="00f119a0"/>
    <w:pPr>
      <w:jc w:val="center"/>
    </w:pPr>
    <w:rPr>
      <w:b/>
      <w:bCs/>
    </w:rPr>
  </w:style>
  <w:style w:type="paragraph" w:styleId="Contedodetabela" w:customStyle="1">
    <w:name w:val="Conteúdo de tabela"/>
    <w:basedOn w:val="Standard"/>
    <w:qFormat/>
    <w:rsid w:val="00f119a0"/>
    <w:pPr>
      <w:suppressLineNumbers/>
    </w:pPr>
    <w:rPr/>
  </w:style>
  <w:style w:type="paragraph" w:styleId="LONormal1" w:customStyle="1">
    <w:name w:val="LO-Normal"/>
    <w:qFormat/>
    <w:rsid w:val="00f119a0"/>
    <w:pPr>
      <w:widowControl w:val="false"/>
      <w:suppressAutoHyphens w:val="true"/>
      <w:bidi w:val="0"/>
      <w:spacing w:before="0" w:after="0"/>
      <w:jc w:val="left"/>
      <w:textAlignment w:val="baseline"/>
    </w:pPr>
    <w:rPr>
      <w:rFonts w:ascii="Liberation Serif" w:hAnsi="Liberation Serif" w:eastAsia="SimSun" w:cs="Arial"/>
      <w:color w:val="auto"/>
      <w:kern w:val="2"/>
      <w:sz w:val="24"/>
      <w:szCs w:val="24"/>
      <w:lang w:val="pt-BR" w:eastAsia="zh-CN" w:bidi="hi-IN"/>
    </w:rPr>
  </w:style>
  <w:style w:type="paragraph" w:styleId="LONormal11">
    <w:name w:val="LO-Normal1"/>
    <w:qFormat/>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a2471d"/>
    <w:rPr>
      <w:rFonts w:eastAsiaTheme="minorEastAsia"/>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fsertao-pe.edu.br/index.php/licitacoes/pregao-eletronico/pregao-rei?id=11791" TargetMode="External"/><Relationship Id="rId3" Type="http://schemas.openxmlformats.org/officeDocument/2006/relationships/hyperlink" Target="https://www.ifsertao-pe.edu.br/index.php/licitacoes/pregao-eletronico/pregao-rei?id=11791"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8" ma:contentTypeDescription="Crie um novo documento." ma:contentTypeScope="" ma:versionID="c6adb248b52d453afec582584ced347e">
  <xsd:schema xmlns:xsd="http://www.w3.org/2001/XMLSchema" xmlns:xs="http://www.w3.org/2001/XMLSchema" xmlns:p="http://schemas.microsoft.com/office/2006/metadata/properties" xmlns:ns2="52c93ea8-e2de-466c-b401-d7fabeb9490e" targetNamespace="http://schemas.microsoft.com/office/2006/metadata/properties" ma:root="true" ma:fieldsID="ab6753da97a2bc317a9adb518871c3d7"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2.xml><?xml version="1.0" encoding="utf-8"?>
<ds:datastoreItem xmlns:ds="http://schemas.openxmlformats.org/officeDocument/2006/customXml" ds:itemID="{639B84CC-2264-4253-A596-5C5B8CD98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F39B8D-E661-44DF-947A-0E001060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Application>LibreOffice/6.4.6.2$Windows_X86_64 LibreOffice_project/0ce51a4fd21bff07a5c061082cc82c5ed232f115</Application>
  <Pages>57</Pages>
  <Words>18525</Words>
  <Characters>96969</Characters>
  <CharactersWithSpaces>113317</CharactersWithSpaces>
  <Paragraphs>2338</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2021-04-06T18:39:00Z</dcterms:created>
  <dc:creator>Adriano</dc:creator>
  <dc:description/>
  <dc:language>pt-BR</dc:language>
  <cp:lastModifiedBy/>
  <cp:lastPrinted>2019-10-08T15:56:00Z</cp:lastPrinted>
  <dcterms:modified xsi:type="dcterms:W3CDTF">2021-12-03T09:42:05Z</dcterms:modified>
  <cp:revision>100</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