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56"/>
      </w:tblGrid>
      <w:tr>
        <w:trPr>
          <w:trHeight w:val="41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 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23302.0007222021-06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Volume (s):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ascii="Arial" w:hAnsi="Arial"/>
                <w:sz w:val="21"/>
                <w:szCs w:val="21"/>
              </w:rPr>
              <w:t xml:space="preserve">) Não (   ) Sim  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Processo n. </w:t>
            </w:r>
          </w:p>
          <w:p>
            <w:pPr>
              <w:pStyle w:val="LOnormal"/>
              <w:spacing w:lineRule="auto" w:line="276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Interessado (s):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Instituto Federal do Sertão Pernambucano/IF Sertão-PE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jc w:val="center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Aquisição </w:t>
            </w:r>
            <w:r>
              <w:rPr>
                <w:rFonts w:ascii="Arial" w:hAnsi="Arial"/>
              </w:rPr>
              <w:t xml:space="preserve">Solicitação </w:t>
            </w:r>
            <w:r>
              <w:rPr>
                <w:rFonts w:ascii="Arial" w:hAnsi="Arial"/>
                <w:i/>
              </w:rPr>
              <w:t xml:space="preserve">nº:  </w:t>
            </w:r>
            <w:r>
              <w:rPr>
                <w:rFonts w:ascii="Arial" w:hAnsi="Arial"/>
                <w:b/>
                <w:i/>
              </w:rPr>
              <w:t xml:space="preserve">Não há número na Solicitação </w:t>
            </w:r>
            <w:r>
              <w:rPr>
                <w:rFonts w:ascii="Arial" w:hAnsi="Arial"/>
                <w:i/>
              </w:rPr>
              <w:t>( às fls.    ) (SEI        )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/>
              </w:rPr>
              <w:t xml:space="preserve">  ) </w:t>
            </w:r>
            <w:r>
              <w:rPr>
                <w:rFonts w:ascii="Arial" w:hAnsi="Arial"/>
                <w:b/>
              </w:rPr>
              <w:t xml:space="preserve">Serviços </w:t>
            </w:r>
            <w:r>
              <w:rPr>
                <w:rFonts w:ascii="Arial" w:hAnsi="Arial"/>
              </w:rPr>
              <w:t>Solicitação</w:t>
            </w:r>
            <w:r>
              <w:rPr>
                <w:rFonts w:ascii="Arial" w:hAnsi="Arial"/>
                <w:i/>
              </w:rPr>
              <w:t xml:space="preserve"> nº:                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( às fls.    ) (SEI           )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  <w:b/>
              </w:rPr>
              <w:t xml:space="preserve">MODALIDADE: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>(    ) Convite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</w:rPr>
              <w:t xml:space="preserve">(   ) Leilão      (    ) Pregão     ( </w:t>
            </w:r>
            <w:r>
              <w:rPr>
                <w:rFonts w:ascii="Arial" w:hAnsi="Arial"/>
                <w:b/>
              </w:rPr>
              <w:t xml:space="preserve">X </w:t>
            </w:r>
            <w:r>
              <w:rPr>
                <w:rFonts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   ) Tomada de Preços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TIPO: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(    ) MAIOR DESCONTO:  (  X ) por item     (  X ) por grupo    (  ) por item e grupo   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(   ) Melhor Técnica    (    ) Técnica e Preço  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>Contratação de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serviços de </w:t>
            </w:r>
            <w:r>
              <w:rPr>
                <w:rFonts w:cs="Arial" w:ascii="Arial" w:hAnsi="Arial"/>
                <w:b w:val="false"/>
                <w:bCs w:val="false"/>
                <w:color w:val="00000A"/>
                <w:sz w:val="21"/>
                <w:szCs w:val="21"/>
              </w:rPr>
              <w:t>empresa para prestação de serviço de agenciamento de viagens através de pesquisa, reserva, emissão e entrega de bilhetes de passagens aéreas nacional e internacional, bem como, contratação de seguros para viagens internacionais para atender a Reitoria e os campi do IFSertãoPE</w:t>
            </w:r>
          </w:p>
          <w:p>
            <w:pPr>
              <w:pStyle w:val="LOnormal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>
            <w:pPr>
              <w:pStyle w:val="Nivel1"/>
              <w:spacing w:lineRule="auto" w:line="240" w:before="6" w:after="6"/>
              <w:ind w:right="-30" w:hanging="0"/>
              <w:rPr/>
            </w:pPr>
            <w:r>
              <w:rPr>
                <w:rFonts w:eastAsia="NSimSun" w:cs="Arial"/>
                <w:b w:val="false"/>
                <w:bCs w:val="false"/>
                <w:color w:val="00000A"/>
                <w:kern w:val="0"/>
                <w:sz w:val="21"/>
                <w:szCs w:val="21"/>
                <w:lang w:val="pt-BR" w:eastAsia="zh-CN" w:bidi="hi-IN"/>
              </w:rPr>
              <w:t xml:space="preserve">R$ </w:t>
            </w:r>
            <w:r>
              <w:rPr>
                <w:rFonts w:eastAsia="NSimSun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vertAlign w:val="baseline"/>
                <w:lang w:val="pt-BR" w:eastAsia="zh-CN" w:bidi="hi-IN"/>
              </w:rPr>
              <w:t>878.184,32</w:t>
            </w:r>
            <w:r>
              <w:rPr>
                <w:rFonts w:eastAsia="NSimSun" w:cs="Arial"/>
                <w:b w:val="false"/>
                <w:bCs w:val="false"/>
                <w:color w:val="00000A"/>
                <w:kern w:val="0"/>
                <w:sz w:val="21"/>
                <w:szCs w:val="21"/>
                <w:lang w:val="pt-BR" w:eastAsia="zh-CN" w:bidi="hi-IN"/>
              </w:rPr>
              <w:t xml:space="preserve"> (oitocentos e setenta e oito mil, cento e oitenta e quatro reais e trinta e dois centavos) 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spacing w:lineRule="auto" w:line="360"/>
        <w:jc w:val="both"/>
        <w:rPr/>
      </w:pPr>
      <w:r>
        <w:rPr>
          <w:rFonts w:ascii="Arial" w:hAnsi="Arial"/>
          <w:b/>
          <w:u w:val="single"/>
        </w:rPr>
        <w:t>CERTIFICO:</w:t>
      </w:r>
    </w:p>
    <w:p>
      <w:pPr>
        <w:pStyle w:val="Rodap"/>
        <w:jc w:val="both"/>
        <w:rPr/>
      </w:pPr>
      <w:r>
        <w:rPr>
          <w:rFonts w:eastAsia="Times New Roman" w:cs="Times New Roman" w:ascii="Arial" w:hAnsi="Arial"/>
          <w:color w:val="000000"/>
        </w:rPr>
        <w:t xml:space="preserve">Que as minutas integrantes do presente processo foram extraídas do sítio eletrônico da Advocacia-Geral da União – AGU (Modelos de Licitações e Contratos) no </w:t>
      </w:r>
      <w:hyperlink r:id="rId2">
        <w:r>
          <w:rPr>
            <w:rStyle w:val="LinkdaInternet"/>
            <w:rFonts w:eastAsia="Times New Roman" w:cs="Times New Roman" w:ascii="Arial" w:hAnsi="Arial"/>
            <w:color w:val="000000"/>
          </w:rPr>
          <w:t>https://www.gov.br/pgfn/pt-br/assuntos/consultoria-administrativa/minutas-padrao</w:t>
        </w:r>
      </w:hyperlink>
      <w:r>
        <w:rPr>
          <w:rFonts w:eastAsia="Times New Roman" w:cs="Times New Roman" w:ascii="Arial" w:hAnsi="Arial"/>
          <w:color w:val="000000"/>
        </w:rPr>
        <w:t xml:space="preserve">; tendo sido adotada a versão de </w:t>
      </w:r>
      <w:r>
        <w:rPr>
          <w:rFonts w:eastAsia="Times New Roman" w:cs="Times New Roman" w:ascii="Arial" w:hAnsi="Arial"/>
          <w:b/>
          <w:bCs/>
          <w:color w:val="000000"/>
        </w:rPr>
        <w:t>Edital modelo para Pregão Eletrônico: Serviços Continuados sem mão de obra. Atualização: julho/2020.</w:t>
      </w:r>
    </w:p>
    <w:p>
      <w:pPr>
        <w:pStyle w:val="Rodap"/>
        <w:rPr>
          <w:rFonts w:ascii="Arial" w:hAnsi="Arial" w:eastAsia="Times New Roman" w:cs="Times New Roman"/>
          <w:color w:val="000000"/>
        </w:rPr>
      </w:pPr>
      <w:r>
        <w:rPr>
          <w:rFonts w:eastAsia="Times New Roman" w:cs="Times New Roman" w:ascii="Arial" w:hAnsi="Arial"/>
          <w:color w:val="000000"/>
        </w:rPr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i/>
          <w:color w:val="000000"/>
        </w:rPr>
        <w:t xml:space="preserve">(checklists) </w:t>
      </w:r>
      <w:r>
        <w:rPr>
          <w:rFonts w:eastAsia="Times New Roman" w:cs="Times New Roman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 </w:t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W w:w="9317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17"/>
      </w:tblGrid>
      <w:tr>
        <w:trPr>
          <w:trHeight w:val="530" w:hRule="atLeast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</w:tr>
      <w:tr>
        <w:trPr/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spacing w:lineRule="auto" w:line="3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/>
              </w:rPr>
              <w:t xml:space="preserve"> ) Foram </w:t>
            </w:r>
            <w:r>
              <w:rPr>
                <w:rFonts w:ascii="Arial" w:hAnsi="Arial"/>
                <w:b/>
              </w:rPr>
              <w:t xml:space="preserve">incluídos </w:t>
            </w:r>
            <w:r>
              <w:rPr>
                <w:rFonts w:ascii="Arial" w:hAnsi="Arial"/>
              </w:rPr>
              <w:t xml:space="preserve">os trechos </w:t>
            </w:r>
            <w:r>
              <w:rPr>
                <w:rFonts w:ascii="Arial" w:hAnsi="Arial"/>
                <w:b/>
                <w:u w:val="single"/>
              </w:rPr>
              <w:t xml:space="preserve">negritados  e sublinhados </w:t>
            </w:r>
            <w:r>
              <w:rPr>
                <w:rFonts w:ascii="Arial" w:hAnsi="Arial"/>
              </w:rPr>
              <w:t xml:space="preserve">na minuta de: </w:t>
            </w:r>
          </w:p>
          <w:p>
            <w:pPr>
              <w:pStyle w:val="LO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( 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X </w:t>
            </w:r>
            <w:r>
              <w:rPr>
                <w:rFonts w:ascii="Arial" w:hAnsi="Arial"/>
                <w:i/>
                <w:iCs/>
              </w:rPr>
              <w:t xml:space="preserve"> )  Edital     (    )  Contrato   (    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(    )  Outros: _______________________________________________________</w:t>
            </w:r>
          </w:p>
          <w:p>
            <w:pPr>
              <w:pStyle w:val="LOnormal"/>
              <w:jc w:val="both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LOnormal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i w:val="false"/>
                <w:iCs w:val="false"/>
              </w:rPr>
              <w:t>Pelos Motivos a seguir expostos (Especificar Ite</w:t>
            </w:r>
            <w:r>
              <w:rPr>
                <w:rFonts w:ascii="Arial" w:hAnsi="Arial"/>
                <w:i w:val="false"/>
                <w:iCs w:val="false"/>
                <w:color w:val="000000"/>
              </w:rPr>
              <w:t>m incluído</w:t>
            </w:r>
            <w:r>
              <w:rPr>
                <w:rFonts w:ascii="Arial" w:hAnsi="Arial"/>
                <w:i w:val="false"/>
                <w:iCs w:val="false"/>
              </w:rPr>
              <w:t>):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color w:val="000000"/>
              </w:rPr>
              <w:t xml:space="preserve">Item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9.11.2.1.1 </w:t>
            </w:r>
          </w:p>
          <w:p>
            <w:pPr>
              <w:pStyle w:val="LOnormal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color w:val="000000"/>
                <w:sz w:val="20"/>
                <w:szCs w:val="20"/>
                <w:u w:val="singl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olor w:val="000000"/>
                <w:sz w:val="20"/>
                <w:szCs w:val="20"/>
                <w:u w:val="none"/>
              </w:rPr>
              <w:t xml:space="preserve">Devido a contratação ser específica para empresas do ramo de agenciamento de viagens e contratação como esta exige-se que a empresa contratada tem condições técnicas para cumprir com todas as suas obrigações, então por isso deve apresentar capacidade operacional para isto. </w:t>
            </w:r>
          </w:p>
          <w:p>
            <w:pPr>
              <w:pStyle w:val="LOnormal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single"/>
              </w:rPr>
              <w:t>Subitem 14.1.1</w:t>
            </w:r>
          </w:p>
          <w:p>
            <w:pPr>
              <w:pStyle w:val="LOnormal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single"/>
              </w:rPr>
              <w:t>Justificativa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olor w:val="000000"/>
                <w:sz w:val="20"/>
                <w:szCs w:val="20"/>
                <w:u w:val="none"/>
              </w:rPr>
              <w:t>para justificar o motivo da ausência de exigência de garantia de execução p</w:t>
            </w:r>
            <w:r>
              <w:rPr>
                <w:rFonts w:eastAsia="ＭＳ 明朝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pt-BR" w:eastAsia="pt-BR" w:bidi="ar-SA"/>
              </w:rPr>
              <w:t>or se tratar de uma licitação de registro de preços, que gera</w:t>
              <w:br/>
              <w:t>apenas expectativa da aquisição do bem/material e não ter a</w:t>
              <w:br/>
              <w:t xml:space="preserve">obrigatoriedade de atingir a margem de </w:t>
            </w:r>
            <w:r>
              <w:rPr>
                <w:rFonts w:eastAsia="ＭＳ 明朝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u w:val="none"/>
                <w:lang w:val="pt-BR" w:eastAsia="pt-BR" w:bidi="ar-SA"/>
              </w:rPr>
              <w:t>serviço</w:t>
            </w:r>
            <w:r>
              <w:rPr>
                <w:rFonts w:eastAsia="ＭＳ 明朝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pt-BR" w:eastAsia="pt-BR" w:bidi="ar-SA"/>
              </w:rPr>
              <w:t xml:space="preserve"> estimada.</w:t>
              <w:br/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)Foram 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  trecho das minutas de Edital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Subitem 21.1.2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não haverá para esta contratação antecipação de pagamento pelos serviços a contratada.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u w:val="single"/>
              </w:rPr>
              <w:t xml:space="preserve">(   ) Não Foi Incluída Cláusula Específica na Minuta de: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X </w:t>
            </w:r>
            <w:r>
              <w:rPr>
                <w:rFonts w:ascii="Arial" w:hAnsi="Arial"/>
                <w:i/>
                <w:iCs/>
              </w:rPr>
              <w:t xml:space="preserve">  ) Edital     (    )  Contrato   (   )  Termo de Referência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rFonts w:ascii="Arial" w:hAnsi="Arial"/>
                <w:i/>
                <w:iCs/>
                <w:u w:val="single"/>
              </w:rPr>
              <w:t>(    )  Outros: _</w:t>
            </w:r>
            <w:r>
              <w:rPr>
                <w:rFonts w:ascii="Arial" w:hAnsi="Arial"/>
                <w:b/>
                <w:bCs/>
                <w:i/>
                <w:iCs/>
                <w:u w:val="single"/>
              </w:rPr>
              <w:t xml:space="preserve">Ata </w:t>
            </w:r>
            <w:r>
              <w:rPr>
                <w:rFonts w:ascii="Arial" w:hAnsi="Arial"/>
                <w:i/>
                <w:iCs/>
                <w:u w:val="single"/>
              </w:rPr>
              <w:t>__ _____________________________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 Não foram 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trecho das minutas de Ata e  Contrato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  <w:i/>
                <w:i/>
                <w:iCs/>
                <w:u w:val="single"/>
              </w:rPr>
            </w:pPr>
            <w:r>
              <w:rPr>
                <w:rFonts w:ascii="Arial" w:hAnsi="Arial"/>
                <w:i/>
                <w:iCs/>
                <w:u w:val="single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Onormal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</w:rPr>
      </w:pPr>
      <w:r>
        <w:rPr>
          <w:rFonts w:eastAsia="Garamond" w:cs="Garamond" w:ascii="Arial" w:hAnsi="Arial"/>
        </w:rPr>
        <w:t>DECLARO, ao final, possuir competência para firmar a presente certificação.</w:t>
      </w:r>
    </w:p>
    <w:p>
      <w:pPr>
        <w:pStyle w:val="LOnormal"/>
        <w:spacing w:before="240" w:after="0"/>
        <w:jc w:val="right"/>
        <w:rPr>
          <w:rFonts w:ascii="Arial" w:hAnsi="Arial"/>
        </w:rPr>
      </w:pPr>
      <w:r>
        <w:rPr>
          <w:rFonts w:eastAsia="Garamond" w:cs="Garamond" w:ascii="Arial" w:hAnsi="Arial"/>
        </w:rPr>
        <w:t xml:space="preserve">Petrolina-PE, _________ de </w:t>
      </w:r>
      <w:r>
        <w:rPr>
          <w:rFonts w:eastAsia="Garamond" w:cs="Garamond" w:ascii="Arial" w:hAnsi="Arial"/>
          <w:color w:val="000000"/>
        </w:rPr>
        <w:t>____________</w:t>
      </w:r>
      <w:r>
        <w:rPr>
          <w:rFonts w:eastAsia="Garamond" w:cs="Garamond" w:ascii="Arial" w:hAnsi="Arial"/>
        </w:rPr>
        <w:t xml:space="preserve"> de 2021</w:t>
      </w:r>
    </w:p>
    <w:p>
      <w:pPr>
        <w:pStyle w:val="Normal"/>
        <w:spacing w:before="0" w:after="36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before="0" w:after="360"/>
        <w:rPr>
          <w:rFonts w:cs="Arial"/>
          <w:b/>
          <w:b/>
          <w:bCs/>
        </w:rPr>
      </w:pPr>
      <w:r>
        <w:rPr>
          <w:rFonts w:cs="Arial"/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spacing w:before="0" w:after="120"/>
        <w:ind w:left="357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>
          <w:b/>
          <w:bCs/>
        </w:rPr>
        <w:t>Identificação e assinatura d</w:t>
      </w:r>
      <w:r>
        <w:rPr>
          <w:b/>
          <w:bCs/>
        </w:rPr>
        <w:t>o</w:t>
      </w:r>
      <w:r>
        <w:rPr>
          <w:b/>
          <w:bCs/>
        </w:rPr>
        <w:t xml:space="preserve"> responsável </w:t>
      </w:r>
      <w:r>
        <w:rPr>
          <w:b/>
          <w:bCs/>
        </w:rPr>
        <w:t>pela elaboração do Edital</w:t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/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/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/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/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/>
      </w:r>
    </w:p>
    <w:p>
      <w:pPr>
        <w:pStyle w:val="Normal"/>
        <w:spacing w:before="0" w:after="0"/>
        <w:ind w:left="360" w:hanging="0"/>
        <w:jc w:val="center"/>
        <w:rPr/>
      </w:pPr>
      <w:r>
        <w:rPr>
          <w:b/>
          <w:bCs/>
        </w:rPr>
        <w:t>Gerson de Alencar Lima</w:t>
      </w:r>
    </w:p>
    <w:p>
      <w:pPr>
        <w:pStyle w:val="Normal"/>
        <w:spacing w:before="0" w:after="0"/>
        <w:ind w:left="360" w:hanging="0"/>
        <w:jc w:val="center"/>
        <w:rPr/>
      </w:pPr>
      <w:r>
        <w:rPr>
          <w:b/>
          <w:bCs/>
        </w:rPr>
        <w:t>Equipe de Apoio ao Pregoeiro</w:t>
      </w:r>
    </w:p>
    <w:p>
      <w:pPr>
        <w:pStyle w:val="Normal"/>
        <w:spacing w:before="0" w:after="0"/>
        <w:ind w:left="360" w:hanging="0"/>
        <w:jc w:val="center"/>
        <w:rPr/>
      </w:pPr>
      <w:r>
        <w:rPr>
          <w:b/>
          <w:bCs/>
        </w:rPr>
        <w:t>IFSertãoPE</w:t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134" w:header="426" w:top="1701" w:footer="696" w:bottom="1134" w:gutter="0"/>
      <w:pgNumType w:start="1"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1" allowOverlap="1" relativeHeight="3" wp14:anchorId="5E5F95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7465" cy="163195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2.85pt;height:12.75pt" wp14:anchorId="5E5F950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 id="ole_rId1" style="width:53pt;height:59.35pt" o:ole="">
          <v:imagedata r:id="rId2" o:title=""/>
        </v:shape>
        <o:OLEObject Type="Embed" ProgID="Word.Picture.8" ShapeID="ole_rId1" DrawAspect="Content" ObjectID="_1081752259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ADVOCACIA-GERAL DA UNIÃO</w:t>
    </w:r>
  </w:p>
  <w:p>
    <w:pPr>
      <w:pStyle w:val="LO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DEPARTAMENTO DE CONSULTORIA -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Nivel1Char" w:customStyle="1">
    <w:name w:val="Nivel1 Char"/>
    <w:basedOn w:val="DefaultParagraphFont"/>
    <w:link w:val="Nivel1"/>
    <w:qFormat/>
    <w:rsid w:val="00aa712b"/>
    <w:rPr>
      <w:rFonts w:ascii="Arial" w:hAnsi="Arial" w:cs="Arial"/>
      <w:b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uiPriority w:val="99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uiPriority w:val="1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link w:val="Nivel1Char"/>
    <w:qFormat/>
    <w:pPr>
      <w:spacing w:lineRule="auto" w:line="276"/>
      <w:jc w:val="both"/>
    </w:pPr>
    <w:rPr>
      <w:rFonts w:ascii="Arial" w:hAnsi="Arial" w:cs="Arial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pgfn/pt-br/assuntos/consultoria-administrativa/minutas-padrao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LibreOffice/6.4.6.2$Windows_X86_64 LibreOffice_project/0ce51a4fd21bff07a5c061082cc82c5ed232f115</Application>
  <Pages>3</Pages>
  <Words>588</Words>
  <Characters>3201</Characters>
  <CharactersWithSpaces>3966</CharactersWithSpaces>
  <Paragraphs>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2021-11-17T13:08:00Z</dcterms:created>
  <dc:creator>Carlos Henrique Benedito Nitão Loureiro</dc:creator>
  <dc:description/>
  <dc:language>pt-BR</dc:language>
  <cp:lastModifiedBy/>
  <cp:lastPrinted>2021-07-14T00:04:00Z</cp:lastPrinted>
  <dcterms:modified xsi:type="dcterms:W3CDTF">2021-12-06T09:55:35Z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