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0"/>
          <w:szCs w:val="24"/>
        </w:rPr>
      </w:pPr>
      <w:r>
        <w:rPr>
          <w:rFonts w:cs="Calibri" w:cstheme="minorHAnsi"/>
          <w:b/>
          <w:bCs/>
          <w:sz w:val="20"/>
          <w:szCs w:val="20"/>
        </w:rPr>
        <w:t>LISTAS DE VERIFICAÇÃO PARA CONTRATAÇÃO DE SERVIÇOS (SALVO DE ENGENHARIA E DE TECNOLOGIA DA INFORMAÇÃO E COMUNICAÇÃO)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0"/>
          <w:szCs w:val="20"/>
        </w:rPr>
        <w:t>Obs.1: Na coluna “ESTADO” preencher apenas com as letras “S”, “N”, “N.A.”, sendo: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0"/>
          <w:szCs w:val="20"/>
        </w:rPr>
        <w:t>S – SIM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0"/>
          <w:szCs w:val="20"/>
        </w:rPr>
        <w:t>N – NÃO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0"/>
          <w:szCs w:val="20"/>
        </w:rPr>
        <w:t>N.A.– NÃO SE APLICA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Cs/>
          <w:color w:val="FF0000"/>
          <w:sz w:val="20"/>
          <w:szCs w:val="20"/>
        </w:rPr>
      </w:pPr>
      <w:r>
        <w:rPr>
          <w:rFonts w:cs="Calibri" w:cstheme="minorHAnsi"/>
          <w:bCs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0"/>
          <w:szCs w:val="20"/>
        </w:rPr>
        <w:t>Obs.2: Na utilização da presente lista deverão ser analisadas e verificadas as consequências para cada negativa, se pode ser suprida por justificativas ou enquadramentos específicos ou se deve haver complementação da instrução.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Cs/>
          <w:color w:val="FF0000"/>
          <w:sz w:val="20"/>
          <w:szCs w:val="20"/>
        </w:rPr>
      </w:pPr>
      <w:r>
        <w:rPr>
          <w:rFonts w:cs="Calibri" w:cstheme="minorHAnsi"/>
          <w:bCs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0"/>
          <w:szCs w:val="20"/>
        </w:rPr>
        <w:t>Obs. 3: O agente que vier a utilizar esta lista deverá remover as seções que não se aplicarem ao caso.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tbl>
      <w:tblPr>
        <w:tblStyle w:val="Tabelacomgrade"/>
        <w:tblW w:w="9634" w:type="dxa"/>
        <w:jc w:val="lef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01"/>
        <w:gridCol w:w="854"/>
        <w:gridCol w:w="1579"/>
      </w:tblGrid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>VERIFICAÇÃO COMUM A TODAS AS CONTRATAÇÕES DE SERVIÇOS COMUNS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0"/>
                <w:szCs w:val="20"/>
              </w:rPr>
              <w:t xml:space="preserve">Obs: essa lista refere-se a serviços comuns, excluindo-se contratação de solução de TI e serviços de engenharia 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ESTADO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S/N/ N.A.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Fl.</w:t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1. </w:t>
            </w:r>
            <w:r>
              <w:rPr>
                <w:rFonts w:cs="Calibri" w:cstheme="minorHAnsi"/>
                <w:bCs/>
                <w:sz w:val="20"/>
                <w:szCs w:val="20"/>
              </w:rPr>
              <w:t xml:space="preserve">Houve abertura de processo administrativo devidamente autuado e numerado, quando processo físico, ou registrado quando processo eletrônico, nos termos da ON-AGU </w:t>
            </w:r>
            <w:r>
              <w:rPr>
                <w:rFonts w:cs="Calibri" w:cstheme="minorHAnsi"/>
                <w:sz w:val="20"/>
                <w:szCs w:val="20"/>
              </w:rPr>
              <w:t>nº 2/2009?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0"/>
                <w:szCs w:val="20"/>
              </w:rPr>
              <w:t>Obs.: Dispõe a ON-AGU 2/2009: “</w:t>
            </w:r>
            <w:r>
              <w:rPr>
                <w:rFonts w:cs="Calibri" w:cstheme="minorHAnsi"/>
                <w:i/>
                <w:iCs/>
                <w:color w:val="FF0000"/>
                <w:sz w:val="20"/>
                <w:szCs w:val="20"/>
              </w:rPr>
              <w:t>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2. Consta o documento de formalização da demanda, elaborado pelo setor requisitante do serviço, nos termos do modelo do Anexo II, IN SEGES 05/2017?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0</w:t>
            </w:r>
            <w:r>
              <w:rPr>
                <w:rFonts w:cs="Calibri" w:cstheme="minorHAnsi"/>
                <w:sz w:val="20"/>
                <w:szCs w:val="20"/>
              </w:rPr>
              <w:t>3/04</w:t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2.1. A contratação NÃO incide nas hipóteses vedadas pelo art. 9º da IN SEGES 05/2017?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Sim, não incide.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2.2 Há manifestação sobre a observância do alinhamento com o Plano Estratégico do órgão ou entidade, quando houver? (art. 1º, inc. III, IN SEGES 05/2017)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0</w:t>
            </w:r>
            <w:r>
              <w:rPr>
                <w:rFonts w:cs="Calibri" w:cstheme="minorHAnsi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2.3. Da solicitação/requisição constam os itens do inciso I do art. 21 da IN/SEGES 5/2017?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03/04</w:t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2.4. O objeto requisitado está contemplado no Plano Anual de Contratações, de acordo com a IN SEGES nº 1/2019?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N.A.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3. Foi instituída Equipe de Planejamento da Contratação pela autoridade competente do setor de licitação? (art. 21, inc. III, IN/SEGES 5/2017 )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 xml:space="preserve">Realizado pela área técnica, conforme </w:t>
            </w:r>
            <w:bookmarkStart w:id="0" w:name="__DdeLink__305_1281673225"/>
            <w:r>
              <w:rPr>
                <w:rFonts w:cs="Calibri" w:cstheme="minorHAnsi"/>
                <w:sz w:val="20"/>
                <w:szCs w:val="20"/>
              </w:rPr>
              <w:t>IN 40/2020</w:t>
            </w:r>
            <w:bookmarkEnd w:id="0"/>
            <w:r>
              <w:rPr>
                <w:rFonts w:cs="Calibri" w:cstheme="minorHAnsi"/>
                <w:sz w:val="20"/>
                <w:szCs w:val="20"/>
              </w:rPr>
              <w:t>-ETP Digital</w:t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4. Foi elaborado e juntado ao processo os Estudos Preliminares, conforme as diretrizes constantes da IN SEGES/MP nº 40/2020? (art. 20, art. 24 da IN SEGES/MP nº 5/2017 e IN SEGES/ME nº 40/2020)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0"/>
                <w:szCs w:val="20"/>
              </w:rPr>
              <w:t xml:space="preserve">Obs.1:  O art. 8º, I da IN SEGES/ME nº 40/2020 estabelece que é facultada a elaboração dos Estudos Preliminares nas hipóteses dos incisos I, II, III, IV e XI do art. 24 da Lei nº 8.666, de 21 de junho de 1993.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0"/>
                <w:szCs w:val="20"/>
              </w:rPr>
              <w:t>Obs.2:  Nas contratações que utilizam especificações padronizadas estabelecidos nos Cadernos de Logística divulgados pela Secretaria de Gestão, poderão ser produzidos somente os element</w:t>
            </w:r>
            <w:bookmarkStart w:id="1" w:name="_GoBack"/>
            <w:bookmarkEnd w:id="1"/>
            <w:r>
              <w:rPr>
                <w:rFonts w:cs="Calibri" w:cstheme="minorHAnsi"/>
                <w:color w:val="FF0000"/>
                <w:sz w:val="20"/>
                <w:szCs w:val="20"/>
              </w:rPr>
              <w:t>os que não forem estabelecidos como padrão (art. 7º, §3º da IN SEGES/ME nº 40/2020)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06/12</w:t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B050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4.1. Os estudos desenvolvidos atenderam a todas as exigências do art. 7º da IN SEGES 40/2020? 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4.2. A não previsão, nos estudos preliminares, de qualquer dos conteúdos do art. 7º da IN SEGES/ME nº 40/2020 foi devidamente justificada no próprio documento? (art. 7º, §2º, da IN SEGES/ME nº 40/2020)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  <w:highlight w:val="yellow"/>
              </w:rPr>
              <w:t xml:space="preserve">4.3. </w:t>
            </w:r>
            <w:r>
              <w:rPr>
                <w:rStyle w:val="Eop"/>
                <w:sz w:val="20"/>
                <w:szCs w:val="20"/>
                <w:highlight w:val="yellow"/>
              </w:rPr>
              <w:t>Consta a aprovação do Estudo Técnico Preliminar pela autoridade competente? (art. 14, inciso II, do Decreto n.º 10.024/19)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5. Foi elaborado e junto aos autos o Mapa de Riscos previsto no art. 26, §1º, incisos I e II, de acordo com o modelo do anexo IV da IN/SEGES 5/2017? (arts. 20 e 26 da IN/SEGES 5/2017)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0"/>
                <w:szCs w:val="20"/>
              </w:rPr>
              <w:t>Obs.:  O §2º do artigo 20 da IN 05/2017 estabelece que ficam dispensadas</w:t>
            </w:r>
            <w:r>
              <w:rPr>
                <w:rFonts w:cs="Calibri"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FF0000"/>
                <w:sz w:val="20"/>
                <w:szCs w:val="20"/>
              </w:rPr>
              <w:t xml:space="preserve">da elaboração do mapa de riscos, na fase de planejamento da contratação, as contratações de serviços cujos valores se enquadrem nos limites dos incisos I e II do art. 24 da Lei nº 8.666, de 1993. 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1</w:t>
            </w:r>
            <w:r>
              <w:rPr>
                <w:rFonts w:cs="Calibri" w:cstheme="minorHAnsi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Style w:val="Eop"/>
                <w:rFonts w:cs="Calibri" w:cstheme="minorHAnsi"/>
                <w:sz w:val="20"/>
                <w:szCs w:val="20"/>
              </w:rPr>
              <w:t>5.1. O mapa confeccionado atende às exigências do art. 25 da IN/SEGES 5/2017?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Style w:val="Eop"/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5.2. No caso de serviços </w:t>
            </w:r>
            <w:r>
              <w:rPr>
                <w:rFonts w:cs="Calibri" w:cstheme="minorHAnsi"/>
                <w:b/>
                <w:sz w:val="20"/>
                <w:szCs w:val="20"/>
              </w:rPr>
              <w:t>com regime de dedicação exclusiva de mão de obra</w:t>
            </w:r>
            <w:r>
              <w:rPr>
                <w:rFonts w:cs="Calibri" w:cstheme="minorHAnsi"/>
                <w:sz w:val="20"/>
                <w:szCs w:val="20"/>
              </w:rPr>
              <w:t xml:space="preserve"> foi contemplado, no mapa de riscos, o risco de descumprimento das obrigações trabalhistas, previdenciárias e com FGTS da contratada? (art. 18, §1º, IN/SEGES 5/2017)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N.A.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Paragraph"/>
              <w:spacing w:lineRule="auto" w:line="240" w:beforeAutospacing="0" w:before="0" w:afterAutospacing="0" w:after="0"/>
              <w:jc w:val="both"/>
              <w:textAlignment w:val="baseline"/>
              <w:rPr>
                <w:rStyle w:val="Eop"/>
                <w:rFonts w:cs="Calibri" w:cstheme="minorHAnsi"/>
              </w:rPr>
            </w:pPr>
            <w:r>
              <w:rPr>
                <w:rStyle w:val="Eop"/>
                <w:rFonts w:cs="Calibri" w:ascii="Calibri" w:hAnsi="Calibri" w:asciiTheme="minorHAnsi" w:cstheme="minorHAnsi" w:hAnsiTheme="minorHAnsi"/>
                <w:sz w:val="20"/>
                <w:szCs w:val="20"/>
              </w:rPr>
              <w:t>5.2.1. Optou-se por uma das formas de controle interno previstas no §1º do art. 18 da IN/SEGES 5/2017 (conta-depósito vinculada ou pagamento pelo fato gerador)?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N.A.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Paragraph"/>
              <w:spacing w:lineRule="auto" w:line="240" w:beforeAutospacing="0" w:before="0" w:afterAutospacing="0" w:after="0"/>
              <w:jc w:val="both"/>
              <w:textAlignment w:val="baseline"/>
              <w:rPr>
                <w:rStyle w:val="Eop"/>
                <w:rFonts w:ascii="Calibri" w:hAnsi="Calibri" w:cs="Calibri" w:asciiTheme="minorHAnsi" w:cstheme="minorHAnsi" w:hAnsiTheme="minorHAnsi"/>
              </w:rPr>
            </w:pPr>
            <w:r>
              <w:rPr>
                <w:rStyle w:val="Eop"/>
                <w:rFonts w:cs="Calibri" w:ascii="Calibri" w:hAnsi="Calibri" w:cstheme="minorHAnsi"/>
                <w:sz w:val="20"/>
                <w:szCs w:val="20"/>
              </w:rPr>
              <w:t xml:space="preserve">5.2.2. </w:t>
            </w:r>
            <w:r>
              <w:rPr>
                <w:rStyle w:val="Eop"/>
                <w:rFonts w:cs="Calibri" w:ascii="Calibri" w:hAnsi="Calibri" w:asciiTheme="minorHAnsi" w:cstheme="minorHAnsi" w:hAnsiTheme="minorHAnsi"/>
                <w:sz w:val="20"/>
                <w:szCs w:val="20"/>
              </w:rPr>
              <w:t>Justificou a opção na forma do §2º do mesmo artigo 18?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N.A.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Paragraph"/>
              <w:spacing w:lineRule="auto" w:line="240" w:beforeAutospacing="0" w:before="0" w:afterAutospacing="0" w:after="0"/>
              <w:jc w:val="both"/>
              <w:textAlignment w:val="baseline"/>
              <w:rPr>
                <w:rStyle w:val="Eop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6. O Termo de Referência ou Projeto Básico elaborado pelo setor requisitante baseou-se nos Estudos Técnicos Preliminares, Gerenciamento de Riscos e Diretrizes constantes do Anexo V, da IN 5/2017?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en-US"/>
              </w:rPr>
              <w:t>(art. 3º, XI do Decreto 10.024/19, art. 27 e 28, §2º, IN/SEGES 05/2017)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14/17</w:t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Style w:val="Eop"/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6.1. Foram utilizados os modelos de minutas padronizadas de Termo de Referência da Advocacia-Geral da União, observadas as diretrizes dispostas no Anexo V da </w:t>
            </w:r>
            <w:r>
              <w:rPr>
                <w:rFonts w:cs="Calibri" w:cstheme="minorHAnsi"/>
                <w:sz w:val="20"/>
                <w:szCs w:val="20"/>
                <w:lang w:val="en-US"/>
              </w:rPr>
              <w:t xml:space="preserve">IN/SEGES 05/2017? 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Não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Modelo Padrão do Manual de Licitações do IFSertãoPE, pois não há específico da AGU</w:t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6.1.1. Foram justificadas e destacadas visualmente, no processo, eventuais alterações ou não utilização do modelo de termo de referência da AGU?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N.A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Style w:val="Eop"/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7. Foram observadas as orientações dos Cadernos de Logística expedidos pela Secretaria de Gestão do Ministério da Economia, no que couber? (art. 29, IN/SEGES 05/2017) 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N.A.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Paragraph"/>
              <w:spacing w:lineRule="auto" w:line="240" w:beforeAutospacing="0" w:before="0" w:afterAutospacing="0" w:after="0"/>
              <w:jc w:val="both"/>
              <w:textAlignment w:val="baseline"/>
              <w:rPr>
                <w:rStyle w:val="Eop"/>
                <w:rFonts w:ascii="Calibri" w:hAnsi="Calibri" w:cs="Calibri" w:asciiTheme="minorHAnsi" w:cstheme="minorHAnsi" w:hAnsiTheme="minorHAnsi"/>
              </w:rPr>
            </w:pPr>
            <w:r>
              <w:rPr>
                <w:rStyle w:val="Eop"/>
                <w:rFonts w:ascii="Calibri" w:hAnsi="Calibri" w:asciiTheme="minorHAnsi" w:hAnsiTheme="minorHAnsi"/>
                <w:sz w:val="20"/>
                <w:szCs w:val="20"/>
              </w:rPr>
              <w:t>8. Houve consulta ao “Guia Nacional de Licitações Sustentáveis”, da CGU/AGU, com manifestação sobre práticas e/ou critérios de sustentabilidade economicamente viáveis adotados na contratação? (IN SLTI/MP nº 1/2010, art. 5º)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N.A.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Paragraph"/>
              <w:spacing w:lineRule="auto" w:line="240" w:beforeAutospacing="0" w:before="0" w:afterAutospacing="0" w:after="0"/>
              <w:jc w:val="both"/>
              <w:textAlignment w:val="baseline"/>
              <w:rPr>
                <w:rStyle w:val="Eop"/>
                <w:rFonts w:ascii="Calibri" w:hAnsi="Calibri" w:cs="Calibri" w:asciiTheme="minorHAnsi" w:cstheme="minorHAnsi" w:hAnsiTheme="minorHAnsi"/>
              </w:rPr>
            </w:pPr>
            <w:r>
              <w:rPr>
                <w:rStyle w:val="Eop"/>
                <w:rFonts w:cs="Calibri" w:ascii="Calibri" w:hAnsi="Calibri" w:asciiTheme="minorHAnsi" w:cstheme="minorHAnsi" w:hAnsiTheme="minorHAnsi"/>
                <w:sz w:val="20"/>
                <w:szCs w:val="20"/>
              </w:rPr>
              <w:t>9.  Consta a aprovação do termo de referência ou do projeto básico pela autoridade competente? (art. 14, II, do Decreto 10.024/19; art. 7º, §2º, I da Lei 8.666/93)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17</w:t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Style w:val="Eop"/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10. Constam estimativas detalhadas dos preços, com ampla pesquisa de mercado nos termos das Instruções Normativas SLTI/MP nº 5/2014 ou SEGES/ME nº 73/2020  (art. 3º, III, da Lei nº 10.520/02, art. 3º, XI, “a”, “2” do Decreto 10.024/19 e arts. 15, III,  43, IV da Lei nº 8.666/93, art. 7º, inc. V e VI da IN SEGES/ME nº 40/2020,  e art. 30, inc. X, da IN/SEGES nº 5/2017)?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N.A.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10.1 Consta manifestação da área técnica com análise dos preços obtidos na pesquisa (art. 2º, §§ 1º a 6º da IN 5, de 2014)?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22/23</w:t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10.2 No caso de </w:t>
            </w:r>
            <w:r>
              <w:rPr>
                <w:rFonts w:cs="Calibri" w:cstheme="minorHAnsi"/>
                <w:b/>
                <w:sz w:val="20"/>
                <w:szCs w:val="20"/>
              </w:rPr>
              <w:t>serviços com dedicação exclusiva de mão de obra</w:t>
            </w:r>
            <w:r>
              <w:rPr>
                <w:rFonts w:cs="Calibri" w:cstheme="minorHAnsi"/>
                <w:sz w:val="20"/>
                <w:szCs w:val="20"/>
              </w:rPr>
              <w:t>, consta planilha de formação de preços nos termos do subitem 2.9, “b” do Anexo V da IN SEGES/MP nº 5/2017?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N.A.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11. Tratando-se de atividade de custeio, foi observado o art. 3º do Decreto 10.193 c/c art. 3º da Portaria MP nº 249/2012?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12. Consta indicação do recurso orçamentário próprio para a despesa e da respectiva rubrica, caso não seja SRP? (art. 8º, IV, do Decreto 10.024/19 e arts. 7º, § 2º, III, 14 e 38, caput, da Lei 8.666/93)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Sim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82/83</w:t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0"/>
                <w:szCs w:val="20"/>
                <w:lang w:eastAsia="en-US"/>
              </w:rPr>
              <w:t>12.1. Se for o caso, consta a estimativa do impacto orçamentário financeiro da despesa prevista no art. 16, inc. I da LC 101/2000 e a declaração prevista no art. 16, II do mesmo diploma na hipótese da despesa incidir no caput do art. 16? (ON/AGU 52/2014)</w:t>
            </w:r>
          </w:p>
          <w:p>
            <w:pPr>
              <w:pStyle w:val="Normal"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  <w:color w:val="FF0000"/>
                <w:sz w:val="20"/>
                <w:szCs w:val="20"/>
              </w:rPr>
              <w:t>Obs. 1: ON AGU 52: “</w:t>
            </w:r>
            <w:r>
              <w:rPr>
                <w:rFonts w:cs="Calibri" w:cstheme="minorHAnsi"/>
                <w:i/>
                <w:color w:val="FF0000"/>
                <w:sz w:val="20"/>
                <w:szCs w:val="20"/>
              </w:rPr>
              <w:t>As despesas ordinárias e rotineiras da administração, já previstas no orçamento e destinadas à manutenção das ações governamentais preexistentes, dispensam as exigências previstas nos incisos I e II do art. 16 da Lei Complementar 101, de 2000</w:t>
            </w:r>
            <w:r>
              <w:rPr>
                <w:rFonts w:cs="Calibri" w:cstheme="minorHAnsi"/>
                <w:color w:val="FF0000"/>
                <w:sz w:val="20"/>
                <w:szCs w:val="20"/>
              </w:rPr>
              <w:t>.”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N.A.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0"/>
                <w:szCs w:val="20"/>
                <w:lang w:eastAsia="en-US"/>
              </w:rPr>
              <w:t>13. Foram utilizados os modelos padronizados de instrumentos contratuais da Advocacia-Geral União? (Art. 34 da IN SEGES/MP nº 5/2017).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NÃO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0"/>
                <w:szCs w:val="20"/>
                <w:lang w:eastAsia="en-US"/>
              </w:rPr>
              <w:t xml:space="preserve">13.1. Eventuais alterações nos modelos ou sua não utilização foram devidamente justificadas no processo? </w:t>
            </w:r>
          </w:p>
        </w:tc>
        <w:tc>
          <w:tcPr>
            <w:tcW w:w="85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0"/>
                <w:szCs w:val="20"/>
              </w:rPr>
              <w:t>N.a</w:t>
            </w:r>
          </w:p>
        </w:tc>
        <w:tc>
          <w:tcPr>
            <w:tcW w:w="15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highlight w:val="yellow"/>
        </w:rPr>
      </w:pPr>
      <w:r>
        <w:rPr>
          <w:rFonts w:cs="Calibri" w:cstheme="minorHAnsi"/>
          <w:b/>
          <w:bCs/>
          <w:sz w:val="20"/>
          <w:szCs w:val="20"/>
          <w:highlight w:val="yellow"/>
        </w:rPr>
        <w:t>OBS.: Não consta nos modelos disponíveis pela AGU, opção específica para Inexigibilidade, dessa forma, conforme orientação do próprio check-list as demais seções foram retiradas.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tabs>
          <w:tab w:val="left" w:pos="6855" w:leader="none"/>
        </w:tabs>
        <w:rPr>
          <w:rFonts w:ascii="Calibri" w:hAnsi="Calibri"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tabs>
          <w:tab w:val="left" w:pos="6855" w:leader="none"/>
        </w:tabs>
        <w:spacing w:before="0" w:after="160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15"/>
        <w:szCs w:val="15"/>
      </w:rPr>
    </w:pPr>
    <w:r>
      <w:rPr>
        <w:sz w:val="15"/>
        <w:szCs w:val="15"/>
      </w:rPr>
      <w:t>Câmara Nacional de Modelos de Licitações e Contratos da Consultoria-Geral da União</w:t>
    </w:r>
  </w:p>
  <w:p>
    <w:pPr>
      <w:pStyle w:val="Rodap"/>
      <w:rPr>
        <w:sz w:val="15"/>
        <w:szCs w:val="15"/>
      </w:rPr>
    </w:pPr>
    <w:r>
      <w:rPr>
        <w:sz w:val="15"/>
        <w:szCs w:val="15"/>
      </w:rPr>
      <w:t>Modelo de Lista de Verificação de Contratações de Serviços em Geral</w:t>
    </w:r>
  </w:p>
  <w:p>
    <w:pPr>
      <w:pStyle w:val="Rodap"/>
      <w:rPr>
        <w:sz w:val="15"/>
        <w:szCs w:val="15"/>
      </w:rPr>
    </w:pPr>
    <w:r>
      <w:rPr>
        <w:sz w:val="15"/>
        <w:szCs w:val="15"/>
      </w:rPr>
      <w:t>Atualização: Dezembro/2020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pargrafoParecerChar" w:customStyle="1">
    <w:name w:val="L_parágrafo_Parecer Char"/>
    <w:basedOn w:val="CabealhoChar"/>
    <w:link w:val="LpargrafoParecer"/>
    <w:qFormat/>
    <w:rsid w:val="00b533f5"/>
    <w:rPr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533f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2cc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2c2ccc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2c2ccc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c2ccc"/>
    <w:rPr>
      <w:rFonts w:ascii="Segoe UI" w:hAnsi="Segoe UI" w:cs="Segoe UI"/>
      <w:sz w:val="18"/>
      <w:szCs w:val="18"/>
    </w:rPr>
  </w:style>
  <w:style w:type="character" w:styleId="LinkdaInternet">
    <w:name w:val="Link da Internet"/>
    <w:uiPriority w:val="99"/>
    <w:unhideWhenUsed/>
    <w:rsid w:val="00fe2a42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3833d5"/>
    <w:rPr/>
  </w:style>
  <w:style w:type="character" w:styleId="Eop" w:customStyle="1">
    <w:name w:val="eop"/>
    <w:basedOn w:val="DefaultParagraphFont"/>
    <w:qFormat/>
    <w:rsid w:val="003f3978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9d0901"/>
    <w:rPr>
      <w:color w:val="954F72" w:themeColor="followedHyperlink"/>
      <w:u w:val="single"/>
    </w:rPr>
  </w:style>
  <w:style w:type="character" w:styleId="RodapChar" w:customStyle="1">
    <w:name w:val="Rodapé Char"/>
    <w:basedOn w:val="DefaultParagraphFont"/>
    <w:link w:val="Rodap"/>
    <w:qFormat/>
    <w:rsid w:val="00a7282f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pargrafoParecer" w:customStyle="1">
    <w:name w:val="L_parágrafo_Parecer"/>
    <w:basedOn w:val="Cabealho"/>
    <w:link w:val="LpargrafoParecerChar"/>
    <w:autoRedefine/>
    <w:qFormat/>
    <w:rsid w:val="00b533f5"/>
    <w:pPr>
      <w:tabs>
        <w:tab w:val="left" w:pos="1418" w:leader="none"/>
      </w:tabs>
      <w:spacing w:before="0" w:after="240"/>
      <w:ind w:left="0" w:hanging="0"/>
      <w:jc w:val="both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533f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2c2cc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2c2ccc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c2c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457"/>
    <w:pPr>
      <w:spacing w:before="0" w:after="16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3833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a8060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LONormal" w:customStyle="1">
    <w:name w:val="LO-Normal"/>
    <w:qFormat/>
    <w:rsid w:val="005e4e8e"/>
    <w:pPr>
      <w:keepNext w:val="true"/>
      <w:widowControl w:val="false"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Droid Sans Fallback" w:cs="Lohit Hindi"/>
      <w:color w:val="00000A"/>
      <w:kern w:val="0"/>
      <w:sz w:val="24"/>
      <w:szCs w:val="24"/>
      <w:lang w:val="pt-BR" w:eastAsia="zh-CN" w:bidi="hi-IN"/>
    </w:rPr>
  </w:style>
  <w:style w:type="paragraph" w:styleId="Revision">
    <w:name w:val="Revision"/>
    <w:uiPriority w:val="99"/>
    <w:semiHidden/>
    <w:qFormat/>
    <w:rsid w:val="003d519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unhideWhenUsed/>
    <w:qFormat/>
    <w:rsid w:val="00bf39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CUEpgrafe" w:customStyle="1">
    <w:name w:val="TCU - Epígrafe"/>
    <w:basedOn w:val="Normal"/>
    <w:qFormat/>
    <w:rsid w:val="00be5308"/>
    <w:pPr>
      <w:spacing w:lineRule="auto" w:line="240" w:before="0" w:after="0"/>
      <w:ind w:left="2835" w:hanging="0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7282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c1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6" ma:contentTypeDescription="Create a new document." ma:contentTypeScope="" ma:versionID="e0a6417a0616bf881a651ea7ba4188e8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499979fcb82b6132cf3b34de9539001e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3434-6826-48FA-8994-647DE746A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5C077-44E2-4F55-94F6-5F0E7E0CAC1F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52c93ea8-e2de-466c-b401-d7fabeb9490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1846AF-4CB5-4900-856D-E862DB39D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D490D-C75E-4366-999E-8406A110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LibreOffice/5.4.7.2$Windows_X86_64 LibreOffice_project/c838ef25c16710f8838b1faec480ebba495259d0</Application>
  <Pages>3</Pages>
  <Words>1248</Words>
  <Characters>6399</Characters>
  <CharactersWithSpaces>7572</CharactersWithSpaces>
  <Paragraphs>92</Paragraphs>
  <Company>Banco Central do Brasil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2020-12-18T01:29:00Z</dcterms:created>
  <dc:creator>Leandro Sarai</dc:creator>
  <dc:description/>
  <dc:language>pt-BR</dc:language>
  <cp:lastModifiedBy/>
  <cp:lastPrinted>2021-12-29T12:06:10Z</cp:lastPrinted>
  <dcterms:modified xsi:type="dcterms:W3CDTF">2021-12-29T12:06:26Z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AuthorIds_UIVersion_1024">
    <vt:lpwstr>48</vt:lpwstr>
  </property>
  <property fmtid="{D5CDD505-2E9C-101B-9397-08002B2CF9AE}" pid="4" name="AuthorIds_UIVersion_512">
    <vt:lpwstr>44</vt:lpwstr>
  </property>
  <property fmtid="{D5CDD505-2E9C-101B-9397-08002B2CF9AE}" pid="5" name="Company">
    <vt:lpwstr>Banco Central do Brasil</vt:lpwstr>
  </property>
  <property fmtid="{D5CDD505-2E9C-101B-9397-08002B2CF9AE}" pid="6" name="ContentTypeId">
    <vt:lpwstr>0x01010012A2765E7DFD38469B2E626874CD0041</vt:lpwstr>
  </property>
  <property fmtid="{D5CDD505-2E9C-101B-9397-08002B2CF9AE}" pid="7" name="DocSecurity">
    <vt:i4>0</vt:i4>
  </property>
  <property fmtid="{D5CDD505-2E9C-101B-9397-08002B2CF9AE}" pid="8" name="HyperlinksChanged">
    <vt:bool>0</vt:bool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