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Unidades Demandantes: </w:t>
      </w:r>
      <w:r>
        <w:rPr>
          <w:rFonts w:cs="Times New Roman" w:ascii="Times New Roman" w:hAnsi="Times New Roman"/>
          <w:color w:val="00000A"/>
          <w:highlight w:val="white"/>
          <w:lang w:bidi="ar-SA"/>
        </w:rPr>
        <w:t>Reitoria e campis do IF Sertão PE</w:t>
      </w:r>
    </w:p>
    <w:p>
      <w:pPr>
        <w:pStyle w:val="Default"/>
        <w:spacing w:before="120" w:after="120"/>
        <w:rPr>
          <w:rFonts w:eastAsia="Times New Roman"/>
          <w:b/>
          <w:b/>
        </w:rPr>
      </w:pPr>
      <w:r>
        <w:rPr>
          <w:b/>
        </w:rPr>
        <w:t>Objeto</w:t>
      </w:r>
      <w:r>
        <w:rPr>
          <w:color w:val="00000A"/>
          <w:highlight w:val="white"/>
        </w:rPr>
        <w:t xml:space="preserve">: </w:t>
      </w:r>
      <w:r>
        <w:rPr>
          <w:rStyle w:val="Fontepargpadro"/>
          <w:rFonts w:cs="Arial"/>
          <w:b/>
          <w:bCs/>
          <w:color w:val="000000"/>
          <w:szCs w:val="20"/>
          <w:highlight w:val="white"/>
        </w:rPr>
        <w:t xml:space="preserve">Aquisição parcelada de Gás Liquefeito de Petróleo (GLP) </w:t>
      </w:r>
      <w:r>
        <w:rPr>
          <w:rFonts w:eastAsia="Arial"/>
          <w:bCs/>
        </w:rPr>
        <w:t xml:space="preserve"> para atender as necessidades dos campi do Instituto Federal de Educação, Ciência e Tecnologia do Sertão Pernambucano/IFSertãoPE</w:t>
      </w:r>
    </w:p>
    <w:p>
      <w:pPr>
        <w:pStyle w:val="LOnormal"/>
        <w:spacing w:lineRule="auto" w:line="360" w:before="120" w:after="12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360"/>
        <w:jc w:val="center"/>
        <w:rPr/>
      </w:pPr>
      <w:r>
        <w:rPr>
          <w:b/>
        </w:rPr>
        <w:t>Análise Administrativa e Institucional</w:t>
      </w:r>
      <w:r>
        <w:rPr>
          <w:b/>
          <w:color w:val="000000"/>
        </w:rPr>
        <w:t xml:space="preserve"> nº </w:t>
      </w:r>
      <w:r>
        <w:rPr>
          <w:b/>
          <w:color w:val="000000"/>
          <w:highlight w:val="yellow"/>
        </w:rPr>
        <w:t>xx</w:t>
      </w:r>
      <w:r>
        <w:rPr>
          <w:b/>
          <w:color w:val="000000"/>
        </w:rPr>
        <w:t>/2022/PROAD/Reitoria/IF Sertão-PE</w:t>
      </w:r>
    </w:p>
    <w:p>
      <w:pPr>
        <w:pStyle w:val="LOnormal"/>
        <w:spacing w:lineRule="auto" w:line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Normal"/>
        <w:tblW w:w="95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66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113" w:after="0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pt-BR" w:eastAsia="zh-CN" w:bidi="hi-IN"/>
              </w:rPr>
              <w:t>I – RELATÓRIO</w:t>
            </w:r>
          </w:p>
        </w:tc>
      </w:tr>
    </w:tbl>
    <w:p>
      <w:pPr>
        <w:pStyle w:val="LOnormal"/>
        <w:widowControl/>
        <w:spacing w:before="284" w:after="228"/>
        <w:ind w:left="227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>1. Trata-se da análise da viabilidade administrativa e institucional a ser realizada sob a perspectiva de probabilidade e impacto de ocorrência da aquisição pretendida, considerando os elementos essenciais que servirão para compor o termo de referência ou projeto básico com base na oficialização da demanda e estudo técnico preliminar.</w:t>
      </w:r>
    </w:p>
    <w:p>
      <w:pPr>
        <w:pStyle w:val="LOnormal"/>
        <w:ind w:left="22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2. Para análise da viabilidade da aquisição serão considerados dentre outros elementos que compõem o planejamento inicial da aquisição a </w:t>
      </w:r>
      <w:r>
        <w:rPr>
          <w:rFonts w:cs="Times New Roman" w:ascii="Times New Roman" w:hAnsi="Times New Roman"/>
          <w:b/>
          <w:color w:val="000000"/>
        </w:rPr>
        <w:t>justificativa da necessidade, estimativa da quantidade com a respectiva memória de cálculo e a estimativa de preços (preços referenciais).</w:t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ind w:left="720" w:hanging="0"/>
        <w:jc w:val="both"/>
        <w:rPr/>
      </w:pPr>
      <w:r>
        <w:rPr>
          <w:rFonts w:cs="Times New Roman" w:ascii="Times New Roman" w:hAnsi="Times New Roman"/>
          <w:b/>
        </w:rPr>
        <w:t xml:space="preserve">2.1 </w:t>
      </w:r>
      <w:r>
        <w:rPr>
          <w:rFonts w:cs="Times New Roman" w:ascii="Times New Roman" w:hAnsi="Times New Roman"/>
        </w:rPr>
        <w:t>A partir desses elementos e outros presentes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na </w:t>
      </w:r>
      <w:r>
        <w:rPr>
          <w:rFonts w:cs="Times New Roman" w:ascii="Times New Roman" w:hAnsi="Times New Roman"/>
          <w:b/>
        </w:rPr>
        <w:t>consolidação da demanda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b/>
        </w:rPr>
        <w:t xml:space="preserve">estudo técnico preliminar e no termo de referência </w:t>
      </w:r>
      <w:r>
        <w:rPr>
          <w:rFonts w:cs="Times New Roman" w:ascii="Times New Roman" w:hAnsi="Times New Roman"/>
        </w:rPr>
        <w:t>será possível definir a</w:t>
      </w:r>
      <w:r>
        <w:rPr>
          <w:rFonts w:cs="Times New Roman" w:ascii="Times New Roman" w:hAnsi="Times New Roman"/>
          <w:b/>
        </w:rPr>
        <w:t xml:space="preserve"> modalidade da licitação, critério de julgamento, modo de disputa, valor estimado ou máximo aceitável, </w:t>
      </w:r>
      <w:r>
        <w:rPr>
          <w:rFonts w:cs="Times New Roman" w:ascii="Times New Roman" w:hAnsi="Times New Roman"/>
        </w:rPr>
        <w:t>com também se o</w:t>
      </w:r>
      <w:r>
        <w:rPr>
          <w:rFonts w:cs="Times New Roman" w:ascii="Times New Roman" w:hAnsi="Times New Roman"/>
          <w:b/>
        </w:rPr>
        <w:t xml:space="preserve"> valor referencial deve ou não constar expressamente do edital.</w:t>
      </w:r>
    </w:p>
    <w:p>
      <w:pPr>
        <w:pStyle w:val="LOnormal"/>
        <w:jc w:val="both"/>
        <w:rPr/>
      </w:pPr>
      <w:r>
        <w:rPr>
          <w:b/>
          <w:color w:val="FF3333"/>
        </w:rPr>
        <w:t xml:space="preserve"> </w:t>
      </w:r>
    </w:p>
    <w:tbl>
      <w:tblPr>
        <w:tblStyle w:val="TableNormal"/>
        <w:tblW w:w="95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BC96" w:themeFill="background2" w:themeFillShade="bf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57" w:after="57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val="pt-BR" w:eastAsia="zh-CN" w:bidi="hi-IN"/>
              </w:rPr>
              <w:t>II – DA ANÁLISE</w:t>
            </w:r>
          </w:p>
        </w:tc>
      </w:tr>
    </w:tbl>
    <w:p>
      <w:pPr>
        <w:pStyle w:val="LOnormal"/>
        <w:spacing w:lineRule="auto" w:line="360" w:before="57" w:after="57"/>
        <w:ind w:left="22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II.1 Justificativa da Necessidade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3. Especificamente no que toca ao procedimento licitatório na </w:t>
      </w:r>
      <w:r>
        <w:rPr>
          <w:rFonts w:eastAsia="Times New Roman" w:cs="Times New Roman" w:ascii="Times New Roman" w:hAnsi="Times New Roman"/>
          <w:b/>
          <w:color w:val="000000"/>
          <w:u w:val="single"/>
        </w:rPr>
        <w:t>modalidade de pregão</w:t>
      </w:r>
      <w:r>
        <w:rPr>
          <w:rFonts w:eastAsia="Times New Roman" w:cs="Times New Roman" w:ascii="Times New Roman" w:hAnsi="Times New Roman"/>
          <w:color w:val="000000"/>
        </w:rPr>
        <w:t>, o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art. 3º, inciso I, da Lei nº 10.520/02 </w:t>
      </w:r>
      <w:r>
        <w:rPr>
          <w:rFonts w:cs="Times New Roman" w:ascii="Times New Roman" w:hAnsi="Times New Roman"/>
        </w:rPr>
        <w:t>impõe</w:t>
      </w:r>
      <w:r>
        <w:rPr>
          <w:rFonts w:eastAsia="Times New Roman" w:cs="Times New Roman" w:ascii="Times New Roman" w:hAnsi="Times New Roman"/>
          <w:color w:val="000000"/>
        </w:rPr>
        <w:t xml:space="preserve"> expressamente a obrigatoriedade de justificar a necessidade da contratação/aquisição, assim como a </w:t>
      </w:r>
      <w:r>
        <w:rPr>
          <w:rFonts w:eastAsia="Times New Roman" w:cs="Times New Roman" w:ascii="Times New Roman" w:hAnsi="Times New Roman"/>
          <w:b/>
          <w:color w:val="000000"/>
        </w:rPr>
        <w:t>IN nº 5, de 26 de maio de 2017 – SEGES/MPDG</w:t>
      </w:r>
      <w:r>
        <w:rPr>
          <w:rFonts w:eastAsia="Times New Roman" w:cs="Times New Roman" w:ascii="Times New Roman" w:hAnsi="Times New Roman"/>
          <w:color w:val="000000"/>
        </w:rPr>
        <w:t>, que dispõe sobre a contratação de serviços por órgãos ou entidades integrantes do Sistema de Serviços Gerais – SISG, estabelece diretrizes para a justificativa da necessidade da contratação de serviços.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 Segundo Súmula 177 TCU o objeto da contratação deve estar no instrumento convocatório com a descrição de forma precisa e suficiente, de modo a evitar o apontamento de elementos desnecessários ou irrelevantes ao uso que a Administração pretende dar a tal objeto. Vejamos: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94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SÚMULA 177 - A definição precisa e suficiente do objeto licitado constitui regra indispensável da competição, até mesmo como pressuposto do postulado de igualdade entre os licitantes, do qual é subsidiário o princípio da publicidade, que envolve o conhecimento, pelos concorrentes potenciais das condições básicas da licitação, constituindo, na hipótese particular da licitação para compra, a quantidade demandada em uma das especificações mínimas e essenciais à definição do objeto do pregão.</w:t>
      </w:r>
    </w:p>
    <w:p>
      <w:pPr>
        <w:pStyle w:val="LOnormal"/>
        <w:widowControl/>
        <w:ind w:left="94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5. Em razão de tal necessidade, para que seja possível averiguar se estão presentes tais requisitos imprescindíveis à descrição do objeto, é preciso que a Administração demonstre no procedimento as razões pelas quais precisa do objeto e o porquê das especificações técnicas apresentadas e da quantidade solicitada.</w:t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6. Não por outra razão, o caput do art. 2º da Lei nº 9.784/99, que regula o processo administrativo no âmbito federal, determina a observância do princípio da motivação, e o inciso II do p. único do mesmo dispositivo fixa a necessidade de indicação dos pressupostos de fato e de direito que determinarem a decisão da autoridade administrativa.</w:t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 A justificativa deve demonstrar a necessidade da contratação, normalmente respondendo-se a razão pela qual o bem ou serviço é necessário para que o órgão possa desempenhar suas atividades.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</w:rPr>
        <w:t>8.</w:t>
      </w:r>
      <w:r>
        <w:rPr>
          <w:rFonts w:eastAsia="Times New Roman" w:cs="Times New Roman" w:ascii="Times New Roman" w:hAnsi="Times New Roman"/>
          <w:color w:val="000000"/>
        </w:rPr>
        <w:t xml:space="preserve"> A justificativa, em regra, deve ser apresentada pelo setor demandante. Quando o objeto possuir características técnicas especializadas, deve o setor demandante solicitar a unidade técnica competente (Diretoria de Obras ou de TI, por exemplo) a definição das suas especificações, e, se for o caso, do quantitativo a ser adquirido.</w:t>
      </w:r>
    </w:p>
    <w:p>
      <w:pPr>
        <w:pStyle w:val="LOnormal"/>
        <w:widowControl/>
        <w:spacing w:before="114" w:after="114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>9. No presente caso, os campi justificaram a necessidade da aquisição, conforme   constam no Tópico 2 dos Estudos Técnicos Preliminares, como também no Documento de Consolidação da Demanda dos campi participantes e presentes no Processo.</w:t>
      </w:r>
    </w:p>
    <w:p>
      <w:pPr>
        <w:pStyle w:val="LOnormal"/>
        <w:widowControl/>
        <w:spacing w:before="114" w:after="114"/>
        <w:ind w:left="720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>9.1 Na identificação da necessidade, a justificativa da contratação com exposição da sua motivação e dos benefícios dela resultantes, foi retratada especificamente neste Tópico, como também por cada uma das Unidades do IF Sertão – PE presente nos documentos de Consolidação das Demandas de acordo com a obrigatoriedade imposta pela legislação em vigor.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FF3333"/>
        </w:rPr>
      </w:pPr>
      <w:r>
        <w:rPr>
          <w:rFonts w:eastAsia="Times New Roman" w:cs="Times New Roman" w:ascii="Times New Roman" w:hAnsi="Times New Roman"/>
          <w:color w:val="FF3333"/>
        </w:rPr>
      </w:r>
    </w:p>
    <w:p>
      <w:pPr>
        <w:pStyle w:val="LOnormal"/>
        <w:spacing w:lineRule="auto" w:line="360"/>
        <w:ind w:left="28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II.2.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Estimativa da Quantidade (Memória de Cálculo)</w:t>
      </w:r>
    </w:p>
    <w:p>
      <w:pPr>
        <w:pStyle w:val="LOnormal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</w:t>
      </w:r>
      <w:r>
        <w:rPr>
          <w:rFonts w:cs="Times New Roman" w:ascii="Times New Roman" w:hAnsi="Times New Roman"/>
          <w:color w:val="000000"/>
        </w:rPr>
        <w:t>. A Administração deverá observar o disposto no art. 15, §7º, II, da Lei nº 8.666/93,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etc.).</w:t>
      </w:r>
    </w:p>
    <w:p>
      <w:pPr>
        <w:pStyle w:val="LOnormal"/>
        <w:spacing w:lineRule="auto" w:line="36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 </w:t>
      </w:r>
    </w:p>
    <w:p>
      <w:pPr>
        <w:pStyle w:val="LOnormal"/>
        <w:spacing w:lineRule="auto" w:line="276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</w:t>
      </w:r>
      <w:r>
        <w:rPr>
          <w:rFonts w:cs="Times New Roman" w:ascii="Times New Roman" w:hAnsi="Times New Roman"/>
          <w:color w:val="000000"/>
        </w:rPr>
        <w:t>. Para se justificar a quantidade que se pretende adquirir/contratar é necessário estabelecer parâmetros que vão demonstrar previamente, de maneira metódica e didática, através de memória de cálculo detalhada, a demanda que tendam o órgão.</w:t>
      </w:r>
    </w:p>
    <w:p>
      <w:pPr>
        <w:pStyle w:val="LOnormal"/>
        <w:spacing w:lineRule="auto" w:line="276"/>
        <w:ind w:left="283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 xml:space="preserve">12. No presente caso, os quantitativos foram estabelecidos na Memória de Cálculo emitida por Setor das Unidades do IFSertãoPE, fazendo constar no </w:t>
      </w:r>
      <w:r>
        <w:rPr>
          <w:rFonts w:eastAsia="Times New Roman" w:cs="Times New Roman" w:ascii="Times New Roman" w:hAnsi="Times New Roman"/>
          <w:color w:val="FF3333"/>
          <w:u w:val="single"/>
        </w:rPr>
        <w:t>Sistema de Controle de Aquisição de Bens e Serviços – SICABS</w:t>
      </w:r>
      <w:r>
        <w:rPr>
          <w:rFonts w:eastAsia="Times New Roman" w:cs="Times New Roman" w:ascii="Times New Roman" w:hAnsi="Times New Roman"/>
          <w:color w:val="FF3333"/>
        </w:rPr>
        <w:t xml:space="preserve">. Os quantitativos estimados, segundo a memória de cálculo, foram baseados no </w:t>
      </w:r>
      <w:r>
        <w:rPr>
          <w:rFonts w:eastAsia="Times New Roman" w:cs="Times New Roman" w:ascii="Times New Roman" w:hAnsi="Times New Roman"/>
          <w:color w:val="000000"/>
        </w:rPr>
        <w:t xml:space="preserve">consumo do exercício anterior, </w:t>
      </w:r>
      <w:r>
        <w:rPr>
          <w:rFonts w:eastAsia="Times New Roman" w:cs="Times New Roman" w:ascii="Times New Roman" w:hAnsi="Times New Roman"/>
          <w:color w:val="FF3333"/>
        </w:rPr>
        <w:t>visando atender as demandas relacionadas as atividades rotineiras institucionais.</w:t>
      </w:r>
    </w:p>
    <w:p>
      <w:pPr>
        <w:pStyle w:val="LOnormal"/>
        <w:widowControl/>
        <w:jc w:val="both"/>
        <w:rPr>
          <w:rFonts w:ascii="Times New Roman" w:hAnsi="Times New Roman" w:eastAsia="Times New Roman" w:cs="Times New Roman"/>
          <w:b/>
          <w:b/>
          <w:color w:val="000000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  <w:u w:val="single"/>
        </w:rPr>
      </w:r>
    </w:p>
    <w:p>
      <w:pPr>
        <w:pStyle w:val="LOnormal"/>
        <w:widowControl/>
        <w:spacing w:lineRule="auto" w:line="360"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II.3. Estimativa de Preços (Preços Referenciais/Pesquisa de Preço)</w:t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</w:rPr>
        <w:t>13</w:t>
      </w:r>
      <w:r>
        <w:rPr>
          <w:rFonts w:eastAsia="Times New Roman" w:cs="Times New Roman" w:ascii="Times New Roman" w:hAnsi="Times New Roman"/>
          <w:color w:val="000000"/>
        </w:rPr>
        <w:t>. A ampla e adequada pesquisa de preços permite a correta estimativa do custo do objeto a ser adquirido/contratado em planilhas de quantitativos e preços unitários, define os recursos orçamentários suficientes para a cobertura das despesas e serve de balizamento para a análise das propostas dos licitantes, conforme dispõem o art. 7º, §2º, inciso II, o art. 15, inciso V, § 1º, o art. 40, §2º, inciso II, e o art. 43, incisos IV e V, todos da Lei nº 8.666/93.</w:t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</w:t>
      </w:r>
      <w:r>
        <w:rPr>
          <w:rFonts w:eastAsia="Times New Roman" w:cs="Times New Roman" w:ascii="Times New Roman" w:hAnsi="Times New Roman"/>
        </w:rPr>
        <w:t>4</w:t>
      </w:r>
      <w:r>
        <w:rPr>
          <w:rFonts w:eastAsia="Times New Roman" w:cs="Times New Roman" w:ascii="Times New Roman" w:hAnsi="Times New Roman"/>
          <w:color w:val="000000"/>
        </w:rPr>
        <w:t>. Nesse ponto, destaca-se a INSTRUÇÃO NORMATIVA Nº 73, DE 5 DE AGOSTO DE 2020, que dispõe sobre novos procedimentos administrativos para a realização de pesquisa de preços para a aquisição de bens e contratação de serviços em geral.</w:t>
      </w:r>
    </w:p>
    <w:p>
      <w:pPr>
        <w:pStyle w:val="LOnormal"/>
        <w:widowControl/>
        <w:spacing w:before="114" w:after="114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15. O TCU também se manifesta em relação ao assunto orientando que a Administração obtenha, no mínimo, três cotações válidas. Se não for possível, deve consignar a justificativa nos autos.</w:t>
      </w:r>
    </w:p>
    <w:p>
      <w:pPr>
        <w:pStyle w:val="LOnormal"/>
        <w:widowControl/>
        <w:spacing w:before="114" w:after="114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16. Insta destacar que as diligências concernentes à pesquisa de preços não se resumem à simples anexação de orçamentos das empresas nos autos, cabendo ao responsável a análise detida de cada proposta, não apenas sob seu aspecto formal (identificação da empresa, idoneidade, compatibilidade da sua finalidade social com o objeto da licitação, etc.), como do seu teor. É de bom alvitre alertar ao órgão para a importância da congruência entre os preços das propostas, considerando que eventuais valores desarrazoados ou evidentemente inexequíveis podem distorcer os resultados das pesquisas efetuadas, de maneira que cumprirá ao órgão o discernimento sobre os orçamentos efetivamente aptos a comporem a planilha de preços, podendo até serem excluídos aqueles demasiadamente discrepantes dos demais.</w:t>
      </w:r>
    </w:p>
    <w:p>
      <w:pPr>
        <w:pStyle w:val="LOnormal"/>
        <w:widowControl/>
        <w:spacing w:before="114" w:after="114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17. A Administração, quando da realização da pesquisa de preços deve considerar todas as variáveis correlacionadas, tais como as quantidades pretendidas, prazos e forma de entrega, propiciando que eventuais ganhos de escala advindos de grandes aquisições/contratações públicas, por exemplo, reflitam em</w:t>
      </w:r>
      <w:r>
        <w:rPr>
          <w:rFonts w:eastAsia="Times New Roman" w:cs="Times New Roman" w:ascii="Times New Roman" w:hAnsi="Times New Roman"/>
          <w:i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redução nos preços obtidos pelas cotações prévias ao certame.</w:t>
      </w:r>
    </w:p>
    <w:p>
      <w:pPr>
        <w:pStyle w:val="LOnormal"/>
        <w:tabs>
          <w:tab w:val="clear" w:pos="720"/>
          <w:tab w:val="left" w:pos="0" w:leader="none"/>
        </w:tabs>
        <w:ind w:left="283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18. No presente caso, ficou demonstrado nos autos que o Setor de Compras e Formação de Preços /DLIC/Reitoria concluiu </w:t>
      </w:r>
      <w:r>
        <w:rPr>
          <w:rFonts w:eastAsia="Times New Roman" w:cs="Times New Roman" w:ascii="Times New Roman" w:hAnsi="Times New Roman"/>
          <w:color w:val="000000"/>
          <w:shd w:fill="auto" w:val="clear"/>
        </w:rPr>
        <w:t>na d</w:t>
      </w:r>
      <w:r>
        <w:rPr>
          <w:rFonts w:eastAsia="Times New Roman" w:cs="Times New Roman" w:ascii="Times New Roman" w:hAnsi="Times New Roman"/>
          <w:color w:val="000000"/>
          <w:shd w:fill="auto" w:val="clear"/>
        </w:rPr>
        <w:t>ata de 12/07/2021 as pesquisas de preços, que foram a realizadas da seguinte forma:</w:t>
      </w:r>
    </w:p>
    <w:p>
      <w:pPr>
        <w:pStyle w:val="LOnormal"/>
        <w:tabs>
          <w:tab w:val="clear" w:pos="720"/>
          <w:tab w:val="left" w:pos="0" w:leader="none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1"/>
        </w:numPr>
        <w:spacing w:before="0" w:after="113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Preços de 01 a 0</w:t>
      </w:r>
      <w:r>
        <w:rPr>
          <w:rFonts w:eastAsia="Times New Roman" w:cs="Times New Roman" w:ascii="Times New Roman" w:hAnsi="Times New Roman"/>
          <w:b/>
          <w:bCs/>
          <w:color w:val="000000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</w:rPr>
        <w:t>:</w:t>
      </w:r>
      <w:r>
        <w:rPr>
          <w:rFonts w:eastAsia="Times New Roman" w:cs="Times New Roman" w:ascii="Times New Roman" w:hAnsi="Times New Roman"/>
          <w:color w:val="000000"/>
        </w:rPr>
        <w:t xml:space="preserve"> Sites da internet, preços públicos registrados e diretamente como os fornecedores</w:t>
      </w:r>
    </w:p>
    <w:p>
      <w:pPr>
        <w:pStyle w:val="LOnormal"/>
        <w:widowControl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spacing w:lineRule="auto" w:line="276"/>
        <w:ind w:left="34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1</w:t>
      </w:r>
      <w:r>
        <w:rPr>
          <w:rFonts w:eastAsia="Times New Roman" w:cs="Times New Roman" w:ascii="Times New Roman" w:hAnsi="Times New Roman"/>
          <w:b/>
        </w:rPr>
        <w:t>9</w:t>
      </w:r>
      <w:r>
        <w:rPr>
          <w:rFonts w:eastAsia="Times New Roman" w:cs="Times New Roman" w:ascii="Times New Roman" w:hAnsi="Times New Roman"/>
          <w:b/>
          <w:color w:val="000000"/>
        </w:rPr>
        <w:t>.</w:t>
      </w:r>
      <w:r>
        <w:rPr>
          <w:rFonts w:eastAsia="Times New Roman" w:cs="Times New Roman" w:ascii="Times New Roman" w:hAnsi="Times New Roman"/>
          <w:color w:val="000000"/>
        </w:rPr>
        <w:t xml:space="preserve"> Foi verificado que para a formação de preços foram utilizados os </w:t>
      </w:r>
      <w:r>
        <w:rPr>
          <w:rFonts w:eastAsia="Times New Roman" w:cs="Times New Roman" w:ascii="Times New Roman" w:hAnsi="Times New Roman"/>
        </w:rPr>
        <w:t xml:space="preserve">incisos </w:t>
      </w:r>
      <w:r>
        <w:rPr>
          <w:rStyle w:val="Fontepargpadro"/>
          <w:rFonts w:eastAsia="Arial" w:cs="Arial" w:ascii="Arial" w:hAnsi="Arial"/>
          <w:color w:val="000000"/>
          <w:sz w:val="22"/>
          <w:szCs w:val="22"/>
          <w:shd w:fill="FFFFFF" w:val="clear"/>
        </w:rPr>
        <w:t>I e II, do art 5º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do, IN nº 073, de 05/08/2020. Para elaboração do Relatório de Cotação, utilizou-se a ferramenta “Banco de Preços” (https://www.bancodeprecos.com.br/Account/LogIn?ReturnUrl=%2f), adquirido pelo IF Sertão-PE como parâmetro inicial na fase de cotação. Desta forma, buscou-se uma composição de cesta de preços mais próxima possível do valor estimado que melhor atendesse a disputa de lances e competitividade entre os licitantes durante o certame licitatório.</w:t>
      </w:r>
    </w:p>
    <w:p>
      <w:pPr>
        <w:pStyle w:val="LOnormal"/>
        <w:widowControl/>
        <w:ind w:left="34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spacing w:lineRule="auto" w:line="276" w:before="0" w:after="240"/>
        <w:ind w:left="426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20. Verificou-se t</w:t>
      </w:r>
      <w:r>
        <w:rPr>
          <w:rFonts w:eastAsia="Times New Roman" w:cs="Times New Roman" w:ascii="Times New Roman" w:hAnsi="Times New Roman"/>
          <w:color w:val="000000"/>
          <w:shd w:fill="auto" w:val="clear"/>
        </w:rPr>
        <w:t>ambém que foi adotada a média dos valores obtidos nas pesquisas de preços como metodologi</w:t>
      </w:r>
      <w:r>
        <w:rPr>
          <w:rFonts w:eastAsia="Times New Roman" w:cs="Times New Roman" w:ascii="Times New Roman" w:hAnsi="Times New Roman"/>
          <w:color w:val="000000"/>
          <w:shd w:fill="auto" w:val="clear"/>
        </w:rPr>
        <w:t>a para obtenção do preço de referência para a contratação</w:t>
      </w:r>
      <w:r>
        <w:rPr>
          <w:rFonts w:eastAsia="Times New Roman" w:cs="Times New Roman" w:ascii="Times New Roman" w:hAnsi="Times New Roman"/>
          <w:color w:val="000000"/>
          <w:shd w:fill="auto" w:val="clear"/>
        </w:rPr>
        <w:t>. Desta forma, buscou-se afastar preços excessivamente elevados e/ou inexequíveis, e o melhor pr</w:t>
      </w:r>
      <w:r>
        <w:rPr>
          <w:rFonts w:eastAsia="Times New Roman" w:cs="Times New Roman" w:ascii="Times New Roman" w:hAnsi="Times New Roman"/>
          <w:color w:val="000000"/>
        </w:rPr>
        <w:t>eço compatível para o objeto em disputa, em consonância com o artigo 6º, § 2º da IN nº 73/2020.</w:t>
      </w:r>
    </w:p>
    <w:p>
      <w:pPr>
        <w:pStyle w:val="LOnormal"/>
        <w:spacing w:lineRule="auto" w:line="276" w:before="0" w:after="240"/>
        <w:ind w:left="426" w:hanging="0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color w:val="C9211E"/>
        </w:rPr>
        <w:t>21. Diante do exposto, conclui-se que a pesquisa de preços e o orçamento estimado atende a todos os critérios exigidos na legislação, e ainda quanto aos seus aspectos formais identificação da empresa, idoneidade, compatibilidade da sua finalidade social com o objeto da licitação, constatando ainda que as empresas pesquisadas são do ramo pertinente à contratação desejada e sem que haja vínculo societário entre as empresas pesquisadas, ou seja, de acordo com o imposto no Acórdão nº 4.561/2010-1ª Câmara – TCU.</w:t>
      </w:r>
    </w:p>
    <w:p>
      <w:pPr>
        <w:pStyle w:val="LOnormal"/>
        <w:tabs>
          <w:tab w:val="clear" w:pos="720"/>
          <w:tab w:val="left" w:pos="1418" w:leader="none"/>
        </w:tabs>
        <w:spacing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tabs>
          <w:tab w:val="clear" w:pos="720"/>
          <w:tab w:val="left" w:pos="1418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II.4 Da Modalidade de Licitação e o Critério de Julgamento</w:t>
      </w:r>
    </w:p>
    <w:p>
      <w:pPr>
        <w:pStyle w:val="LOnormal"/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22. A natureza do objeto especificada no Termo de Referência é comum, tendo em vista que se consideram bens comuns, conforme disposto no artigo 1º, da Lei 10.520, de 2002, pois os padrões de desempenho e qualidade podem ser objetivamente definidos no edital, por meio de especificações usuais no mercado</w:t>
      </w:r>
      <w:r>
        <w:rPr>
          <w:rFonts w:cs="Times New Roman" w:ascii="Times New Roman" w:hAnsi="Times New Roman"/>
          <w:b/>
        </w:rPr>
        <w:t xml:space="preserve">.  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23. A aquisição dar-se-á através de Sistema de Registro de Preços – SRP, pois as ações estão enquadradas nas hipóteses do(s) incisos I, II e III do art. 3º do Decreto nº 7.892, ao passo que o IF Sertão Pernambucano e suas unidades tratam-se de unidades gerenciais distintas com contratações frequentes e entregas parceladas.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24. Considerando o exposto e com base nas definições na versão inicial do termo de referência e Estudo Técnico Preliminar 23/2021 e o exposto acima a modalidade a ser adotada para a realização desse certame licitatório deverá ser o </w:t>
      </w:r>
      <w:r>
        <w:rPr>
          <w:rFonts w:cs="Times New Roman" w:ascii="Times New Roman" w:hAnsi="Times New Roman"/>
          <w:b/>
        </w:rPr>
        <w:t>Pregão Eletrônico por Sistema de Registro de Preços – SRP.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25</w:t>
      </w:r>
      <w:r>
        <w:rPr>
          <w:rFonts w:cs="Times New Roman" w:ascii="Times New Roman" w:hAnsi="Times New Roman"/>
          <w:b/>
        </w:rPr>
        <w:t>.</w:t>
      </w:r>
      <w:r>
        <w:rPr>
          <w:rFonts w:cs="Times New Roman" w:ascii="Times New Roman" w:hAnsi="Times New Roman"/>
        </w:rPr>
        <w:t xml:space="preserve"> O critério de julgamento será o MENOR PREÇO por ITEM </w:t>
      </w:r>
      <w:r>
        <w:rPr>
          <w:rFonts w:cs="Times New Roman" w:ascii="Times New Roman" w:hAnsi="Times New Roman"/>
        </w:rPr>
        <w:t>E GRUPO</w:t>
      </w:r>
      <w:r>
        <w:rPr>
          <w:rFonts w:cs="Times New Roman" w:ascii="Times New Roman" w:hAnsi="Times New Roman"/>
        </w:rPr>
        <w:t xml:space="preserve">, </w:t>
      </w:r>
      <w:bookmarkStart w:id="0" w:name="gjdgxs"/>
      <w:bookmarkEnd w:id="0"/>
      <w:r>
        <w:rPr>
          <w:rFonts w:cs="Times New Roman" w:ascii="Times New Roman" w:hAnsi="Times New Roman"/>
        </w:rPr>
        <w:t xml:space="preserve">CONFORME subitem 1.5 do Termo de Referência,  </w:t>
      </w:r>
      <w:r>
        <w:rPr>
          <w:rFonts w:cs="Times New Roman" w:ascii="Times New Roman" w:hAnsi="Times New Roman"/>
        </w:rPr>
        <w:t>pois para a contratação em destaque a ficou bem definido o objeto e seus respectivos quantitativos.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b/>
          <w:b/>
          <w:color w:val="0000FF"/>
        </w:rPr>
      </w:pPr>
      <w:r>
        <w:rPr>
          <w:b/>
          <w:color w:val="0000FF"/>
        </w:rPr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II.5 Preço Estimado ou Preço Máximo Aceitável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26. Para a contratação do presente objeto, deverá ser adotado o </w:t>
      </w:r>
      <w:r>
        <w:rPr>
          <w:rFonts w:cs="Times New Roman" w:ascii="Times New Roman" w:hAnsi="Times New Roman"/>
          <w:b/>
        </w:rPr>
        <w:t>preço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máximo aceitável</w:t>
      </w:r>
      <w:r>
        <w:rPr>
          <w:rFonts w:cs="Times New Roman" w:ascii="Times New Roman" w:hAnsi="Times New Roman"/>
        </w:rPr>
        <w:t>, sendo que será desclassificada a proposta ou o lance vencedor com valor superior máximo estipulado pela administração no edital.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left="142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FF"/>
        </w:rPr>
        <w:br/>
        <w:t xml:space="preserve"> </w:t>
      </w:r>
      <w:r>
        <w:rPr>
          <w:rFonts w:cs="Times New Roman" w:ascii="Times New Roman" w:hAnsi="Times New Roman"/>
          <w:b/>
          <w:color w:val="000000"/>
        </w:rPr>
        <w:t>II.6 Modo de Disputa da Licitação</w:t>
      </w:r>
      <w:bookmarkStart w:id="1" w:name="_GoBack"/>
      <w:bookmarkEnd w:id="1"/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27. O modo de disputa para essa licitação será o </w:t>
      </w:r>
      <w:r>
        <w:rPr>
          <w:rFonts w:cs="Times New Roman" w:ascii="Times New Roman" w:hAnsi="Times New Roman"/>
          <w:b/>
        </w:rPr>
        <w:t>aberto e fechado</w:t>
      </w:r>
      <w:r>
        <w:rPr>
          <w:rFonts w:cs="Times New Roman" w:ascii="Times New Roman" w:hAnsi="Times New Roman"/>
        </w:rPr>
        <w:t>, tendo em vista a vantajosidade em termos de ganho de tempo na operacionalização do pregão, além de que o objeto a ser contratado é bastante amplo no mercado</w:t>
      </w:r>
      <w:r>
        <w:rPr>
          <w:rFonts w:cs="Times New Roman" w:ascii="Times New Roman" w:hAnsi="Times New Roman"/>
          <w:color w:val="0000FF"/>
        </w:rPr>
        <w:t>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Normal"/>
        <w:tblW w:w="95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66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114" w:after="114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val="pt-BR" w:eastAsia="zh-CN" w:bidi="hi-IN"/>
              </w:rPr>
              <w:t>III - CONCLUSÃO</w:t>
            </w:r>
          </w:p>
        </w:tc>
      </w:tr>
    </w:tbl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28. Ante o exposto, a proposição de </w:t>
      </w:r>
      <w:r>
        <w:rPr>
          <w:rStyle w:val="Fontepargpadro"/>
          <w:rFonts w:cs="Arial" w:ascii="Times New Roman" w:hAnsi="Times New Roman"/>
          <w:b/>
          <w:bCs/>
          <w:color w:val="000000"/>
          <w:szCs w:val="20"/>
          <w:highlight w:val="white"/>
        </w:rPr>
        <w:t>Aquisição parcelada de Gás Liquefeito de Petróleo (GLP)</w:t>
      </w:r>
      <w:r>
        <w:rPr>
          <w:rFonts w:eastAsia="Arial" w:cs="Times New Roman" w:ascii="Times New Roman" w:hAnsi="Times New Roman"/>
          <w:b/>
        </w:rPr>
        <w:t xml:space="preserve"> </w:t>
      </w:r>
      <w:r>
        <w:rPr>
          <w:rFonts w:eastAsia="Arial" w:cs="Times New Roman" w:ascii="Times New Roman" w:hAnsi="Times New Roman"/>
          <w:bCs/>
        </w:rPr>
        <w:t>para atender as necessidades dos campi</w:t>
      </w:r>
      <w:r>
        <w:rPr>
          <w:rFonts w:cs="Times New Roman" w:ascii="Times New Roman" w:hAnsi="Times New Roman"/>
          <w:b/>
          <w:color w:val="00000A"/>
          <w:highlight w:val="white"/>
        </w:rPr>
        <w:t xml:space="preserve"> </w:t>
      </w:r>
      <w:r>
        <w:rPr>
          <w:rFonts w:cs="Times New Roman" w:ascii="Times New Roman" w:hAnsi="Times New Roman"/>
          <w:color w:val="00000A"/>
          <w:highlight w:val="white"/>
        </w:rPr>
        <w:t>para atender as Unidades do Instituto Federal do Sertão Pernambucano – IF Sertão-PE</w:t>
      </w:r>
      <w:r>
        <w:rPr>
          <w:rFonts w:cs="Times New Roman" w:ascii="Times New Roman" w:hAnsi="Times New Roman"/>
          <w:b/>
          <w:color w:val="00000A"/>
          <w:highlight w:val="white"/>
        </w:rPr>
        <w:t xml:space="preserve"> </w:t>
      </w:r>
      <w:r>
        <w:rPr>
          <w:rFonts w:cs="Times New Roman" w:ascii="Times New Roman" w:hAnsi="Times New Roman"/>
          <w:b/>
          <w:color w:val="000000"/>
        </w:rPr>
        <w:t>é viável</w:t>
      </w:r>
      <w:r>
        <w:rPr>
          <w:rFonts w:cs="Times New Roman" w:ascii="Times New Roman" w:hAnsi="Times New Roman"/>
          <w:color w:val="000000"/>
        </w:rPr>
        <w:t>, uma vez que foram observados todos os pontos dispostos no presente relatório.</w:t>
      </w:r>
    </w:p>
    <w:p>
      <w:pPr>
        <w:pStyle w:val="LOnormal"/>
        <w:spacing w:before="228" w:after="228"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Petrolina - PE, _______ de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janeiro</w:t>
      </w:r>
      <w:r>
        <w:rPr>
          <w:rFonts w:cs="Times New Roman" w:ascii="Times New Roman" w:hAnsi="Times New Roman"/>
          <w:color w:val="000000"/>
        </w:rPr>
        <w:t xml:space="preserve"> de 202</w:t>
      </w:r>
      <w:r>
        <w:rPr>
          <w:rFonts w:cs="Times New Roman" w:ascii="Times New Roman" w:hAnsi="Times New Roman"/>
          <w:color w:val="000000"/>
        </w:rPr>
        <w:t>2</w:t>
      </w:r>
    </w:p>
    <w:p>
      <w:pPr>
        <w:pStyle w:val="LOnormal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spacing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</w:p>
    <w:p>
      <w:pPr>
        <w:pStyle w:val="LOnormal"/>
        <w:widowControl/>
        <w:spacing w:before="57" w:after="57"/>
        <w:jc w:val="center"/>
        <w:rPr/>
      </w:pPr>
      <w:r>
        <w:rPr>
          <w:b/>
        </w:rPr>
        <w:t>Pró-Reitor</w:t>
      </w:r>
      <w:r>
        <w:rPr>
          <w:b/>
        </w:rPr>
        <w:t>a</w:t>
      </w:r>
      <w:r>
        <w:rPr>
          <w:rFonts w:eastAsia="Times New Roman" w:cs="Times New Roman" w:ascii="Times New Roman" w:hAnsi="Times New Roman"/>
          <w:b/>
          <w:color w:val="000000"/>
        </w:rPr>
        <w:t xml:space="preserve"> de Orçamento e Administração-PROAD </w:t>
      </w:r>
      <w:r>
        <w:rPr>
          <w:rFonts w:eastAsia="Times New Roman" w:cs="Times New Roman" w:ascii="Times New Roman" w:hAnsi="Times New Roman"/>
          <w:b/>
          <w:color w:val="000000"/>
        </w:rPr>
        <w:t>em Exercício</w:t>
      </w:r>
    </w:p>
    <w:p>
      <w:pPr>
        <w:pStyle w:val="LOnormal"/>
        <w:widowControl/>
        <w:spacing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>IF Sertão PE/Reitoria</w:t>
      </w:r>
    </w:p>
    <w:p>
      <w:pPr>
        <w:pStyle w:val="LOnormal"/>
        <w:widowControl/>
        <w:tabs>
          <w:tab w:val="clear" w:pos="720"/>
          <w:tab w:val="left" w:pos="0" w:leader="none"/>
        </w:tabs>
        <w:spacing w:lineRule="auto" w:line="276" w:before="200" w:after="0"/>
        <w:ind w:left="144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27" w:right="1134" w:header="708" w:top="1134" w:footer="708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ourier New" w:hAnsi="Courier New" w:eastAsia="Courier New" w:cs="Courier New"/>
        <w:sz w:val="12"/>
        <w:szCs w:val="12"/>
      </w:rPr>
    </w:pPr>
    <w:r>
      <w:rPr>
        <w:rFonts w:eastAsia="Courier New" w:cs="Courier New" w:ascii="Courier New" w:hAnsi="Courier New"/>
        <w:sz w:val="12"/>
        <w:szCs w:val="12"/>
      </w:rPr>
    </w:r>
  </w:p>
  <w:p>
    <w:pPr>
      <w:pStyle w:val="LOnormal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right="49" w:hanging="0"/>
      <w:jc w:val="cent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2642870</wp:posOffset>
          </wp:positionH>
          <wp:positionV relativeFrom="paragraph">
            <wp:posOffset>-232410</wp:posOffset>
          </wp:positionV>
          <wp:extent cx="906780" cy="9112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LOnormal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REITORIA/PROAD</w:t>
    </w:r>
  </w:p>
  <w:p>
    <w:pPr>
      <w:pStyle w:val="LOnormal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DIRETORIA DE LICITAÇÕES- DLIC</w:t>
    </w:r>
  </w:p>
  <w:p>
    <w:pPr>
      <w:pStyle w:val="LOnormal"/>
      <w:spacing w:lineRule="auto" w:line="288"/>
      <w:jc w:val="center"/>
      <w:rPr>
        <w:rFonts w:ascii="Times New Roman" w:hAnsi="Times New Roman" w:eastAsia="Times New Roman" w:cs="Times New Roman"/>
        <w:b/>
        <w:b/>
        <w:color w:val="FF3333"/>
        <w:sz w:val="14"/>
        <w:szCs w:val="14"/>
      </w:rPr>
    </w:pPr>
    <w:r>
      <w:rPr>
        <w:rFonts w:eastAsia="Times New Roman" w:cs="Times New Roman" w:ascii="Times New Roman" w:hAnsi="Times New Roman"/>
        <w:b/>
        <w:color w:val="FF3333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Default" w:customStyle="1">
    <w:name w:val="Default"/>
    <w:qFormat/>
    <w:rsid w:val="001805c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LibreOffice/7.0.6.2$Windows_X86_64 LibreOffice_project/144abb84a525d8e30c9dbbefa69cbbf2d8d4ae3b</Application>
  <AppVersion>15.0000</AppVersion>
  <Pages>5</Pages>
  <Words>1775</Words>
  <Characters>9857</Characters>
  <CharactersWithSpaces>11600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2021-06-16T17:52:00Z</dcterms:created>
  <dc:creator>USUARIO</dc:creator>
  <dc:description/>
  <dc:language>pt-BR</dc:language>
  <cp:lastModifiedBy/>
  <dcterms:modified xsi:type="dcterms:W3CDTF">2022-01-13T19:47:55Z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