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wmf" ContentType="image/x-wmf"/>
  <Override PartName="/word/media/image3.png" ContentType="image/png"/>
  <Override PartName="/word/media/image4.jpeg" ContentType="image/jpe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footerReference w:type="default" r:id="rId3"/>
          <w:type w:val="nextPage"/>
          <w:pgSz w:w="11906" w:h="16838"/>
          <w:pgMar w:left="1701" w:right="1134" w:header="1418" w:top="3387" w:footer="709" w:bottom="1418" w:gutter="0"/>
          <w:pgNumType w:fmt="decimal"/>
          <w:formProt w:val="false"/>
          <w:textDirection w:val="lrTb"/>
          <w:docGrid w:type="default" w:linePitch="360" w:charSpace="0"/>
        </w:sectPr>
        <w:pStyle w:val="Normal"/>
        <w:jc w:val="center"/>
        <w:rPr>
          <w:rFonts w:ascii="Arial" w:hAnsi="Arial" w:cs="Arial"/>
          <w:b/>
          <w:b/>
          <w:bCs/>
          <w:iCs/>
          <w:color w:val="000000"/>
          <w:sz w:val="20"/>
          <w:szCs w:val="20"/>
        </w:rPr>
      </w:pPr>
      <w:r>
        <w:rPr>
          <w:rFonts w:cs="Arial" w:ascii="Arial" w:hAnsi="Arial"/>
          <w:b/>
          <w:bCs/>
          <w:iCs/>
          <w:color w:val="000000"/>
          <w:sz w:val="20"/>
          <w:szCs w:val="20"/>
        </w:rPr>
      </w:r>
    </w:p>
    <w:tbl>
      <w:tblPr>
        <w:tblW w:w="10155" w:type="dxa"/>
        <w:jc w:val="left"/>
        <w:tblInd w:w="-205" w:type="dxa"/>
        <w:tblLayout w:type="fixed"/>
        <w:tblCellMar>
          <w:top w:w="57" w:type="dxa"/>
          <w:left w:w="18" w:type="dxa"/>
          <w:bottom w:w="57" w:type="dxa"/>
          <w:right w:w="18" w:type="dxa"/>
        </w:tblCellMar>
      </w:tblPr>
      <w:tblGrid>
        <w:gridCol w:w="4317"/>
        <w:gridCol w:w="5837"/>
      </w:tblGrid>
      <w:tr>
        <w:trPr>
          <w:trHeight w:val="960" w:hRule="atLeast"/>
        </w:trPr>
        <w:tc>
          <w:tcPr>
            <w:tcW w:w="10154"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widowControl w:val="false"/>
              <w:tabs>
                <w:tab w:val="clear" w:pos="720"/>
                <w:tab w:val="left" w:pos="1350" w:leader="none"/>
                <w:tab w:val="center" w:pos="4780" w:leader="none"/>
              </w:tabs>
              <w:snapToGrid w:val="false"/>
              <w:ind w:left="-567" w:right="0" w:hanging="0"/>
              <w:jc w:val="center"/>
              <w:rPr>
                <w:sz w:val="64"/>
                <w:szCs w:val="64"/>
              </w:rPr>
            </w:pPr>
            <w:r>
              <w:rPr>
                <w:rFonts w:cs="Arial"/>
                <w:b/>
                <w:color w:val="000000"/>
                <w:sz w:val="64"/>
                <w:szCs w:val="64"/>
              </w:rPr>
              <w:t xml:space="preserve"> </w:t>
            </w:r>
            <w:r>
              <w:rPr>
                <w:rFonts w:cs="Arial"/>
                <w:b/>
                <w:color w:val="000000"/>
                <w:sz w:val="56"/>
                <w:szCs w:val="56"/>
              </w:rPr>
              <w:t>IF – SERTÃO PE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rFonts w:cs="Arial"/>
                <w:b/>
                <w:b/>
                <w:color w:val="000000"/>
                <w:sz w:val="22"/>
                <w:szCs w:val="22"/>
              </w:rPr>
            </w:pPr>
            <w:r>
              <w:rPr>
                <w:rFonts w:cs="Arial"/>
                <w:b/>
                <w:color w:val="000000"/>
                <w:sz w:val="22"/>
                <w:szCs w:val="22"/>
              </w:rPr>
              <w:t xml:space="preserve">MINUTA DE EDITAL </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SRP</w:t>
            </w:r>
            <w:r>
              <w:rPr>
                <w:rFonts w:eastAsia="Arial" w:cs="Arial"/>
                <w:b/>
                <w:color w:val="000000"/>
                <w:sz w:val="22"/>
                <w:szCs w:val="22"/>
              </w:rPr>
              <w:t xml:space="preserve"> </w:t>
            </w:r>
            <w:r>
              <w:rPr>
                <w:rFonts w:cs="Arial"/>
                <w:b/>
                <w:color w:val="000000"/>
                <w:sz w:val="22"/>
                <w:szCs w:val="22"/>
                <w:shd w:fill="FFFF00" w:val="clear"/>
              </w:rPr>
              <w:t>Nº</w:t>
            </w:r>
            <w:r>
              <w:rPr>
                <w:rFonts w:eastAsia="Arial" w:cs="Arial"/>
                <w:b/>
                <w:color w:val="000000"/>
                <w:sz w:val="22"/>
                <w:szCs w:val="22"/>
                <w:shd w:fill="FFFF00" w:val="clear"/>
              </w:rPr>
              <w:t xml:space="preserve"> 04/2022</w:t>
            </w:r>
          </w:p>
          <w:p>
            <w:pPr>
              <w:pStyle w:val="Normal"/>
              <w:widowControl w:val="false"/>
              <w:jc w:val="both"/>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w:t>
            </w:r>
            <w:r>
              <w:rPr>
                <w:rFonts w:eastAsia="Arial" w:cs="Arial"/>
                <w:color w:val="000000"/>
                <w:sz w:val="22"/>
                <w:szCs w:val="22"/>
              </w:rPr>
              <w:t xml:space="preserve"> </w:t>
            </w:r>
            <w:r>
              <w:rPr>
                <w:rFonts w:cs="Arial"/>
                <w:color w:val="000000"/>
                <w:sz w:val="22"/>
                <w:szCs w:val="22"/>
              </w:rPr>
              <w:t>pelo</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3.555/2000</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shd w:fill="FFFFFF" w:val="clear"/>
              </w:rPr>
              <w:t xml:space="preserve"> </w:t>
            </w:r>
            <w:r>
              <w:rPr>
                <w:rFonts w:cs="Arial"/>
                <w:color w:val="000000"/>
                <w:sz w:val="22"/>
                <w:szCs w:val="22"/>
                <w:shd w:fill="FFFFFF" w:val="clear"/>
              </w:rPr>
              <w:t>nº</w:t>
            </w:r>
            <w:r>
              <w:rPr>
                <w:rFonts w:eastAsia="Arial" w:cs="Arial"/>
                <w:color w:val="000000"/>
                <w:sz w:val="22"/>
                <w:szCs w:val="22"/>
                <w:shd w:fill="FFFFFF" w:val="clear"/>
              </w:rPr>
              <w:t xml:space="preserve">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Spacing"/>
              <w:widowControl w:val="false"/>
              <w:snapToGrid w:val="false"/>
              <w:jc w:val="both"/>
              <w:rPr/>
            </w:pPr>
            <w:r>
              <w:rPr>
                <w:rStyle w:val="Fontepargpadro3"/>
                <w:rFonts w:cs="Arial" w:ascii="Arial" w:hAnsi="Arial"/>
                <w:b/>
                <w:bCs/>
                <w:color w:val="000000"/>
                <w:sz w:val="20"/>
                <w:szCs w:val="20"/>
                <w:lang w:eastAsia="ar-SA"/>
              </w:rPr>
              <w:t xml:space="preserve">OBJETO: </w:t>
            </w:r>
            <w:r>
              <w:rPr>
                <w:rStyle w:val="Fontepargpadro3"/>
                <w:rFonts w:cs="Arial" w:ascii="Arial" w:hAnsi="Arial"/>
                <w:b/>
                <w:bCs/>
                <w:i w:val="false"/>
                <w:iCs w:val="false"/>
                <w:color w:val="000000"/>
                <w:sz w:val="24"/>
                <w:szCs w:val="24"/>
                <w:lang w:eastAsia="ar-SA"/>
              </w:rPr>
              <w:t>Aquisição de água mineral para atender aos campi e Reitoria do IF Sertão-PE</w:t>
            </w:r>
            <w:r>
              <w:rPr>
                <w:rFonts w:cs="Arial" w:ascii="Arial" w:hAnsi="Arial"/>
                <w:b/>
                <w:sz w:val="20"/>
                <w:szCs w:val="20"/>
              </w:rPr>
              <w:t>.</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 xml:space="preserve">DATA: </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kern w:val="2"/>
                <w:sz w:val="22"/>
                <w:szCs w:val="22"/>
                <w:shd w:fill="FFFF00" w:val="clear"/>
                <w:lang w:val="pt-BR" w:eastAsia="ar-SA" w:bidi="hi-IN"/>
              </w:rPr>
              <w:t>XX</w:t>
            </w:r>
            <w:r>
              <w:rPr>
                <w:rStyle w:val="Fontepargpadro3"/>
                <w:rFonts w:eastAsia="DejaVu Sans" w:cs="Arial"/>
                <w:b/>
                <w:bCs/>
                <w:color w:val="000000"/>
                <w:sz w:val="22"/>
                <w:szCs w:val="22"/>
                <w:shd w:fill="FFFF00" w:val="clear"/>
                <w:lang w:eastAsia="ar-SA" w:bidi="hi-IN"/>
              </w:rPr>
              <w:t>/</w:t>
            </w:r>
            <w:r>
              <w:rPr>
                <w:rStyle w:val="Fontepargpadro3"/>
                <w:rFonts w:eastAsia="DejaVu Sans" w:cs="Arial"/>
                <w:b/>
                <w:bCs/>
                <w:color w:val="000000"/>
                <w:kern w:val="2"/>
                <w:sz w:val="22"/>
                <w:szCs w:val="22"/>
                <w:shd w:fill="FFFF00" w:val="clear"/>
                <w:lang w:val="pt-BR" w:eastAsia="ar-SA" w:bidi="hi-IN"/>
              </w:rPr>
              <w:t>XX</w:t>
            </w:r>
            <w:r>
              <w:rPr>
                <w:rStyle w:val="Fontepargpadro3"/>
                <w:rFonts w:eastAsia="DejaVu Sans" w:cs="Arial"/>
                <w:b/>
                <w:bCs/>
                <w:color w:val="000000"/>
                <w:sz w:val="22"/>
                <w:szCs w:val="22"/>
                <w:shd w:fill="FFFF00" w:val="clear"/>
                <w:lang w:eastAsia="ar-SA" w:bidi="hi-IN"/>
              </w:rPr>
              <w:t>/2022</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HORÁRIO:</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FFFF00" w:val="clear"/>
                <w:lang w:eastAsia="ar-SA" w:bidi="hi-IN"/>
              </w:rPr>
              <w:t>09:30hs (Horário de Brasília)</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LOCAL:</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FFFFFF" w:val="clear"/>
                <w:lang w:eastAsia="ar-SA" w:bidi="hi-IN"/>
              </w:rPr>
              <w:t>www.comprasgovernamentais.gov.br</w:t>
            </w:r>
          </w:p>
        </w:tc>
      </w:tr>
      <w:tr>
        <w:trPr/>
        <w:tc>
          <w:tcPr>
            <w:tcW w:w="431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MODO DE DISPUTA: </w:t>
            </w:r>
          </w:p>
        </w:tc>
        <w:tc>
          <w:tcPr>
            <w:tcW w:w="583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ABERTO</w:t>
            </w:r>
          </w:p>
        </w:tc>
      </w:tr>
      <w:tr>
        <w:trPr/>
        <w:tc>
          <w:tcPr>
            <w:tcW w:w="431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CRITÉRIO DE JULGAMENTO:</w:t>
            </w:r>
          </w:p>
        </w:tc>
        <w:tc>
          <w:tcPr>
            <w:tcW w:w="5837"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 </w:t>
            </w:r>
            <w:r>
              <w:rPr>
                <w:rFonts w:cs="Times New Roman"/>
                <w:b/>
                <w:bCs/>
                <w:sz w:val="22"/>
                <w:szCs w:val="22"/>
              </w:rPr>
              <w:t>MENOR PREÇO</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UASG/ÓRGÃO GERENCIADOR</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158149 / Reitoria</w:t>
            </w:r>
          </w:p>
        </w:tc>
      </w:tr>
      <w:tr>
        <w:trPr/>
        <w:tc>
          <w:tcPr>
            <w:tcW w:w="4317" w:type="dxa"/>
            <w:vMerge w:val="restart"/>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ÓRGÃOS PARTICIPANTES</w:t>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158570 / Campus Ouricuri</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158740 / Campus de Santa M. B. Vista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158741 / Campus Serra Talhada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158499 / Campus Petrolina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158568 / Campus Salgueiro</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sz w:val="22"/>
                <w:szCs w:val="22"/>
              </w:rPr>
            </w:pPr>
            <w:r>
              <w:rPr>
                <w:sz w:val="22"/>
                <w:szCs w:val="22"/>
              </w:rPr>
              <w:t>158500/Campus Floresta</w:t>
            </w:r>
          </w:p>
        </w:tc>
      </w:tr>
      <w:tr>
        <w:trPr/>
        <w:tc>
          <w:tcPr>
            <w:tcW w:w="4317"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158278 / Campus Petrolina Zona Rural</w:t>
            </w:r>
          </w:p>
        </w:tc>
      </w:tr>
      <w:tr>
        <w:trPr/>
        <w:tc>
          <w:tcPr>
            <w:tcW w:w="4317" w:type="dxa"/>
            <w:tcBorders>
              <w:top w:val="single" w:sz="14" w:space="0" w:color="000001"/>
              <w:left w:val="single" w:sz="14" w:space="0" w:color="000001"/>
              <w:bottom w:val="single" w:sz="14" w:space="0" w:color="000001"/>
              <w:right w:val="single" w:sz="14" w:space="0" w:color="000001"/>
            </w:tcBorders>
            <w:vAlign w:val="center"/>
          </w:tcPr>
          <w:p>
            <w:pPr>
              <w:pStyle w:val="Corpodotexto"/>
              <w:widowControl w:val="false"/>
              <w:spacing w:before="0" w:after="0"/>
              <w:jc w:val="center"/>
              <w:rPr>
                <w:rFonts w:ascii="Arial" w:hAnsi="Arial" w:cs="Arial"/>
                <w:b/>
                <w:b/>
                <w:bCs/>
                <w:color w:val="030303"/>
                <w:sz w:val="20"/>
                <w:szCs w:val="20"/>
                <w:shd w:fill="FFFF00" w:val="clear"/>
              </w:rPr>
            </w:pPr>
            <w:r>
              <w:rPr>
                <w:rFonts w:cs="Arial" w:ascii="Arial" w:hAnsi="Arial"/>
                <w:b/>
                <w:bCs/>
                <w:color w:val="030303"/>
                <w:sz w:val="20"/>
                <w:szCs w:val="20"/>
                <w:shd w:fill="FFFF00" w:val="clear"/>
              </w:rPr>
              <w:t>Pregoeiro:</w:t>
            </w:r>
          </w:p>
          <w:p>
            <w:pPr>
              <w:pStyle w:val="Normal"/>
              <w:widowControl w:val="false"/>
              <w:jc w:val="center"/>
              <w:rPr>
                <w:rFonts w:eastAsia="ＭＳ 明朝" w:eastAsiaTheme="minorEastAsia"/>
                <w:color w:val="000000"/>
                <w:kern w:val="2"/>
                <w:sz w:val="20"/>
                <w:szCs w:val="20"/>
                <w:shd w:fill="FFFF00" w:val="clear"/>
              </w:rPr>
            </w:pPr>
            <w:r>
              <w:rPr>
                <w:rFonts w:eastAsia="ＭＳ 明朝" w:eastAsiaTheme="minorEastAsia"/>
                <w:color w:val="000000"/>
                <w:kern w:val="2"/>
                <w:sz w:val="20"/>
                <w:szCs w:val="20"/>
                <w:shd w:fill="FFFF00" w:val="clear"/>
              </w:rPr>
              <w:t>Silvanio Antônio de Carvalho</w:t>
            </w:r>
          </w:p>
          <w:p>
            <w:pPr>
              <w:pStyle w:val="Corpodotexto"/>
              <w:widowControl w:val="false"/>
              <w:spacing w:before="0" w:after="0"/>
              <w:jc w:val="center"/>
              <w:rPr>
                <w:rFonts w:ascii="Arial" w:hAnsi="Arial" w:cs="Arial"/>
                <w:b/>
                <w:b/>
                <w:bCs/>
                <w:color w:val="030303"/>
                <w:sz w:val="20"/>
                <w:szCs w:val="20"/>
                <w:shd w:fill="FFFF00" w:val="clear"/>
              </w:rPr>
            </w:pPr>
            <w:r>
              <w:rPr>
                <w:rFonts w:cs="Arial" w:ascii="Arial" w:hAnsi="Arial"/>
                <w:b/>
                <w:bCs/>
                <w:color w:val="030303"/>
                <w:sz w:val="20"/>
                <w:szCs w:val="20"/>
                <w:shd w:fill="FFFF00" w:val="clear"/>
              </w:rPr>
              <w:t>Portaria no 553, de 09 de dezembro de 2021</w:t>
            </w:r>
          </w:p>
          <w:p>
            <w:pPr>
              <w:pStyle w:val="Corpodotexto"/>
              <w:widowControl w:val="false"/>
              <w:spacing w:before="0" w:after="0"/>
              <w:jc w:val="center"/>
              <w:rPr>
                <w:rFonts w:ascii="Arial" w:hAnsi="Arial"/>
                <w:b/>
                <w:b/>
                <w:bCs/>
                <w:color w:val="030303"/>
                <w:sz w:val="20"/>
                <w:szCs w:val="20"/>
                <w:shd w:fill="FFFF00" w:val="clear"/>
              </w:rPr>
            </w:pPr>
            <w:r>
              <w:rPr>
                <w:rFonts w:eastAsia="ＭＳ 明朝" w:ascii="Arial" w:hAnsi="Arial" w:eastAsiaTheme="minorEastAsia"/>
                <w:b/>
                <w:bCs/>
                <w:color w:val="030303"/>
                <w:sz w:val="20"/>
                <w:szCs w:val="20"/>
                <w:shd w:fill="FFFF00" w:val="clear"/>
              </w:rPr>
              <w:t>Equipe de Apoio:</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Gerson de Alencar Lima</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Franklin Torres Brandão</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João Deryson Figueiredo Sampaio</w:t>
            </w:r>
          </w:p>
          <w:p>
            <w:pPr>
              <w:pStyle w:val="Corpodotexto"/>
              <w:widowControl w:val="false"/>
              <w:spacing w:before="0" w:after="0"/>
              <w:jc w:val="center"/>
              <w:rPr>
                <w:rFonts w:ascii="Arial" w:hAnsi="Arial"/>
                <w:shd w:fill="FFFF00" w:val="clear"/>
              </w:rPr>
            </w:pPr>
            <w:r>
              <w:rPr>
                <w:rFonts w:cs="Arial" w:ascii="Arial" w:hAnsi="Arial"/>
                <w:b/>
                <w:bCs/>
                <w:color w:val="030303"/>
                <w:kern w:val="2"/>
                <w:sz w:val="20"/>
                <w:szCs w:val="20"/>
                <w:shd w:fill="FFFF00" w:val="clear"/>
              </w:rPr>
              <w:t>Portaria no 554, de 09 de dezembro de</w:t>
            </w:r>
            <w:r>
              <w:rPr>
                <w:rFonts w:cs="Arial" w:ascii="Arial" w:hAnsi="Arial"/>
                <w:b/>
                <w:bCs/>
                <w:color w:val="030303"/>
                <w:kern w:val="2"/>
                <w:sz w:val="22"/>
                <w:szCs w:val="22"/>
                <w:shd w:fill="FFFF00" w:val="clear"/>
              </w:rPr>
              <w:t xml:space="preserve"> 2021</w:t>
            </w:r>
          </w:p>
          <w:p>
            <w:pPr>
              <w:pStyle w:val="Normal"/>
              <w:widowControl w:val="false"/>
              <w:jc w:val="center"/>
              <w:rPr>
                <w:rFonts w:cs="Arial"/>
                <w:b/>
                <w:b/>
                <w:bCs/>
                <w:color w:val="000000"/>
                <w:sz w:val="22"/>
                <w:szCs w:val="22"/>
                <w:lang w:bidi="hi-IN"/>
              </w:rPr>
            </w:pPr>
            <w:r>
              <w:rPr>
                <w:rFonts w:cs="Arial"/>
                <w:b/>
                <w:bCs/>
                <w:color w:val="000000"/>
                <w:sz w:val="22"/>
                <w:szCs w:val="22"/>
                <w:lang w:bidi="hi-IN"/>
              </w:rPr>
            </w:r>
          </w:p>
        </w:tc>
        <w:tc>
          <w:tcPr>
            <w:tcW w:w="5837" w:type="dxa"/>
            <w:tcBorders>
              <w:top w:val="single" w:sz="14" w:space="0" w:color="000001"/>
              <w:left w:val="single" w:sz="14" w:space="0" w:color="000001"/>
              <w:bottom w:val="single" w:sz="14" w:space="0" w:color="000001"/>
              <w:right w:val="single" w:sz="14" w:space="0" w:color="000001"/>
            </w:tcBorders>
            <w:vAlign w:val="center"/>
          </w:tcPr>
          <w:p>
            <w:pPr>
              <w:pStyle w:val="Padro1"/>
              <w:widowControl w:val="false"/>
              <w:tabs>
                <w:tab w:val="left" w:pos="567" w:leader="none"/>
                <w:tab w:val="left" w:pos="708" w:leader="none"/>
              </w:tabs>
              <w:overflowPunct w:val="true"/>
              <w:spacing w:lineRule="auto" w:line="240"/>
              <w:ind w:left="0" w:right="0" w:hanging="0"/>
              <w:jc w:val="both"/>
              <w:rPr>
                <w:rFonts w:ascii="Arial" w:hAnsi="Arial" w:cs="Times New Roman"/>
                <w:b/>
                <w:b/>
                <w:bCs/>
                <w:sz w:val="20"/>
                <w:szCs w:val="20"/>
              </w:rPr>
            </w:pPr>
            <w:r>
              <w:rPr>
                <w:rFonts w:cs="Times New Roman" w:ascii="Arial" w:hAnsi="Arial"/>
                <w:b/>
                <w:bCs/>
                <w:sz w:val="20"/>
                <w:szCs w:val="20"/>
              </w:rPr>
              <w:t>Instituto Federal de Educação, Ciências e Tecnologia do Sertão Pernambucano – Reitoria;</w:t>
            </w:r>
          </w:p>
          <w:p>
            <w:pPr>
              <w:pStyle w:val="Padro1"/>
              <w:widowControl w:val="false"/>
              <w:tabs>
                <w:tab w:val="left" w:pos="567" w:leader="none"/>
                <w:tab w:val="left" w:pos="708" w:leader="none"/>
              </w:tabs>
              <w:overflowPunct w:val="true"/>
              <w:spacing w:lineRule="auto" w:line="240"/>
              <w:ind w:left="720" w:right="0" w:hanging="0"/>
              <w:jc w:val="both"/>
              <w:rPr>
                <w:rFonts w:ascii="Arial" w:hAnsi="Arial" w:cs="Times New Roman"/>
                <w:sz w:val="20"/>
                <w:szCs w:val="20"/>
              </w:rPr>
            </w:pPr>
            <w:r>
              <w:rPr>
                <w:rFonts w:cs="Times New Roman" w:ascii="Arial" w:hAnsi="Arial"/>
                <w:sz w:val="20"/>
                <w:szCs w:val="20"/>
              </w:rPr>
              <w:t>Diretoria de Licitações (DLIC);</w:t>
            </w:r>
          </w:p>
          <w:p>
            <w:pPr>
              <w:pStyle w:val="Padro1"/>
              <w:widowControl w:val="false"/>
              <w:tabs>
                <w:tab w:val="left" w:pos="567" w:leader="none"/>
                <w:tab w:val="left" w:pos="708" w:leader="none"/>
              </w:tabs>
              <w:overflowPunct w:val="true"/>
              <w:spacing w:lineRule="auto" w:line="240"/>
              <w:ind w:left="0" w:right="0" w:hanging="0"/>
              <w:jc w:val="both"/>
              <w:rPr>
                <w:rFonts w:ascii="Arial" w:hAnsi="Arial" w:cs="Times New Roman"/>
                <w:sz w:val="20"/>
                <w:szCs w:val="20"/>
              </w:rPr>
            </w:pPr>
            <w:r>
              <w:rPr>
                <w:rFonts w:cs="Times New Roman" w:ascii="Arial" w:hAnsi="Arial"/>
                <w:sz w:val="20"/>
                <w:szCs w:val="20"/>
              </w:rPr>
              <w:t>Coordenação de Divulgação e Elaboração de Edital de Compras (CDEC);</w:t>
            </w:r>
          </w:p>
          <w:p>
            <w:pPr>
              <w:pStyle w:val="Padro1"/>
              <w:widowControl w:val="false"/>
              <w:tabs>
                <w:tab w:val="left" w:pos="567" w:leader="none"/>
                <w:tab w:val="left" w:pos="708" w:leader="none"/>
              </w:tabs>
              <w:overflowPunct w:val="true"/>
              <w:spacing w:lineRule="auto" w:line="240"/>
              <w:ind w:left="0" w:right="0" w:hanging="0"/>
              <w:jc w:val="both"/>
              <w:rPr/>
            </w:pPr>
            <w:r>
              <w:rPr>
                <w:rFonts w:cs="Times New Roman" w:ascii="Arial" w:hAnsi="Arial"/>
                <w:b/>
                <w:sz w:val="20"/>
                <w:szCs w:val="20"/>
              </w:rPr>
              <w:t xml:space="preserve">Endereço: </w:t>
            </w:r>
            <w:r>
              <w:rPr>
                <w:rStyle w:val="Fontepargpadro1"/>
                <w:rFonts w:cs="Times New Roman" w:ascii="Arial" w:hAnsi="Arial"/>
                <w:b/>
                <w:iCs/>
                <w:sz w:val="20"/>
                <w:szCs w:val="20"/>
              </w:rPr>
              <w:t>Rua Aristarco Lopes, 240, Centro, Petrolina-PE</w:t>
            </w:r>
            <w:r>
              <w:rPr>
                <w:rStyle w:val="Fontepargpadro2"/>
                <w:rFonts w:cs="Times New Roman" w:ascii="Arial" w:hAnsi="Arial"/>
                <w:b/>
                <w:sz w:val="20"/>
                <w:szCs w:val="20"/>
              </w:rPr>
              <w:t>, CEP: 56.302-100. Tel.: (87) 2101-2350, Ramal 2373/2374;</w:t>
            </w:r>
            <w:bookmarkStart w:id="0" w:name="__DdeLink__22098_124032206"/>
            <w:bookmarkStart w:id="1" w:name="__DdeLink__5145_1617075586"/>
            <w:bookmarkEnd w:id="0"/>
            <w:bookmarkEnd w:id="1"/>
            <w:r>
              <w:rPr>
                <w:rStyle w:val="Fontepargpadro2"/>
                <w:rFonts w:cs="Times New Roman" w:ascii="Arial" w:hAnsi="Arial"/>
                <w:b/>
                <w:sz w:val="20"/>
                <w:szCs w:val="20"/>
              </w:rPr>
              <w:t xml:space="preserve"> </w:t>
            </w:r>
            <w:r>
              <w:rPr>
                <w:rStyle w:val="Fontepargpadro2"/>
                <w:rFonts w:cs="Times New Roman" w:ascii="Arial" w:hAnsi="Arial"/>
                <w:b/>
                <w:bCs/>
                <w:color w:val="030303"/>
                <w:sz w:val="20"/>
                <w:szCs w:val="20"/>
              </w:rPr>
              <w:t xml:space="preserve">E-mail: </w:t>
            </w:r>
            <w:hyperlink r:id="rId4">
              <w:r>
                <w:rPr>
                  <w:rStyle w:val="Fontepargpadro2"/>
                  <w:rFonts w:cs="Times New Roman" w:ascii="Arial" w:hAnsi="Arial"/>
                  <w:b/>
                  <w:bCs/>
                  <w:color w:val="030303"/>
                  <w:sz w:val="20"/>
                  <w:szCs w:val="20"/>
                </w:rPr>
                <w:t>licitacoes@ifSertao-pe.edu.br</w:t>
              </w:r>
            </w:hyperlink>
          </w:p>
        </w:tc>
      </w:tr>
    </w:tbl>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EDITAL</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INSTITUTO FEDERAL DE EDUCAÇÃO, CIÊNCIA E TECNOLOGIA DO SERTÃO PERNAMBUCANO </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04/2022</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n°23302.000014.2022-48)</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rFonts w:ascii="Arial" w:hAnsi="Arial" w:eastAsia="Times New Roman" w:cs="Arial"/>
          <w:sz w:val="20"/>
          <w:szCs w:val="20"/>
        </w:rPr>
      </w:pPr>
      <w:r>
        <w:rPr>
          <w:rFonts w:cs="Arial" w:ascii="Arial" w:hAnsi="Arial"/>
          <w:color w:val="000000"/>
          <w:sz w:val="20"/>
          <w:szCs w:val="20"/>
        </w:rPr>
        <w:t xml:space="preserve">Torna-se público, para conhecimento dos interessados, que o(a) </w:t>
      </w:r>
      <w:r>
        <w:rPr>
          <w:rFonts w:cs="Arial" w:ascii="Arial" w:hAnsi="Arial"/>
          <w:b/>
          <w:bCs/>
          <w:color w:val="000000"/>
          <w:sz w:val="20"/>
          <w:szCs w:val="20"/>
        </w:rPr>
        <w:t>INSTITUTO FEDERAL DE EDUCAÇÃO, CIÊNCIA E TECNOLOGIA DO SERTÃO PERNAMBUCAN</w:t>
      </w:r>
      <w:r>
        <w:rPr>
          <w:rFonts w:cs="Arial" w:ascii="Arial" w:hAnsi="Arial"/>
          <w:color w:val="000000"/>
          <w:sz w:val="20"/>
          <w:szCs w:val="20"/>
        </w:rPr>
        <w:t xml:space="preserve">O, por meio do(a) DIRETORIA DE LICITAÇÕES – DLIC, sediado(a) </w:t>
      </w:r>
      <w:r>
        <w:rPr>
          <w:rFonts w:cs="Arial" w:ascii="Arial" w:hAnsi="Arial"/>
          <w:b/>
          <w:bCs/>
          <w:color w:val="000000"/>
          <w:sz w:val="20"/>
          <w:szCs w:val="20"/>
        </w:rPr>
        <w:t>RUA. ARISTARCO LOPES, 240, CENTRO, CEP-56.302-100, PETROLINA PERNAMBUCO</w:t>
      </w:r>
      <w:r>
        <w:rPr>
          <w:rFonts w:cs="Arial" w:ascii="Arial" w:hAnsi="Arial"/>
          <w:color w:val="000000"/>
          <w:sz w:val="20"/>
          <w:szCs w:val="20"/>
        </w:rPr>
        <w:t>, realizará licitação,</w:t>
      </w:r>
      <w:r>
        <w:rPr>
          <w:rFonts w:cs="Arial" w:ascii="Arial" w:hAnsi="Arial"/>
          <w:color w:val="000000"/>
          <w:sz w:val="20"/>
          <w:szCs w:val="20"/>
          <w:shd w:fill="auto" w:val="clear"/>
        </w:rPr>
        <w:t xml:space="preserve"> para registro de preços,</w:t>
      </w:r>
      <w:r>
        <w:rPr>
          <w:rFonts w:cs="Arial" w:ascii="Arial" w:hAnsi="Arial"/>
          <w:color w:val="000000"/>
          <w:sz w:val="20"/>
          <w:szCs w:val="20"/>
        </w:rPr>
        <w:t xml:space="preserve">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com critério de julgamento </w:t>
      </w:r>
      <w:r>
        <w:rPr>
          <w:rFonts w:cs="Arial" w:ascii="Arial" w:hAnsi="Arial"/>
          <w:b/>
          <w:bCs/>
          <w:i/>
          <w:color w:val="000000"/>
          <w:sz w:val="20"/>
          <w:szCs w:val="20"/>
        </w:rPr>
        <w:t>menor preço</w:t>
      </w:r>
      <w:r>
        <w:rPr>
          <w:rFonts w:cs="Arial" w:ascii="Arial" w:hAnsi="Arial"/>
          <w:b/>
          <w:bCs/>
          <w:i/>
          <w:iCs/>
          <w:color w:val="000000"/>
          <w:sz w:val="20"/>
          <w:szCs w:val="20"/>
        </w:rPr>
        <w:t>, lote/grupo</w:t>
      </w:r>
      <w:r>
        <w:rPr>
          <w:rFonts w:cs="Arial" w:ascii="Arial" w:hAnsi="Arial"/>
          <w:bCs/>
          <w:color w:val="000000"/>
          <w:sz w:val="20"/>
          <w:szCs w:val="20"/>
        </w:rPr>
        <w:t>,</w:t>
      </w:r>
      <w:r>
        <w:rPr>
          <w:rFonts w:cs="Arial" w:ascii="Arial" w:hAnsi="Arial"/>
          <w:color w:val="000000"/>
          <w:sz w:val="20"/>
          <w:szCs w:val="20"/>
        </w:rPr>
        <w:t xml:space="preserve"> nos termos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w:t>
      </w:r>
      <w:r>
        <w:rPr>
          <w:rFonts w:eastAsia="Times New Roman" w:cs="Arial" w:ascii="Arial" w:hAnsi="Arial"/>
          <w:sz w:val="20"/>
          <w:szCs w:val="20"/>
        </w:rPr>
        <w:t xml:space="preserve">do Decreto  nº 7.746, de 05 de junho de 2012, </w:t>
      </w:r>
      <w:r>
        <w:rPr>
          <w:rFonts w:eastAsia="Times New Roman" w:cs="Arial" w:ascii="Arial" w:hAnsi="Arial"/>
          <w:color w:val="000000"/>
          <w:sz w:val="20"/>
          <w:szCs w:val="20"/>
          <w:shd w:fill="auto" w:val="clear"/>
        </w:rPr>
        <w:t xml:space="preserve">do Decreto nº 7892, de 23 de janeiro e 2013, </w:t>
      </w:r>
      <w:r>
        <w:rPr>
          <w:rFonts w:cs="Arial" w:ascii="Arial" w:hAnsi="Arial"/>
          <w:color w:val="000000"/>
          <w:sz w:val="20"/>
          <w:szCs w:val="20"/>
        </w:rPr>
        <w:t xml:space="preserve">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sz w:val="20"/>
          <w:szCs w:val="20"/>
        </w:rPr>
      </w:pPr>
      <w:r>
        <w:rPr>
          <w:rFonts w:cs="Arial" w:ascii="Arial" w:hAnsi="Arial"/>
          <w:color w:val="000000"/>
          <w:sz w:val="20"/>
          <w:szCs w:val="20"/>
        </w:rPr>
        <w:t xml:space="preserve">Data da sessão: </w:t>
      </w:r>
      <w:r>
        <w:rPr>
          <w:rFonts w:cs="Arial" w:ascii="Arial" w:hAnsi="Arial"/>
          <w:b/>
          <w:bCs/>
          <w:color w:val="000000"/>
          <w:sz w:val="20"/>
          <w:szCs w:val="20"/>
        </w:rPr>
        <w:t>21 de Março de 2022.</w:t>
      </w:r>
    </w:p>
    <w:p>
      <w:pPr>
        <w:pStyle w:val="Normal"/>
        <w:spacing w:lineRule="auto" w:line="276"/>
        <w:rPr>
          <w:rFonts w:ascii="Arial" w:hAnsi="Arial" w:cs="Arial"/>
          <w:sz w:val="20"/>
          <w:szCs w:val="20"/>
        </w:rPr>
      </w:pPr>
      <w:r>
        <w:rPr>
          <w:rFonts w:cs="Arial" w:ascii="Arial" w:hAnsi="Arial"/>
          <w:color w:val="000000"/>
          <w:sz w:val="20"/>
          <w:szCs w:val="20"/>
        </w:rPr>
        <w:t xml:space="preserve">Horário: </w:t>
      </w:r>
      <w:r>
        <w:rPr>
          <w:rFonts w:cs="Arial" w:ascii="Arial" w:hAnsi="Arial"/>
          <w:b/>
          <w:bCs/>
          <w:color w:val="000000"/>
          <w:sz w:val="20"/>
          <w:szCs w:val="20"/>
        </w:rPr>
        <w:t xml:space="preserve">09;00 h (horário de Brasília) </w:t>
      </w:r>
    </w:p>
    <w:p>
      <w:pPr>
        <w:pStyle w:val="Normal"/>
        <w:spacing w:lineRule="auto" w:line="276"/>
        <w:rPr>
          <w:rFonts w:ascii="Arial" w:hAnsi="Arial" w:cs="Arial"/>
          <w:sz w:val="20"/>
          <w:szCs w:val="20"/>
        </w:rPr>
      </w:pPr>
      <w:r>
        <w:rPr>
          <w:rFonts w:cs="Arial" w:ascii="Arial" w:hAnsi="Arial"/>
          <w:color w:val="000000"/>
          <w:sz w:val="20"/>
          <w:szCs w:val="20"/>
        </w:rPr>
        <w:t xml:space="preserve">Local: </w:t>
      </w:r>
      <w:r>
        <w:rPr>
          <w:rFonts w:cs="Arial" w:ascii="Arial" w:hAnsi="Arial"/>
          <w:b/>
          <w:bCs/>
          <w:color w:val="000000"/>
          <w:sz w:val="20"/>
          <w:szCs w:val="20"/>
        </w:rPr>
        <w:t xml:space="preserve">Portal de Compras do Governo Federal – www.comprasgovernamentais.gov.br </w:t>
      </w:r>
    </w:p>
    <w:p>
      <w:pPr>
        <w:pStyle w:val="Nivel01"/>
        <w:numPr>
          <w:ilvl w:val="0"/>
          <w:numId w:val="2"/>
        </w:numPr>
        <w:rPr>
          <w:rFonts w:ascii="Arial" w:hAnsi="Arial" w:cs="Arial"/>
        </w:rPr>
      </w:pPr>
      <w:r>
        <w:rPr>
          <w:rFonts w:cs="Arial" w:ascii="Arial" w:hAnsi="Arial"/>
        </w:rPr>
        <w:t>DO OBJETO</w:t>
      </w:r>
    </w:p>
    <w:p>
      <w:pPr>
        <w:pStyle w:val="Normal"/>
        <w:numPr>
          <w:ilvl w:val="1"/>
          <w:numId w:val="1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w:t>
      </w:r>
      <w:r>
        <w:rPr>
          <w:rFonts w:cs="Arial" w:ascii="Arial" w:hAnsi="Arial"/>
          <w:b/>
          <w:bCs/>
          <w:i w:val="false"/>
          <w:iCs w:val="false"/>
          <w:color w:val="000000"/>
          <w:sz w:val="20"/>
          <w:szCs w:val="20"/>
        </w:rPr>
        <w:t>Aquisição de água mineral para atender aos campi e Reitoria do IF Sertão-PE</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spacing w:lineRule="auto" w:line="276" w:before="120" w:after="120"/>
        <w:ind w:left="425" w:hanging="0"/>
        <w:jc w:val="both"/>
        <w:rPr>
          <w:i w:val="false"/>
          <w:i w:val="false"/>
          <w:iCs w:val="false"/>
          <w:color w:val="000000"/>
        </w:rPr>
      </w:pPr>
      <w:r>
        <w:rPr>
          <w:rFonts w:cs="Arial" w:ascii="Arial" w:hAnsi="Arial"/>
          <w:i w:val="false"/>
          <w:iCs w:val="false"/>
          <w:color w:val="000000"/>
          <w:sz w:val="20"/>
          <w:szCs w:val="20"/>
        </w:rPr>
        <w:t>1.2. A licitação será dividida em grupos, formados por um ou mais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no Termo de Referência, facultando-se ao licitante a participação em quantos grupos forem de seu interesse, devendo oferecer proposta para todos os itens que o compõem.</w:t>
      </w:r>
    </w:p>
    <w:p>
      <w:pPr>
        <w:pStyle w:val="Normal"/>
        <w:spacing w:lineRule="auto" w:line="276" w:before="120" w:after="120"/>
        <w:ind w:left="425" w:hanging="0"/>
        <w:jc w:val="both"/>
        <w:rPr/>
      </w:pPr>
      <w:r>
        <w:rPr>
          <w:rFonts w:cs="Arial" w:ascii="Arial" w:hAnsi="Arial"/>
          <w:i w:val="false"/>
          <w:iCs w:val="false"/>
          <w:color w:val="000000"/>
          <w:sz w:val="20"/>
          <w:szCs w:val="20"/>
        </w:rPr>
        <w:t>1.3</w:t>
      </w:r>
      <w:r>
        <w:rPr>
          <w:rFonts w:cs="Arial" w:ascii="Arial" w:hAnsi="Arial"/>
          <w:b/>
          <w:i w:val="false"/>
          <w:iCs w:val="false"/>
          <w:color w:val="000000"/>
        </w:rPr>
        <w:t xml:space="preserve">. </w:t>
      </w:r>
      <w:r>
        <w:rPr>
          <w:rFonts w:cs="Arial" w:ascii="Arial" w:hAnsi="Arial"/>
          <w:i w:val="false"/>
          <w:iCs w:val="false"/>
          <w:color w:val="000000"/>
          <w:sz w:val="20"/>
          <w:szCs w:val="20"/>
        </w:rPr>
        <w:t xml:space="preserve">O critério de julgamento adotado será o </w:t>
      </w:r>
      <w:r>
        <w:rPr>
          <w:rFonts w:cs="Arial" w:ascii="Arial" w:hAnsi="Arial"/>
          <w:b/>
          <w:bCs/>
          <w:i w:val="false"/>
          <w:iCs w:val="false"/>
          <w:color w:val="000000"/>
          <w:sz w:val="20"/>
          <w:szCs w:val="20"/>
        </w:rPr>
        <w:t>menor preço do grup</w:t>
      </w:r>
      <w:r>
        <w:rPr>
          <w:rFonts w:cs="Arial" w:ascii="Arial" w:hAnsi="Arial"/>
          <w:i w:val="false"/>
          <w:iCs w:val="false"/>
          <w:color w:val="000000"/>
          <w:sz w:val="20"/>
          <w:szCs w:val="20"/>
        </w:rPr>
        <w:t>o, observadas as exigências contidas neste Edital e seus Anexos quanto às especificações do objeto.</w:t>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i w:val="false"/>
          <w:i w:val="false"/>
          <w:iCs w:val="false"/>
          <w:color w:val="000000"/>
          <w:shd w:fill="auto" w:val="clear"/>
        </w:rPr>
      </w:pPr>
      <w:r>
        <w:rPr>
          <w:rFonts w:cs="Arial" w:ascii="Arial" w:hAnsi="Arial"/>
          <w:b/>
          <w:i w:val="false"/>
          <w:iCs w:val="false"/>
          <w:color w:val="000000"/>
          <w:sz w:val="20"/>
          <w:szCs w:val="20"/>
          <w:shd w:fill="auto" w:val="clear"/>
        </w:rPr>
        <w:t xml:space="preserve">2. DO REGISTRO DE PREÇOS </w:t>
      </w:r>
    </w:p>
    <w:p>
      <w:pPr>
        <w:pStyle w:val="Normal"/>
        <w:rPr>
          <w:rFonts w:ascii="Arial" w:hAnsi="Arial" w:cs="Arial"/>
          <w:b/>
          <w:b/>
          <w:i w:val="false"/>
          <w:i w:val="false"/>
          <w:iCs w:val="false"/>
          <w:color w:val="000000"/>
          <w:sz w:val="20"/>
          <w:szCs w:val="20"/>
          <w:shd w:fill="auto" w:val="clear"/>
        </w:rPr>
      </w:pPr>
      <w:r>
        <w:rPr>
          <w:rFonts w:cs="Arial" w:ascii="Arial" w:hAnsi="Arial"/>
          <w:b/>
          <w:i w:val="false"/>
          <w:iCs w:val="false"/>
          <w:color w:val="000000"/>
          <w:sz w:val="20"/>
          <w:szCs w:val="20"/>
          <w:shd w:fill="auto" w:val="clear"/>
        </w:rPr>
      </w:r>
    </w:p>
    <w:p>
      <w:pPr>
        <w:pStyle w:val="Normal"/>
        <w:widowControl/>
        <w:numPr>
          <w:ilvl w:val="0"/>
          <w:numId w:val="0"/>
        </w:numPr>
        <w:tabs>
          <w:tab w:val="clear" w:pos="720"/>
          <w:tab w:val="left" w:pos="456" w:leader="none"/>
        </w:tabs>
        <w:suppressAutoHyphens w:val="true"/>
        <w:bidi w:val="0"/>
        <w:spacing w:lineRule="auto" w:line="276" w:before="120" w:after="120"/>
        <w:ind w:left="99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2.1. 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i w:val="false"/>
          <w:i w:val="false"/>
          <w:iCs w:val="false"/>
          <w:color w:val="000000"/>
          <w:sz w:val="20"/>
          <w:szCs w:val="20"/>
          <w:shd w:fill="auto" w:val="clear"/>
          <w:lang w:eastAsia="en-US"/>
        </w:rPr>
      </w:pPr>
      <w:r>
        <w:rPr>
          <w:rFonts w:cs="Arial" w:ascii="Arial" w:hAnsi="Arial"/>
          <w:i w:val="false"/>
          <w:iCs w:val="false"/>
          <w:color w:val="000000"/>
          <w:sz w:val="20"/>
          <w:szCs w:val="20"/>
          <w:shd w:fill="auto" w:val="clear"/>
          <w:lang w:eastAsia="en-US"/>
        </w:rPr>
      </w:r>
    </w:p>
    <w:p>
      <w:pPr>
        <w:pStyle w:val="Nivel01"/>
        <w:keepNext w:val="true"/>
        <w:keepLines/>
        <w:widowControl/>
        <w:numPr>
          <w:ilvl w:val="0"/>
          <w:numId w:val="0"/>
        </w:numPr>
        <w:suppressAutoHyphens w:val="true"/>
        <w:bidi w:val="0"/>
        <w:spacing w:before="240" w:after="0"/>
        <w:ind w:left="587" w:right="0" w:hanging="0"/>
        <w:jc w:val="both"/>
        <w:rPr>
          <w:rFonts w:ascii="Arial" w:hAnsi="Arial" w:cs="Arial"/>
        </w:rPr>
      </w:pPr>
      <w:r>
        <w:rPr>
          <w:rFonts w:cs="Arial" w:ascii="Arial" w:hAnsi="Arial"/>
        </w:rPr>
        <w:t>3. DO CREDENCIAMENTO</w:t>
      </w:r>
    </w:p>
    <w:p>
      <w:pPr>
        <w:pStyle w:val="Normal"/>
        <w:widowControl/>
        <w:numPr>
          <w:ilvl w:val="0"/>
          <w:numId w:val="0"/>
        </w:numPr>
        <w:suppressAutoHyphens w:val="true"/>
        <w:bidi w:val="0"/>
        <w:spacing w:lineRule="auto" w:line="276" w:before="120" w:after="120"/>
        <w:ind w:left="2019" w:right="0"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widowControl/>
        <w:numPr>
          <w:ilvl w:val="0"/>
          <w:numId w:val="0"/>
        </w:numPr>
        <w:suppressAutoHyphens w:val="true"/>
        <w:bidi w:val="0"/>
        <w:spacing w:lineRule="auto" w:line="276" w:before="120" w:after="120"/>
        <w:ind w:left="2041"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3.2. </w:t>
      </w:r>
      <w:r>
        <w:rPr>
          <w:rFonts w:cs="Arial" w:ascii="Arial" w:hAnsi="Arial"/>
          <w:color w:val="000000" w:themeColor="text1"/>
          <w:sz w:val="20"/>
          <w:szCs w:val="20"/>
        </w:rPr>
        <w:t xml:space="preserve">O cadastro no SICAF deverá ser feito no Portal de Compras do Governo Federal, no sítio </w:t>
      </w:r>
      <w:hyperlink r:id="rId5">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widowControl/>
        <w:numPr>
          <w:ilvl w:val="0"/>
          <w:numId w:val="0"/>
        </w:numPr>
        <w:suppressAutoHyphens w:val="true"/>
        <w:bidi w:val="0"/>
        <w:spacing w:lineRule="auto" w:line="276" w:before="120" w:after="120"/>
        <w:ind w:left="2019" w:right="0" w:hanging="0"/>
        <w:jc w:val="both"/>
        <w:rPr>
          <w:rFonts w:ascii="Arial" w:hAnsi="Arial" w:cs="Arial"/>
          <w:color w:val="000000"/>
          <w:sz w:val="20"/>
          <w:szCs w:val="20"/>
        </w:rPr>
      </w:pPr>
      <w:r>
        <w:rPr>
          <w:rFonts w:cs="Arial" w:ascii="Arial" w:hAnsi="Arial"/>
          <w:color w:val="000000"/>
          <w:sz w:val="20"/>
          <w:szCs w:val="20"/>
        </w:rPr>
        <w:t>3.</w:t>
      </w:r>
      <w:r>
        <w:rPr>
          <w:rFonts w:cs="Arial" w:ascii="Arial" w:hAnsi="Arial"/>
          <w:color w:val="000000"/>
          <w:sz w:val="20"/>
          <w:szCs w:val="20"/>
        </w:rPr>
        <w:t>3</w:t>
      </w:r>
      <w:r>
        <w:rPr>
          <w:rFonts w:cs="Arial" w:ascii="Arial" w:hAnsi="Arial"/>
          <w:color w:val="000000"/>
          <w:sz w:val="20"/>
          <w:szCs w:val="20"/>
        </w:rPr>
        <w:t>. O credenciamento junto ao provedor do sistema implica a responsabilidade do licitante ou de seu representante legal e a presunção de sua capacidade técnica para realização das transações inerentes a este Pregão.</w:t>
      </w:r>
    </w:p>
    <w:p>
      <w:pPr>
        <w:pStyle w:val="Normal"/>
        <w:widowControl/>
        <w:numPr>
          <w:ilvl w:val="0"/>
          <w:numId w:val="0"/>
        </w:numPr>
        <w:suppressAutoHyphens w:val="true"/>
        <w:bidi w:val="0"/>
        <w:spacing w:lineRule="auto" w:line="276" w:before="120" w:after="120"/>
        <w:ind w:left="2019" w:right="0" w:hanging="0"/>
        <w:jc w:val="both"/>
        <w:rPr>
          <w:rFonts w:ascii="Arial" w:hAnsi="Arial" w:cs="Arial"/>
          <w:color w:val="000000"/>
          <w:sz w:val="20"/>
          <w:szCs w:val="20"/>
        </w:rPr>
      </w:pPr>
      <w:r>
        <w:rPr>
          <w:rFonts w:cs="Arial" w:ascii="Arial" w:hAnsi="Arial"/>
          <w:color w:val="000000"/>
          <w:sz w:val="20"/>
          <w:szCs w:val="20"/>
        </w:rPr>
        <w:t>3.</w:t>
      </w:r>
      <w:r>
        <w:rPr>
          <w:rFonts w:cs="Arial" w:ascii="Arial" w:hAnsi="Arial"/>
          <w:color w:val="000000"/>
          <w:sz w:val="20"/>
          <w:szCs w:val="20"/>
        </w:rPr>
        <w:t>4</w:t>
      </w:r>
      <w:r>
        <w:rPr>
          <w:rFonts w:cs="Arial" w:ascii="Arial" w:hAnsi="Arial"/>
          <w:color w:val="000000"/>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widowControl/>
        <w:numPr>
          <w:ilvl w:val="0"/>
          <w:numId w:val="0"/>
        </w:numPr>
        <w:suppressAutoHyphens w:val="true"/>
        <w:bidi w:val="0"/>
        <w:spacing w:lineRule="auto" w:line="276" w:before="120" w:after="120"/>
        <w:ind w:left="2019" w:right="0" w:hanging="0"/>
        <w:jc w:val="both"/>
        <w:rPr>
          <w:rFonts w:ascii="Arial" w:hAnsi="Arial" w:cs="Arial"/>
          <w:sz w:val="20"/>
          <w:szCs w:val="20"/>
        </w:rPr>
      </w:pPr>
      <w:r>
        <w:rPr>
          <w:rFonts w:cs="Arial" w:ascii="Arial" w:hAnsi="Arial"/>
          <w:sz w:val="20"/>
          <w:szCs w:val="20"/>
        </w:rPr>
        <w:t>3.</w:t>
      </w:r>
      <w:r>
        <w:rPr>
          <w:rFonts w:cs="Arial" w:ascii="Arial" w:hAnsi="Arial"/>
          <w:sz w:val="20"/>
          <w:szCs w:val="20"/>
        </w:rPr>
        <w:t>5</w:t>
      </w:r>
      <w:r>
        <w:rPr>
          <w:rFonts w:cs="Arial" w:ascii="Arial" w:hAnsi="Arial"/>
          <w:sz w:val="20"/>
          <w:szCs w:val="20"/>
        </w:rPr>
        <w:t>.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3.</w:t>
      </w:r>
      <w:r>
        <w:rPr>
          <w:rFonts w:cs="Arial" w:ascii="Arial" w:hAnsi="Arial"/>
          <w:color w:val="000000"/>
          <w:sz w:val="20"/>
          <w:szCs w:val="20"/>
        </w:rPr>
        <w:t>5</w:t>
      </w:r>
      <w:r>
        <w:rPr>
          <w:rFonts w:cs="Arial" w:ascii="Arial" w:hAnsi="Arial"/>
          <w:color w:val="000000"/>
          <w:sz w:val="20"/>
          <w:szCs w:val="20"/>
        </w:rPr>
        <w:t>.1. 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keepNext w:val="true"/>
        <w:keepLines/>
        <w:widowControl/>
        <w:numPr>
          <w:ilvl w:val="0"/>
          <w:numId w:val="0"/>
        </w:numPr>
        <w:suppressAutoHyphens w:val="true"/>
        <w:bidi w:val="0"/>
        <w:spacing w:before="240" w:after="0"/>
        <w:ind w:left="0" w:right="0" w:hanging="0"/>
        <w:jc w:val="both"/>
        <w:rPr>
          <w:rFonts w:ascii="Arial" w:hAnsi="Arial" w:cs="Arial"/>
        </w:rPr>
      </w:pPr>
      <w:r>
        <w:rPr>
          <w:rFonts w:cs="Arial" w:ascii="Arial" w:hAnsi="Arial"/>
        </w:rPr>
        <w:t>4. A PARTICIPAÇÃO NO PREGÃO.</w:t>
      </w:r>
    </w:p>
    <w:p>
      <w:pPr>
        <w:pStyle w:val="Normal"/>
        <w:widowControl/>
        <w:numPr>
          <w:ilvl w:val="0"/>
          <w:numId w:val="0"/>
        </w:numPr>
        <w:suppressAutoHyphens w:val="true"/>
        <w:bidi w:val="0"/>
        <w:spacing w:lineRule="auto" w:line="276" w:before="120" w:after="120"/>
        <w:ind w:left="567" w:right="0"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276" w:before="120" w:after="120"/>
        <w:ind w:left="1638" w:hanging="0"/>
        <w:jc w:val="both"/>
        <w:rPr>
          <w:color w:val="000000"/>
        </w:rPr>
      </w:pPr>
      <w:r>
        <w:rPr>
          <w:rFonts w:cs="Arial" w:ascii="Arial" w:hAnsi="Arial"/>
          <w:color w:val="000000"/>
          <w:sz w:val="20"/>
          <w:szCs w:val="20"/>
        </w:rPr>
        <w:t>4.1.2. Para os itens 01 a 14, a participação é exclusiva a microempresas e empresas de pequeno porte, nos termos do art. 48 da Lei Complementar nº 123, de 14 de dezembro de 2006.</w:t>
      </w:r>
    </w:p>
    <w:p>
      <w:pPr>
        <w:pStyle w:val="Normal"/>
        <w:widowControl/>
        <w:numPr>
          <w:ilvl w:val="0"/>
          <w:numId w:val="0"/>
        </w:numPr>
        <w:suppressAutoHyphens w:val="true"/>
        <w:bidi w:val="0"/>
        <w:spacing w:lineRule="auto" w:line="276" w:before="120" w:after="120"/>
        <w:ind w:left="567" w:right="0" w:hanging="0"/>
        <w:jc w:val="both"/>
        <w:rPr>
          <w:rFonts w:ascii="Arial" w:hAnsi="Arial" w:cs="Arial"/>
          <w:bCs/>
          <w:iCs/>
          <w:color w:val="000000"/>
          <w:sz w:val="20"/>
          <w:szCs w:val="20"/>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widowControl/>
        <w:numPr>
          <w:ilvl w:val="0"/>
          <w:numId w:val="0"/>
        </w:numPr>
        <w:suppressAutoHyphens w:val="true"/>
        <w:bidi w:val="0"/>
        <w:snapToGrid w:val="false"/>
        <w:spacing w:lineRule="auto" w:line="276" w:before="120" w:after="120"/>
        <w:ind w:left="0" w:right="0" w:hanging="0"/>
        <w:jc w:val="both"/>
        <w:rPr>
          <w:rFonts w:ascii="Arial" w:hAnsi="Arial" w:cs="Arial"/>
          <w:bCs/>
          <w:color w:val="000000"/>
          <w:sz w:val="20"/>
          <w:szCs w:val="20"/>
        </w:rPr>
      </w:pPr>
      <w:r>
        <w:rPr>
          <w:rFonts w:cs="Arial" w:ascii="Arial" w:hAnsi="Arial"/>
          <w:bCs/>
          <w:color w:val="000000"/>
          <w:sz w:val="20"/>
          <w:szCs w:val="20"/>
        </w:rPr>
        <w:t>4.3. Não poderão participar desta licitação os interessados: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color w:val="000000"/>
          <w:sz w:val="20"/>
          <w:szCs w:val="20"/>
        </w:rPr>
        <w:t xml:space="preserve">4.3.5. 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FF"/>
          <w:sz w:val="20"/>
          <w:szCs w:val="20"/>
        </w:rPr>
      </w:pPr>
      <w:r>
        <w:rPr>
          <w:rFonts w:cs="Arial" w:ascii="Arial" w:hAnsi="Arial"/>
          <w:sz w:val="20"/>
          <w:szCs w:val="20"/>
        </w:rPr>
        <w:t>4.3.6. Entidades empresariais que estejam reunidas em consórcio;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b/>
          <w:b/>
          <w:bCs/>
          <w:u w:val="single"/>
        </w:rPr>
      </w:pPr>
      <w:r>
        <w:rPr>
          <w:rFonts w:cs="Arial" w:ascii="Arial" w:hAnsi="Arial"/>
          <w:b/>
          <w:bCs/>
          <w:sz w:val="20"/>
          <w:szCs w:val="20"/>
          <w:u w:val="single"/>
        </w:rPr>
        <w:t>4.3.6.1. O presente edital não prevê as condições de participação de empresas reunidas em consórcio, vez que a experiência prática demonstra que as licitações que permitem essa participação são aquelas que envolvem serviços de grande vulto e/ou de alta complexidade técnica.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color w:val="000000"/>
          <w:sz w:val="20"/>
          <w:szCs w:val="20"/>
        </w:rPr>
        <w:t>4.3.7. Organizações da Sociedade Civil de Interesse Público - OSCIP, atuando nessa condição (Acórdão nº 746/2014-TCU-Plenário).</w:t>
      </w:r>
    </w:p>
    <w:p>
      <w:pPr>
        <w:pStyle w:val="Normal"/>
        <w:tabs>
          <w:tab w:val="clear" w:pos="720"/>
          <w:tab w:val="left" w:pos="1440" w:leader="none"/>
        </w:tabs>
        <w:snapToGrid w:val="false"/>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napToGrid w:val="false"/>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701" w:right="0"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4.4.3. </w:t>
      </w:r>
      <w:r>
        <w:rPr>
          <w:rFonts w:cs="Arial" w:ascii="Arial" w:hAnsi="Arial"/>
          <w:color w:val="000000" w:themeColor="text1"/>
          <w:sz w:val="20"/>
          <w:szCs w:val="20"/>
        </w:rPr>
        <w:t xml:space="preserve">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000000"/>
          <w:sz w:val="20"/>
          <w:szCs w:val="20"/>
        </w:rPr>
      </w:pPr>
      <w:r>
        <w:rPr>
          <w:rFonts w:cs="Arial" w:ascii="Arial" w:hAnsi="Arial"/>
          <w:bCs/>
          <w:color w:val="000000"/>
          <w:sz w:val="20"/>
          <w:szCs w:val="20"/>
        </w:rPr>
        <w:t>4.4.7. que não possui, em sua cadeia produtiva, empregados executando trabalho degradante ou forçado, observando o disposto nos incisos III e IV do art. 1º e no inciso III do art. 5º da Constituição Federal;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644" w:right="0" w:hanging="0"/>
        <w:jc w:val="both"/>
        <w:rPr>
          <w:rFonts w:ascii="Arial" w:hAnsi="Arial" w:cs="Arial"/>
          <w:bCs/>
          <w:color w:val="FF0000"/>
          <w:sz w:val="20"/>
          <w:szCs w:val="20"/>
        </w:rPr>
      </w:pPr>
      <w:r>
        <w:rPr>
          <w:rFonts w:cs="Arial" w:ascii="Arial" w:hAnsi="Arial"/>
          <w:bCs/>
          <w:color w:val="000000"/>
          <w:sz w:val="20"/>
          <w:szCs w:val="20"/>
        </w:rPr>
        <w:t xml:space="preserve">4.4.8.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widowControl/>
        <w:numPr>
          <w:ilvl w:val="0"/>
          <w:numId w:val="0"/>
        </w:numPr>
        <w:suppressAutoHyphens w:val="true"/>
        <w:bidi w:val="0"/>
        <w:snapToGrid w:val="false"/>
        <w:spacing w:lineRule="auto" w:line="276" w:before="120" w:after="120"/>
        <w:ind w:left="567" w:right="0" w:hanging="0"/>
        <w:jc w:val="both"/>
        <w:rPr>
          <w:rFonts w:ascii="Arial" w:hAnsi="Arial" w:cs="Arial"/>
          <w:color w:val="000000"/>
          <w:sz w:val="20"/>
          <w:szCs w:val="20"/>
        </w:rPr>
      </w:pPr>
      <w:r>
        <w:rPr>
          <w:rFonts w:cs="Arial" w:ascii="Arial" w:hAnsi="Arial"/>
          <w:bCs/>
          <w:color w:val="000000"/>
          <w:sz w:val="20"/>
          <w:szCs w:val="20"/>
        </w:rPr>
        <w:t xml:space="preserve">4.5. </w:t>
      </w:r>
      <w:r>
        <w:rPr>
          <w:rFonts w:cs="Arial" w:ascii="Arial" w:hAnsi="Arial"/>
          <w:color w:val="000000"/>
          <w:sz w:val="20"/>
          <w:szCs w:val="20"/>
        </w:rPr>
        <w:t>A declaração falsa relativa ao cumprimento de qualquer condição sujeitará o licitante às sanções previstas em lei e neste Edital.</w:t>
      </w:r>
    </w:p>
    <w:p>
      <w:pPr>
        <w:pStyle w:val="Normal"/>
        <w:widowControl/>
        <w:numPr>
          <w:ilvl w:val="0"/>
          <w:numId w:val="0"/>
        </w:numPr>
        <w:suppressAutoHyphens w:val="true"/>
        <w:bidi w:val="0"/>
        <w:snapToGrid w:val="false"/>
        <w:spacing w:lineRule="auto" w:line="276" w:before="120" w:after="120"/>
        <w:ind w:left="1963" w:right="0" w:hanging="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5. DA APRESENTAÇÃO DA PROPOSTA E DOS DOCUMENTOS DE HABILITAÇÃO</w:t>
      </w:r>
    </w:p>
    <w:p>
      <w:pPr>
        <w:pStyle w:val="Normal"/>
        <w:numPr>
          <w:ilvl w:val="0"/>
          <w:numId w:val="0"/>
        </w:numPr>
        <w:ind w:left="360" w:hanging="0"/>
        <w:rPr>
          <w:rFonts w:ascii="Arial" w:hAnsi="Arial" w:cs="Arial"/>
        </w:rPr>
      </w:pPr>
      <w:r>
        <w:rPr>
          <w:rFonts w:cs="Arial" w:ascii="Arial" w:hAnsi="Arial"/>
        </w:rPr>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keepNext w:val="true"/>
        <w:keepLines/>
        <w:widowControl/>
        <w:numPr>
          <w:ilvl w:val="0"/>
          <w:numId w:val="0"/>
        </w:numPr>
        <w:suppressAutoHyphens w:val="true"/>
        <w:bidi w:val="0"/>
        <w:spacing w:before="240" w:after="0"/>
        <w:ind w:left="-207" w:right="0" w:hanging="0"/>
        <w:jc w:val="both"/>
        <w:rPr>
          <w:rFonts w:ascii="Arial" w:hAnsi="Arial" w:cs="Arial"/>
        </w:rPr>
      </w:pPr>
      <w:r>
        <w:rPr>
          <w:rFonts w:cs="Arial" w:ascii="Arial" w:hAnsi="Arial"/>
        </w:rPr>
        <w:t>6. DO PREENCHIMENTO DA PROPOSTA</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pacing w:lineRule="auto" w:line="276" w:before="120" w:after="120"/>
        <w:ind w:left="0" w:right="0"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color w:val="000000"/>
        </w:rPr>
      </w:pPr>
      <w:r>
        <w:rPr>
          <w:rFonts w:cs="Arial" w:ascii="Arial" w:hAnsi="Arial"/>
          <w:i/>
          <w:color w:val="000000"/>
          <w:sz w:val="20"/>
          <w:szCs w:val="20"/>
        </w:rPr>
        <w:t xml:space="preserve">6.1.1. Valor unitário e total </w:t>
      </w:r>
      <w:r>
        <w:rPr>
          <w:rFonts w:cs="Arial" w:ascii="Arial" w:hAnsi="Arial"/>
          <w:bCs/>
          <w:i/>
          <w:iCs/>
          <w:color w:val="000000"/>
          <w:sz w:val="20"/>
          <w:szCs w:val="20"/>
        </w:rPr>
        <w:t>do item;</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6.1.2. Marca;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 xml:space="preserve">6.1.3. Fabricante;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iCs/>
          <w:color w:val="000000"/>
          <w:sz w:val="20"/>
          <w:szCs w:val="20"/>
        </w:rPr>
        <w:t>6.1.4. 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sz w:val="20"/>
          <w:szCs w:val="20"/>
        </w:rPr>
        <w:t>6.2. Todas as especificações do objeto contidas na proposta vinculam a Contratada.</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 xml:space="preserve">6.5. O prazo de validade da proposta não será inferior a </w:t>
      </w:r>
      <w:r>
        <w:rPr>
          <w:rFonts w:cs="Arial" w:ascii="Arial" w:hAnsi="Arial"/>
          <w:b/>
          <w:bCs/>
          <w:color w:val="000000"/>
          <w:sz w:val="20"/>
          <w:szCs w:val="20"/>
          <w:u w:val="single"/>
        </w:rPr>
        <w:t>90 (noventa)</w:t>
      </w:r>
      <w:r>
        <w:rPr>
          <w:rFonts w:cs="Arial" w:ascii="Arial" w:hAnsi="Arial"/>
          <w:b/>
          <w:bCs/>
          <w:iCs/>
          <w:color w:val="000000"/>
          <w:sz w:val="20"/>
          <w:szCs w:val="20"/>
          <w:u w:val="single"/>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0" w:hanging="0"/>
        <w:contextualSpacing/>
        <w:jc w:val="both"/>
        <w:rPr>
          <w:rFonts w:ascii="Arial" w:hAnsi="Arial" w:cs="Arial"/>
          <w:color w:val="000000"/>
          <w:sz w:val="20"/>
          <w:szCs w:val="20"/>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6.7.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keepNext w:val="true"/>
        <w:keepLines/>
        <w:widowControl/>
        <w:numPr>
          <w:ilvl w:val="0"/>
          <w:numId w:val="0"/>
        </w:numPr>
        <w:suppressAutoHyphens w:val="true"/>
        <w:bidi w:val="0"/>
        <w:spacing w:before="240" w:after="0"/>
        <w:ind w:left="-227" w:right="0" w:hanging="0"/>
        <w:jc w:val="both"/>
        <w:rPr>
          <w:rFonts w:ascii="Arial" w:hAnsi="Arial" w:cs="Arial"/>
        </w:rPr>
      </w:pPr>
      <w:r>
        <w:rPr>
          <w:rFonts w:cs="Arial" w:ascii="Arial" w:hAnsi="Arial"/>
        </w:rPr>
      </w:r>
    </w:p>
    <w:p>
      <w:pPr>
        <w:pStyle w:val="Nivel01"/>
        <w:widowControl/>
        <w:numPr>
          <w:ilvl w:val="0"/>
          <w:numId w:val="0"/>
        </w:numPr>
        <w:suppressAutoHyphens w:val="true"/>
        <w:bidi w:val="0"/>
        <w:spacing w:before="240" w:after="0"/>
        <w:ind w:left="-227" w:right="0" w:hanging="0"/>
        <w:jc w:val="both"/>
        <w:rPr>
          <w:rFonts w:ascii="Arial" w:hAnsi="Arial" w:cs="Arial"/>
        </w:rPr>
      </w:pPr>
      <w:r>
        <w:rPr>
          <w:rFonts w:cs="Arial" w:ascii="Arial" w:hAnsi="Arial"/>
          <w:color w:val="auto"/>
        </w:rPr>
        <w:t xml:space="preserve">7. DA ABERTURA DA SESSÃO, CLASSIFICAÇÃO DAS PROPOSTAS E FORMULAÇÃO DE LANCES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lang w:eastAsia="en-US"/>
        </w:rPr>
        <w:t>7.2.1. Também será desclassificada a proposta que identifique o licitante.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rPr>
        <w:t>7.2.2. A desclassificação será sempre fundamentada e registrada no sistema, com acompanhamento em tempo real por todos os participantes.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134" w:right="0" w:hanging="0"/>
        <w:jc w:val="both"/>
        <w:rPr>
          <w:rFonts w:ascii="Arial" w:hAnsi="Arial" w:cs="Arial"/>
          <w:color w:val="000000"/>
          <w:sz w:val="20"/>
          <w:szCs w:val="20"/>
          <w:lang w:eastAsia="en-US"/>
        </w:rPr>
      </w:pPr>
      <w:r>
        <w:rPr>
          <w:rFonts w:cs="Arial" w:ascii="Arial" w:hAnsi="Arial"/>
          <w:color w:val="000000"/>
          <w:sz w:val="20"/>
          <w:szCs w:val="20"/>
        </w:rPr>
        <w:t>7.2.3. A não desclassificação da proposta não impede o seu julgamento definitivo em sentido contrário, levado a efeito na fase de aceitação.</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7.3. O sistema ordenará automaticamente as propostas classificadas, sendo que somente estas participarão da fase de lances.</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7.4. O sistema disponibilizará campo próprio para troca de mensagens entre o Pregoeiro e os licitantes.</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 xml:space="preserve">7.5.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color w:val="000000"/>
        </w:rPr>
      </w:pPr>
      <w:r>
        <w:rPr>
          <w:rFonts w:cs="Arial" w:ascii="Arial" w:hAnsi="Arial"/>
          <w:color w:val="000000"/>
          <w:sz w:val="20"/>
          <w:szCs w:val="20"/>
        </w:rPr>
        <w:t xml:space="preserve">7.6. O lance deverá ser ofertado pelo valor </w:t>
      </w:r>
      <w:r>
        <w:rPr>
          <w:rFonts w:cs="Arial" w:ascii="Arial" w:hAnsi="Arial"/>
          <w:i/>
          <w:color w:val="000000"/>
          <w:sz w:val="20"/>
          <w:szCs w:val="20"/>
        </w:rPr>
        <w:t>total/unitário do item/lote.</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color w:val="000000"/>
          <w:sz w:val="20"/>
          <w:szCs w:val="20"/>
        </w:rPr>
        <w:t>7.7. Os licitantes poderão oferecer lances sucessivos, observando o horário fixado para abertura da sessão e as regras estabelecidas no Edital.</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rPr>
      </w:pPr>
      <w:r>
        <w:rPr>
          <w:rFonts w:cs="Arial" w:ascii="Arial" w:hAnsi="Arial"/>
          <w:sz w:val="20"/>
          <w:szCs w:val="20"/>
        </w:rPr>
        <w:t>7.8. O licitante somente poderá oferecer lance de valor inferior ou percentual de desconto superior ao último por ele ofertado e registrado pelo sistema.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567" w:right="0" w:hanging="0"/>
        <w:contextualSpacing/>
        <w:jc w:val="both"/>
        <w:rPr>
          <w:i w:val="false"/>
          <w:i w:val="false"/>
          <w:iCs w:val="false"/>
          <w:color w:val="000000"/>
        </w:rPr>
      </w:pPr>
      <w:r>
        <w:rPr>
          <w:rFonts w:cs="Arial" w:ascii="Arial" w:hAnsi="Arial"/>
          <w:i w:val="false"/>
          <w:iCs w:val="false"/>
          <w:color w:val="000000"/>
          <w:sz w:val="20"/>
          <w:szCs w:val="20"/>
        </w:rPr>
        <w:t xml:space="preserve">7.9. O intervalo mínimo de diferença de valores ou percentuais entre os lances, que incidirá tanto em relação aos lances intermediários quanto em relação à proposta que cobrir a melhor oferta deverá ser R$ </w:t>
      </w:r>
      <w:r>
        <w:rPr>
          <w:rFonts w:cs="Arial" w:ascii="Arial" w:hAnsi="Arial"/>
          <w:b/>
          <w:bCs/>
          <w:i w:val="false"/>
          <w:iCs w:val="false"/>
          <w:color w:val="000000"/>
          <w:sz w:val="20"/>
          <w:szCs w:val="20"/>
          <w:u w:val="single"/>
        </w:rPr>
        <w:t>0,05 (cinco centavos de real).</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7.10. Será adotado para o envio de lances no pregão eletrônico o modo de disputa “aberto e fechado”, em que os licitantes apresentarão lances públicos e sucessivos, com lance final e fechado.</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true"/>
        <w:bidi w:val="0"/>
        <w:spacing w:lineRule="auto" w:line="276" w:before="120" w:after="120"/>
        <w:ind w:left="567" w:right="0" w:hanging="0"/>
        <w:jc w:val="both"/>
        <w:rPr>
          <w:color w:val="000000"/>
        </w:rPr>
      </w:pPr>
      <w:r>
        <w:rPr>
          <w:rFonts w:cs="Arial" w:ascii="Arial" w:hAnsi="Arial"/>
          <w:i w:val="false"/>
          <w:iCs w:val="false"/>
          <w:color w:val="000000"/>
          <w:sz w:val="20"/>
          <w:szCs w:val="20"/>
        </w:rPr>
        <w:t>7.12. Encerrado o prazo previsto no item anterior, o sistema abrirá oportunidade para que o autor da oferta de valor mais baixo e os das ofertas com preços até dez por cento superiores</w:t>
      </w:r>
      <w:r>
        <w:rPr>
          <w:rFonts w:cs="Arial" w:ascii="Arial" w:hAnsi="Arial"/>
          <w:i/>
          <w:iCs/>
          <w:color w:val="000000"/>
          <w:sz w:val="20"/>
          <w:szCs w:val="20"/>
        </w:rPr>
        <w:t xml:space="preserve"> àquela possam ofertar um lance final e fechado em até cinco minutos, o qual será sigiloso até o encerramento deste prazo.</w:t>
      </w:r>
    </w:p>
    <w:p>
      <w:pPr>
        <w:pStyle w:val="Normal"/>
        <w:numPr>
          <w:ilvl w:val="0"/>
          <w:numId w:val="0"/>
        </w:numPr>
        <w:spacing w:lineRule="auto" w:line="276" w:before="120" w:after="120"/>
        <w:ind w:left="1712" w:hanging="0"/>
        <w:jc w:val="both"/>
        <w:rPr>
          <w:i w:val="false"/>
          <w:i w:val="false"/>
          <w:iCs w:val="false"/>
          <w:color w:val="000000"/>
        </w:rPr>
      </w:pPr>
      <w:r>
        <w:rPr>
          <w:rFonts w:cs="Arial" w:ascii="Arial" w:hAnsi="Arial"/>
          <w:i w:val="false"/>
          <w:iCs w:val="false"/>
          <w:color w:val="000000"/>
          <w:sz w:val="20"/>
          <w:szCs w:val="20"/>
        </w:rPr>
        <w:t>7.12.1.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cs="Arial" w:ascii="Arial" w:hAnsi="Arial"/>
          <w:i w:val="false"/>
          <w:iCs w:val="false"/>
          <w:color w:val="000000"/>
          <w:sz w:val="20"/>
          <w:szCs w:val="20"/>
        </w:rPr>
        <w:t>7.13. Após o término dos prazos estabelecidos nos itens anteriores, o sistema ordenará os lances segundo a ordem crescente de valores.</w:t>
      </w:r>
    </w:p>
    <w:p>
      <w:pPr>
        <w:pStyle w:val="Normal"/>
        <w:widowControl/>
        <w:numPr>
          <w:ilvl w:val="0"/>
          <w:numId w:val="0"/>
        </w:numPr>
        <w:suppressAutoHyphens w:val="true"/>
        <w:bidi w:val="0"/>
        <w:spacing w:lineRule="auto" w:line="276" w:before="120" w:after="120"/>
        <w:ind w:left="567" w:right="0" w:hanging="0"/>
        <w:jc w:val="both"/>
        <w:rPr>
          <w:i w:val="false"/>
          <w:i w:val="false"/>
          <w:iCs w:val="false"/>
          <w:color w:val="000000"/>
        </w:rPr>
      </w:pPr>
      <w:r>
        <w:rPr>
          <w:rFonts w:eastAsia="Times New Roman" w:cs="Arial" w:ascii="Arial" w:hAnsi="Arial"/>
          <w:i w:val="false"/>
          <w:iCs w:val="false"/>
          <w:color w:val="000000"/>
          <w:sz w:val="20"/>
          <w:szCs w:val="20"/>
        </w:rPr>
        <w:t xml:space="preserve">7.14. Não havendo lance final e fechado classificado na forma estabelecida nos itens </w:t>
      </w:r>
      <w:r>
        <w:rPr>
          <w:rFonts w:cs="Arial" w:ascii="Arial" w:hAnsi="Arial"/>
          <w:i w:val="false"/>
          <w:iCs w:val="false"/>
          <w:color w:val="000000"/>
          <w:sz w:val="20"/>
          <w:szCs w:val="20"/>
        </w:rPr>
        <w:t>anteriores</w:t>
      </w:r>
      <w:r>
        <w:rPr>
          <w:rFonts w:eastAsia="Times New Roman" w:cs="Arial" w:ascii="Arial" w:hAnsi="Arial"/>
          <w:i w:val="false"/>
          <w:iCs w:val="false"/>
          <w:color w:val="000000"/>
          <w:sz w:val="20"/>
          <w:szCs w:val="20"/>
        </w:rPr>
        <w:t xml:space="preserve">, </w:t>
      </w:r>
      <w:r>
        <w:rPr>
          <w:rFonts w:cs="Arial" w:ascii="Arial" w:hAnsi="Arial"/>
          <w:i w:val="false"/>
          <w:iCs w:val="false"/>
          <w:color w:val="000000"/>
          <w:sz w:val="20"/>
          <w:szCs w:val="20"/>
        </w:rPr>
        <w:t>haverá o</w:t>
      </w:r>
      <w:r>
        <w:rPr>
          <w:rFonts w:eastAsia="Times New Roman" w:cs="Arial" w:ascii="Arial" w:hAnsi="Arial"/>
          <w:i w:val="false"/>
          <w:iCs w:val="false"/>
          <w:color w:val="00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0" w:right="0" w:hanging="0"/>
        <w:jc w:val="both"/>
        <w:rPr>
          <w:i w:val="false"/>
          <w:i w:val="false"/>
          <w:iCs w:val="false"/>
          <w:color w:val="000000"/>
        </w:rPr>
      </w:pPr>
      <w:r>
        <w:rPr>
          <w:rFonts w:eastAsia="Times New Roman" w:cs="Arial" w:ascii="Arial" w:hAnsi="Arial"/>
          <w:i w:val="false"/>
          <w:iCs w:val="false"/>
          <w:color w:val="000000"/>
          <w:sz w:val="20"/>
          <w:szCs w:val="20"/>
        </w:rPr>
        <w:t>7.15. 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7.16. Não serão aceitos dois ou mais lances de mesmo valor, prevalecendo aquele que for recebido e registrado em primeiro lugar.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7.17. Durante o transcurso da sessão pública, os licitantes serão informados, em tempo real, do valor do menor lance registrado, vedada a identificação do licitante. </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7.18. No caso de desconexão com o Pregoeiro, no decorrer da etapa competitiva do Pregão, o sistema eletrônico poderá permanecer acessível aos licitantes para a recepção dos lances.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7.19.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 xml:space="preserve">7.20. O Critério de julgamento adotado será o </w:t>
      </w:r>
      <w:r>
        <w:rPr>
          <w:rFonts w:cs="Arial" w:ascii="Arial" w:hAnsi="Arial"/>
          <w:b/>
          <w:bCs/>
          <w:i/>
          <w:color w:val="000000"/>
          <w:sz w:val="20"/>
          <w:szCs w:val="20"/>
          <w:u w:val="single"/>
        </w:rPr>
        <w:t>menor preço</w:t>
      </w:r>
      <w:r>
        <w:rPr>
          <w:rFonts w:cs="Arial" w:ascii="Arial" w:hAnsi="Arial"/>
          <w:b/>
          <w:bCs/>
          <w:color w:val="000000"/>
          <w:sz w:val="20"/>
          <w:szCs w:val="20"/>
          <w:u w:val="single"/>
        </w:rPr>
        <w:t>,</w:t>
      </w:r>
      <w:r>
        <w:rPr>
          <w:rFonts w:cs="Arial" w:ascii="Arial" w:hAnsi="Arial"/>
          <w:color w:val="000000"/>
          <w:sz w:val="20"/>
          <w:szCs w:val="20"/>
        </w:rPr>
        <w:t xml:space="preserve"> conforme definido neste Edital e seus anexos. </w:t>
      </w:r>
    </w:p>
    <w:p>
      <w:pPr>
        <w:pStyle w:val="Normal"/>
        <w:widowControl/>
        <w:numPr>
          <w:ilvl w:val="0"/>
          <w:numId w:val="0"/>
        </w:numPr>
        <w:suppressAutoHyphens w:val="true"/>
        <w:bidi w:val="0"/>
        <w:spacing w:lineRule="auto" w:line="276" w:before="120" w:after="120"/>
        <w:ind w:left="0" w:right="0" w:hanging="0"/>
        <w:jc w:val="both"/>
        <w:rPr>
          <w:rFonts w:ascii="Arial" w:hAnsi="Arial" w:eastAsia="Zurich BT" w:cs="Arial"/>
          <w:sz w:val="20"/>
          <w:szCs w:val="20"/>
        </w:rPr>
      </w:pPr>
      <w:r>
        <w:rPr>
          <w:rFonts w:cs="Arial" w:ascii="Arial" w:hAnsi="Arial"/>
          <w:color w:val="000000" w:themeColor="text1"/>
          <w:sz w:val="20"/>
          <w:szCs w:val="20"/>
          <w:lang w:eastAsia="en-US"/>
        </w:rPr>
        <w:t>7.21. Caso o licitante não apresente lances, concorrerá com o valor de sua proposta.</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7.22.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7.23. 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7.24.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7.25.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7.26.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color w:val="000000"/>
          <w:sz w:val="20"/>
          <w:szCs w:val="20"/>
          <w:lang w:eastAsia="en-US"/>
        </w:rPr>
      </w:pPr>
      <w:r>
        <w:rPr>
          <w:rFonts w:eastAsia="Arial" w:cs="Arial" w:ascii="Arial" w:hAnsi="Arial"/>
          <w:sz w:val="20"/>
          <w:szCs w:val="20"/>
        </w:rPr>
        <w:t xml:space="preserve">7.27. Só poderá haver empate entre propostas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7.28.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7.28.1.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7.28.2. Por empresas brasileiras; </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7.28.4.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color w:val="000000"/>
          <w:sz w:val="20"/>
          <w:szCs w:val="20"/>
          <w:lang w:eastAsia="en-US"/>
        </w:rPr>
      </w:pPr>
      <w:r>
        <w:rPr>
          <w:rFonts w:cs="Arial" w:ascii="Arial" w:hAnsi="Arial"/>
          <w:sz w:val="20"/>
          <w:szCs w:val="20"/>
        </w:rPr>
        <w:t xml:space="preserve">7.29.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tabs>
          <w:tab w:val="clear" w:pos="720"/>
          <w:tab w:val="left" w:pos="-12" w:leader="none"/>
        </w:tabs>
        <w:suppressAutoHyphens w:val="true"/>
        <w:bidi w:val="0"/>
        <w:spacing w:lineRule="auto" w:line="276" w:before="120" w:after="120"/>
        <w:ind w:left="567" w:right="0" w:hanging="57"/>
        <w:contextualSpacing/>
        <w:jc w:val="both"/>
        <w:rPr>
          <w:rFonts w:ascii="Arial" w:hAnsi="Arial" w:cs="Arial"/>
          <w:color w:val="000000" w:themeColor="text1"/>
          <w:sz w:val="20"/>
          <w:szCs w:val="20"/>
        </w:rPr>
      </w:pPr>
      <w:r>
        <w:rPr>
          <w:rFonts w:cs="Arial" w:ascii="Arial" w:hAnsi="Arial"/>
          <w:color w:val="000000"/>
          <w:sz w:val="20"/>
          <w:szCs w:val="20"/>
        </w:rPr>
        <w:t>7.30.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widowControl/>
        <w:numPr>
          <w:ilvl w:val="0"/>
          <w:numId w:val="0"/>
        </w:numPr>
        <w:tabs>
          <w:tab w:val="clear" w:pos="720"/>
          <w:tab w:val="left" w:pos="-12" w:leader="none"/>
        </w:tabs>
        <w:suppressAutoHyphens w:val="true"/>
        <w:bidi w:val="0"/>
        <w:spacing w:lineRule="auto" w:line="276" w:before="120" w:after="120"/>
        <w:ind w:left="1112"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r>
    </w:p>
    <w:p>
      <w:pPr>
        <w:pStyle w:val="ListParagraph"/>
        <w:widowControl/>
        <w:numPr>
          <w:ilvl w:val="0"/>
          <w:numId w:val="0"/>
        </w:numPr>
        <w:suppressAutoHyphens w:val="true"/>
        <w:bidi w:val="0"/>
        <w:spacing w:lineRule="auto" w:line="276" w:before="120" w:after="120"/>
        <w:ind w:left="1417"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7.30.1. A negociação será realizada por meio do sistema, podendo ser acompanhada pelos demais licitantes.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tabs>
          <w:tab w:val="clear" w:pos="720"/>
          <w:tab w:val="left" w:pos="-12" w:leader="none"/>
        </w:tabs>
        <w:suppressAutoHyphens w:val="true"/>
        <w:bidi w:val="0"/>
        <w:spacing w:lineRule="auto" w:line="276" w:before="120" w:after="120"/>
        <w:ind w:left="1417" w:right="0" w:hanging="0"/>
        <w:contextualSpacing/>
        <w:jc w:val="both"/>
        <w:rPr>
          <w:rFonts w:ascii="Arial" w:hAnsi="Arial" w:eastAsia="Arial" w:cs="Arial"/>
          <w:sz w:val="20"/>
          <w:szCs w:val="20"/>
        </w:rPr>
      </w:pPr>
      <w:r>
        <w:rPr>
          <w:rFonts w:cs="Arial" w:ascii="Arial" w:hAnsi="Arial"/>
          <w:color w:val="000000"/>
          <w:sz w:val="20"/>
          <w:szCs w:val="20"/>
        </w:rPr>
        <w:t xml:space="preserve">7.30.2.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 xml:space="preserve">no prazo de </w:t>
      </w:r>
      <w:r>
        <w:rPr>
          <w:rFonts w:cs="Arial" w:ascii="Arial" w:hAnsi="Arial"/>
          <w:b/>
          <w:bCs/>
          <w:color w:val="000000" w:themeColor="text1"/>
          <w:sz w:val="20"/>
          <w:szCs w:val="20"/>
        </w:rPr>
        <w:t xml:space="preserve">02 (duas) </w:t>
      </w:r>
      <w:r>
        <w:rPr>
          <w:rFonts w:cs="Arial" w:ascii="Arial" w:hAnsi="Arial"/>
          <w:color w:val="000000" w:themeColor="text1"/>
          <w:sz w:val="20"/>
          <w:szCs w:val="20"/>
        </w:rPr>
        <w:t xml:space="preserve">horas,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spacing w:lineRule="auto" w:line="276" w:before="120" w:after="120"/>
        <w:ind w:left="163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7.31. Após a negociação do preço, o Pregoeiro iniciará a fase de aceitação e julgamento da proposta.</w:t>
      </w:r>
    </w:p>
    <w:p>
      <w:pPr>
        <w:pStyle w:val="ListParagraph"/>
        <w:numPr>
          <w:ilvl w:val="0"/>
          <w:numId w:val="0"/>
        </w:numPr>
        <w:spacing w:lineRule="auto" w:line="276" w:before="120" w:after="120"/>
        <w:ind w:left="1424" w:hanging="0"/>
        <w:contextualSpacing/>
        <w:jc w:val="both"/>
        <w:rPr>
          <w:rFonts w:ascii="Arial" w:hAnsi="Arial" w:cs="Arial"/>
          <w:i/>
          <w:i/>
          <w:color w:val="FF0000"/>
          <w:sz w:val="20"/>
          <w:szCs w:val="20"/>
          <w:lang w:eastAsia="en-US"/>
        </w:rPr>
      </w:pPr>
      <w:r>
        <w:rPr>
          <w:rFonts w:cs="Arial" w:ascii="Arial" w:hAnsi="Arial"/>
          <w:i/>
          <w:color w:val="FF0000"/>
          <w:sz w:val="20"/>
          <w:szCs w:val="20"/>
          <w:lang w:eastAsia="en-US"/>
        </w:rPr>
      </w:r>
    </w:p>
    <w:p>
      <w:pPr>
        <w:pStyle w:val="Nivel01"/>
        <w:numPr>
          <w:ilvl w:val="0"/>
          <w:numId w:val="0"/>
        </w:numPr>
        <w:ind w:left="360" w:hanging="0"/>
        <w:rPr>
          <w:rFonts w:ascii="Arial" w:hAnsi="Arial" w:cs="Arial"/>
        </w:rPr>
      </w:pPr>
      <w:r>
        <w:rPr>
          <w:rFonts w:cs="Arial" w:ascii="Arial" w:hAnsi="Arial"/>
          <w:lang w:eastAsia="en-US"/>
        </w:rPr>
        <w:t>8. DA ACEITABILIDADE DA PROPOSTA VENCEDORA.</w:t>
      </w:r>
    </w:p>
    <w:p>
      <w:pPr>
        <w:pStyle w:val="Normal"/>
        <w:numPr>
          <w:ilvl w:val="0"/>
          <w:numId w:val="0"/>
        </w:numPr>
        <w:ind w:left="360" w:hanging="0"/>
        <w:rPr>
          <w:rFonts w:ascii="Arial" w:hAnsi="Arial" w:cs="Arial"/>
        </w:rPr>
      </w:pPr>
      <w:r>
        <w:rPr>
          <w:rFonts w:cs="Arial" w:ascii="Arial" w:hAnsi="Arial"/>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i/>
          <w:i/>
          <w:color w:val="000000" w:themeColor="text1"/>
          <w:sz w:val="20"/>
          <w:szCs w:val="20"/>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ListParagraph"/>
        <w:numPr>
          <w:ilvl w:val="0"/>
          <w:numId w:val="0"/>
        </w:numPr>
        <w:spacing w:lineRule="auto" w:line="276" w:before="120" w:after="120"/>
        <w:ind w:left="1424" w:hanging="0"/>
        <w:contextualSpacing/>
        <w:jc w:val="both"/>
        <w:rPr>
          <w:rFonts w:ascii="Arial" w:hAnsi="Arial" w:cs="Arial"/>
          <w:i/>
          <w:i/>
          <w:color w:val="000000" w:themeColor="text1"/>
          <w:sz w:val="20"/>
          <w:szCs w:val="20"/>
        </w:rPr>
      </w:pPr>
      <w:r>
        <w:rPr>
          <w:rFonts w:cs="Arial" w:ascii="Arial" w:hAnsi="Arial"/>
          <w:i/>
          <w:color w:val="000000" w:themeColor="text1"/>
          <w:sz w:val="20"/>
          <w:szCs w:val="20"/>
        </w:rPr>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0"/>
          <w:numId w:val="0"/>
        </w:numPr>
        <w:spacing w:lineRule="auto" w:line="276" w:before="120" w:after="120"/>
        <w:ind w:left="1424"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numPr>
          <w:ilvl w:val="0"/>
          <w:numId w:val="0"/>
        </w:numPr>
        <w:spacing w:lineRule="auto" w:line="276" w:before="120" w:after="120"/>
        <w:ind w:left="1424"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850" w:right="0"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0"/>
          <w:numId w:val="0"/>
        </w:numPr>
        <w:spacing w:lineRule="auto" w:line="276" w:before="120" w:after="120"/>
        <w:ind w:left="2358"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 xml:space="preserve">8.6. O Pregoeiro poderá convocar o licitante para enviar documento digital complementar, por meio de funcionalidade disponível no sistema, no prazo de </w:t>
      </w:r>
      <w:r>
        <w:rPr>
          <w:rFonts w:cs="Arial" w:ascii="Arial" w:hAnsi="Arial"/>
          <w:b/>
          <w:bCs/>
          <w:color w:val="000000" w:themeColor="text1"/>
          <w:sz w:val="20"/>
          <w:szCs w:val="20"/>
          <w:lang w:eastAsia="en-US"/>
        </w:rPr>
        <w:t>02 (duas) horas</w:t>
      </w:r>
      <w:r>
        <w:rPr>
          <w:rFonts w:cs="Arial" w:ascii="Arial" w:hAnsi="Arial"/>
          <w:color w:val="000000" w:themeColor="text1"/>
          <w:sz w:val="20"/>
          <w:szCs w:val="20"/>
          <w:lang w:eastAsia="en-US"/>
        </w:rPr>
        <w:t>,</w:t>
      </w:r>
      <w:r>
        <w:rPr>
          <w:rFonts w:cs="Arial" w:ascii="Arial" w:hAnsi="Arial"/>
          <w:color w:val="FF0000"/>
          <w:sz w:val="20"/>
          <w:szCs w:val="20"/>
          <w:lang w:eastAsia="en-US"/>
        </w:rPr>
        <w:t xml:space="preserve"> </w:t>
      </w:r>
      <w:r>
        <w:rPr>
          <w:rFonts w:cs="Arial" w:ascii="Arial" w:hAnsi="Arial"/>
          <w:color w:val="000000" w:themeColor="text1"/>
          <w:sz w:val="20"/>
          <w:szCs w:val="20"/>
          <w:lang w:eastAsia="en-US"/>
        </w:rPr>
        <w:t>sob pena de não aceitação da proposta.</w:t>
      </w:r>
    </w:p>
    <w:p>
      <w:pPr>
        <w:pStyle w:val="Normal"/>
        <w:widowControl/>
        <w:numPr>
          <w:ilvl w:val="0"/>
          <w:numId w:val="0"/>
        </w:numPr>
        <w:suppressAutoHyphens w:val="true"/>
        <w:bidi w:val="0"/>
        <w:spacing w:lineRule="auto" w:line="276" w:before="120" w:after="120"/>
        <w:ind w:left="-57" w:right="0" w:hanging="0"/>
        <w:jc w:val="both"/>
        <w:rPr>
          <w:rFonts w:ascii="Arial" w:hAnsi="Arial" w:cs="Arial"/>
          <w:color w:val="000000" w:themeColor="text1"/>
          <w:sz w:val="20"/>
          <w:szCs w:val="20"/>
          <w:lang w:eastAsia="en-US"/>
        </w:rPr>
      </w:pPr>
      <w:r>
        <w:rPr>
          <w:rFonts w:cs="Arial" w:ascii="Arial" w:hAnsi="Arial"/>
          <w:color w:val="000000"/>
          <w:sz w:val="20"/>
          <w:szCs w:val="20"/>
          <w:lang w:eastAsia="en-US"/>
        </w:rPr>
        <w:t>8.7.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trike/>
          <w:sz w:val="20"/>
          <w:szCs w:val="20"/>
        </w:rPr>
      </w:pPr>
      <w:r>
        <w:rPr>
          <w:rFonts w:cs="Arial" w:ascii="Arial" w:hAnsi="Arial"/>
          <w:sz w:val="20"/>
          <w:szCs w:val="20"/>
          <w:lang w:eastAsia="en-US"/>
        </w:rPr>
        <w:t>8.8.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0"/>
          <w:numId w:val="0"/>
        </w:numPr>
        <w:spacing w:lineRule="auto" w:line="276" w:before="120" w:after="120"/>
        <w:ind w:left="2772"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bCs/>
          <w:iCs/>
          <w:color w:val="000000"/>
          <w:sz w:val="20"/>
          <w:szCs w:val="20"/>
        </w:rPr>
      </w:pPr>
      <w:r>
        <w:rPr>
          <w:rFonts w:cs="Arial" w:ascii="Arial" w:hAnsi="Arial"/>
          <w:bCs/>
          <w:iCs/>
          <w:color w:val="000000"/>
          <w:sz w:val="20"/>
          <w:szCs w:val="20"/>
        </w:rPr>
        <w:t>8.9. Se a proposta ou lance vencedor for desclassificado, o Pregoeiro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z w:val="20"/>
          <w:szCs w:val="20"/>
        </w:rPr>
      </w:pPr>
      <w:r>
        <w:rPr>
          <w:rFonts w:cs="Arial" w:ascii="Arial" w:hAnsi="Arial"/>
          <w:color w:val="000000"/>
          <w:sz w:val="20"/>
          <w:szCs w:val="20"/>
          <w:lang w:eastAsia="en-US"/>
        </w:rPr>
        <w:t>8.10.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widowControl/>
        <w:numPr>
          <w:ilvl w:val="0"/>
          <w:numId w:val="0"/>
        </w:numPr>
        <w:suppressAutoHyphens w:val="true"/>
        <w:bidi w:val="0"/>
        <w:spacing w:lineRule="auto" w:line="276" w:before="120" w:after="120"/>
        <w:ind w:left="1566"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57" w:right="0" w:hanging="0"/>
        <w:contextualSpacing/>
        <w:jc w:val="both"/>
        <w:rPr>
          <w:rFonts w:ascii="Arial" w:hAnsi="Arial" w:cs="Arial"/>
          <w:sz w:val="20"/>
          <w:szCs w:val="20"/>
        </w:rPr>
      </w:pPr>
      <w:r>
        <w:rPr>
          <w:rFonts w:cs="Arial" w:ascii="Arial" w:hAnsi="Arial"/>
          <w:sz w:val="20"/>
          <w:szCs w:val="20"/>
        </w:rPr>
        <w:t>8.11.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850" w:right="0" w:hanging="0"/>
        <w:jc w:val="both"/>
        <w:rPr>
          <w:rFonts w:ascii="Arial" w:hAnsi="Arial" w:cs="Arial"/>
          <w:sz w:val="20"/>
          <w:szCs w:val="20"/>
        </w:rPr>
      </w:pPr>
      <w:r>
        <w:rPr>
          <w:rFonts w:cs="Arial" w:ascii="Arial" w:hAnsi="Arial"/>
          <w:sz w:val="20"/>
          <w:szCs w:val="20"/>
        </w:rPr>
        <w:t>8.11.1. Também nas hipóteses em que o Pregoeiro não aceitar a proposta e passar à subsequente, poderá negociar com o licitante para que seja obtido preço melhor.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850" w:right="0" w:hanging="0"/>
        <w:jc w:val="both"/>
        <w:rPr>
          <w:rFonts w:ascii="Arial" w:hAnsi="Arial" w:cs="Arial"/>
          <w:color w:val="000000"/>
          <w:sz w:val="20"/>
          <w:szCs w:val="20"/>
        </w:rPr>
      </w:pPr>
      <w:r>
        <w:rPr>
          <w:rFonts w:cs="Arial" w:ascii="Arial" w:hAnsi="Arial"/>
          <w:color w:val="000000"/>
          <w:sz w:val="20"/>
          <w:szCs w:val="20"/>
        </w:rPr>
        <w:t>8.11.2. A negociação será realizada por meio do sistema, podendo ser acompanhada pelos demais licitantes.</w:t>
      </w:r>
    </w:p>
    <w:p>
      <w:pPr>
        <w:pStyle w:val="ListParagraph"/>
        <w:widowControl/>
        <w:numPr>
          <w:ilvl w:val="0"/>
          <w:numId w:val="0"/>
        </w:numPr>
        <w:suppressAutoHyphens w:val="true"/>
        <w:bidi w:val="0"/>
        <w:spacing w:lineRule="auto" w:line="276" w:before="120" w:after="120"/>
        <w:ind w:left="510" w:right="0" w:hanging="0"/>
        <w:contextualSpacing/>
        <w:jc w:val="both"/>
        <w:rPr>
          <w:rFonts w:ascii="Arial" w:hAnsi="Arial" w:cs="Arial"/>
          <w:sz w:val="20"/>
          <w:szCs w:val="20"/>
        </w:rPr>
      </w:pPr>
      <w:r>
        <w:rPr>
          <w:rFonts w:cs="Arial" w:ascii="Arial" w:hAnsi="Arial"/>
          <w:sz w:val="20"/>
          <w:szCs w:val="20"/>
        </w:rPr>
        <w:t>8.12.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widowControl/>
        <w:numPr>
          <w:ilvl w:val="0"/>
          <w:numId w:val="0"/>
        </w:numPr>
        <w:suppressAutoHyphens w:val="true"/>
        <w:bidi w:val="0"/>
        <w:spacing w:lineRule="auto" w:line="276" w:before="120" w:after="120"/>
        <w:ind w:left="510" w:right="0" w:hanging="0"/>
        <w:jc w:val="both"/>
        <w:rPr>
          <w:rFonts w:ascii="Arial" w:hAnsi="Arial" w:cs="Arial"/>
          <w:color w:val="000000" w:themeColor="text1"/>
          <w:sz w:val="20"/>
          <w:szCs w:val="20"/>
        </w:rPr>
      </w:pPr>
      <w:r>
        <w:rPr>
          <w:rFonts w:cs="Arial" w:ascii="Arial" w:hAnsi="Arial"/>
          <w:color w:val="000000"/>
          <w:sz w:val="20"/>
          <w:szCs w:val="20"/>
        </w:rPr>
        <w:t xml:space="preserve">8.13.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Nivel01"/>
        <w:numPr>
          <w:ilvl w:val="0"/>
          <w:numId w:val="0"/>
        </w:numPr>
        <w:ind w:left="360" w:hanging="0"/>
        <w:rPr>
          <w:rFonts w:ascii="Arial" w:hAnsi="Arial" w:cs="Arial"/>
        </w:rPr>
      </w:pPr>
      <w:r>
        <w:rPr>
          <w:rFonts w:cs="Arial" w:ascii="Arial" w:hAnsi="Arial"/>
          <w:lang w:eastAsia="en-US"/>
        </w:rPr>
        <w:t xml:space="preserve">9. DA HABILITAÇÃO  </w:t>
      </w:r>
    </w:p>
    <w:p>
      <w:pPr>
        <w:pStyle w:val="Nivel01"/>
        <w:keepNext w:val="true"/>
        <w:keepLines/>
        <w:widowControl/>
        <w:numPr>
          <w:ilvl w:val="0"/>
          <w:numId w:val="0"/>
        </w:numPr>
        <w:suppressAutoHyphens w:val="true"/>
        <w:bidi w:val="0"/>
        <w:spacing w:lineRule="auto" w:line="276" w:before="240" w:after="0"/>
        <w:ind w:left="510" w:right="0" w:hanging="0"/>
        <w:jc w:val="both"/>
        <w:rPr>
          <w:rFonts w:ascii="Arial" w:hAnsi="Arial" w:cs="Arial"/>
          <w:b w:val="false"/>
          <w:b w:val="false"/>
          <w:lang w:eastAsia="ar-SA"/>
        </w:rPr>
      </w:pPr>
      <w:r>
        <w:rPr>
          <w:rFonts w:cs="Arial" w:ascii="Arial" w:hAnsi="Arial"/>
          <w:b/>
          <w:bCs/>
          <w:szCs w:val="20"/>
          <w:lang w:eastAsia="ar-SA"/>
        </w:rPr>
        <w:t xml:space="preserve">9.1. </w:t>
      </w:r>
      <w:r>
        <w:rPr>
          <w:rFonts w:cs="Arial" w:ascii="Arial" w:hAnsi="Arial"/>
          <w:b w:val="false"/>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6">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c) Cadastro Nacional de Condenações Cíveis por Atos de Improbidade Administrativa, mantido pelo Conselho Nacional de Justiça (</w:t>
      </w:r>
      <w:hyperlink r:id="rId7">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keepNext w:val="true"/>
        <w:keepLines/>
        <w:widowControl/>
        <w:numPr>
          <w:ilvl w:val="0"/>
          <w:numId w:val="0"/>
        </w:numPr>
        <w:tabs>
          <w:tab w:val="clear" w:pos="567"/>
          <w:tab w:val="left" w:pos="1131" w:leader="none"/>
        </w:tabs>
        <w:suppressAutoHyphens w:val="true"/>
        <w:bidi w:val="0"/>
        <w:spacing w:lineRule="auto" w:line="276" w:before="240" w:after="0"/>
        <w:ind w:left="1134" w:right="0" w:hanging="0"/>
        <w:jc w:val="both"/>
        <w:rPr>
          <w:rFonts w:ascii="Arial" w:hAnsi="Arial" w:cs="Arial"/>
          <w:b w:val="false"/>
          <w:b w:val="false"/>
        </w:rPr>
      </w:pPr>
      <w:r>
        <w:rPr>
          <w:rFonts w:cs="Arial" w:ascii="Arial" w:hAnsi="Arial"/>
          <w:b w:val="false"/>
          <w:bCs w:val="false"/>
          <w:lang w:eastAsia="ar-SA"/>
        </w:rPr>
        <w:t>9.1.1.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9.1.2.2. A tentativa de burla será verificada por meio dos vínculos societários, linhas de fornecimento similares, dentre outros.</w:t>
      </w:r>
    </w:p>
    <w:p>
      <w:pPr>
        <w:pStyle w:val="ListParagraph"/>
        <w:widowControl/>
        <w:numPr>
          <w:ilvl w:val="0"/>
          <w:numId w:val="0"/>
        </w:numPr>
        <w:suppressAutoHyphens w:val="true"/>
        <w:bidi w:val="0"/>
        <w:spacing w:lineRule="auto" w:line="276" w:before="120" w:after="120"/>
        <w:ind w:left="1701" w:right="0" w:hanging="0"/>
        <w:contextualSpacing/>
        <w:jc w:val="both"/>
        <w:rPr>
          <w:rFonts w:ascii="Arial" w:hAnsi="Arial" w:cs="Arial"/>
          <w:bCs/>
          <w:color w:val="000000"/>
          <w:sz w:val="20"/>
          <w:szCs w:val="20"/>
        </w:rPr>
      </w:pPr>
      <w:r>
        <w:rPr>
          <w:rFonts w:cs="Arial" w:ascii="Arial" w:hAnsi="Arial"/>
          <w:bCs/>
          <w:color w:val="000000"/>
          <w:sz w:val="20"/>
          <w:szCs w:val="20"/>
        </w:rPr>
        <w:t>9.1.2.3. O licitante será convocado para manifestação previamente à sua desclassificação.</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9.1.3.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9.1.4.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sz w:val="20"/>
          <w:szCs w:val="20"/>
          <w:lang w:eastAsia="ar-SA"/>
        </w:rPr>
      </w:pPr>
      <w:r>
        <w:rPr>
          <w:rFonts w:cs="Arial" w:ascii="Arial" w:hAnsi="Arial"/>
          <w:color w:val="000000" w:themeColor="text1"/>
          <w:sz w:val="20"/>
          <w:szCs w:val="20"/>
          <w:lang w:eastAsia="ar-SA"/>
        </w:rPr>
        <w:t xml:space="preserve">9.2.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widowControl/>
        <w:numPr>
          <w:ilvl w:val="0"/>
          <w:numId w:val="0"/>
        </w:numPr>
        <w:suppressAutoHyphens w:val="true"/>
        <w:bidi w:val="0"/>
        <w:spacing w:lineRule="auto" w:line="276" w:before="120" w:after="120"/>
        <w:ind w:left="567" w:right="0" w:hanging="0"/>
        <w:contextualSpacing/>
        <w:jc w:val="both"/>
        <w:rPr>
          <w:rFonts w:ascii="Arial" w:hAnsi="Arial" w:cs="Arial"/>
          <w:sz w:val="20"/>
          <w:szCs w:val="20"/>
          <w:lang w:eastAsia="ar-SA"/>
        </w:rPr>
      </w:pPr>
      <w:r>
        <w:rPr>
          <w:rFonts w:cs="Arial" w:ascii="Arial" w:hAnsi="Arial"/>
          <w:sz w:val="20"/>
          <w:szCs w:val="20"/>
          <w:lang w:eastAsia="ar-SA"/>
        </w:rPr>
        <w:t>9.2.1.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sz w:val="20"/>
          <w:szCs w:val="20"/>
        </w:rPr>
      </w:pPr>
      <w:r>
        <w:rPr>
          <w:rFonts w:cs="Arial" w:ascii="Arial" w:hAnsi="Arial"/>
          <w:color w:val="000000"/>
          <w:sz w:val="20"/>
          <w:szCs w:val="20"/>
        </w:rPr>
        <w:t>9.2.2.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numPr>
          <w:ilvl w:val="0"/>
          <w:numId w:val="0"/>
        </w:numPr>
        <w:suppressAutoHyphens w:val="true"/>
        <w:bidi w:val="0"/>
        <w:spacing w:lineRule="auto" w:line="276" w:before="120" w:after="120"/>
        <w:ind w:left="567" w:right="0" w:hanging="0"/>
        <w:jc w:val="both"/>
        <w:rPr>
          <w:rFonts w:ascii="Arial" w:hAnsi="Arial" w:cs="Arial"/>
          <w:color w:val="000000" w:themeColor="text1"/>
          <w:sz w:val="20"/>
          <w:szCs w:val="20"/>
        </w:rPr>
      </w:pPr>
      <w:r>
        <w:rPr>
          <w:rFonts w:cs="Arial" w:ascii="Arial" w:hAnsi="Arial"/>
          <w:color w:val="000000"/>
          <w:sz w:val="20"/>
          <w:szCs w:val="20"/>
        </w:rPr>
        <w:t>9.2.3.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0"/>
          <w:numId w:val="0"/>
        </w:numPr>
        <w:shd w:val="clear" w:fill="FFFFFF"/>
        <w:suppressAutoHyphens w:val="true"/>
        <w:bidi w:val="0"/>
        <w:spacing w:lineRule="auto" w:line="276" w:before="120" w:after="120"/>
        <w:ind w:left="0" w:right="0" w:hanging="0"/>
        <w:jc w:val="both"/>
        <w:textAlignment w:val="baseline"/>
        <w:rPr>
          <w:rFonts w:ascii="Arial" w:hAnsi="Arial" w:cs="Arial"/>
          <w:szCs w:val="20"/>
        </w:rPr>
      </w:pPr>
      <w:r>
        <w:rPr>
          <w:rFonts w:cs="Arial" w:ascii="Arial" w:hAnsi="Arial"/>
          <w:color w:val="000000" w:themeColor="text1"/>
          <w:szCs w:val="20"/>
        </w:rPr>
        <w:t>9.3. Havendo a n</w:t>
      </w:r>
      <w:r>
        <w:rPr>
          <w:rFonts w:cs="Arial" w:ascii="Arial" w:hAnsi="Arial"/>
          <w:color w:val="000000"/>
          <w:szCs w:val="20"/>
        </w:rPr>
        <w:t>ecessidade de envio de documentos de habilitação complementares</w:t>
      </w:r>
      <w:r>
        <w:rPr>
          <w:rFonts w:cs="Arial" w:ascii="Arial" w:hAnsi="Arial"/>
          <w:color w:val="000000" w:themeColor="text1"/>
          <w:szCs w:val="20"/>
        </w:rPr>
        <w:t xml:space="preserve">, </w:t>
      </w:r>
      <w:r>
        <w:rPr>
          <w:rFonts w:cs="Arial" w:ascii="Arial" w:hAnsi="Arial"/>
          <w:color w:val="000000"/>
          <w:szCs w:val="20"/>
        </w:rPr>
        <w:t xml:space="preserve">necessários à confirmação daqueles exigidos neste Edital e já apresentados, </w:t>
      </w:r>
      <w:r>
        <w:rPr>
          <w:rFonts w:cs="Arial" w:ascii="Arial" w:hAnsi="Arial"/>
          <w:color w:val="000000" w:themeColor="text1"/>
          <w:szCs w:val="20"/>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szCs w:val="20"/>
        </w:rPr>
        <w:t xml:space="preserve"> no prazo de </w:t>
      </w:r>
      <w:r>
        <w:rPr>
          <w:rFonts w:cs="Arial" w:ascii="Arial" w:hAnsi="Arial"/>
          <w:b/>
          <w:bCs/>
          <w:color w:val="000000" w:themeColor="text1"/>
          <w:szCs w:val="20"/>
        </w:rPr>
        <w:t>02 (duas)</w:t>
      </w:r>
      <w:r>
        <w:rPr>
          <w:rFonts w:cs="Arial" w:ascii="Arial" w:hAnsi="Arial"/>
          <w:b/>
          <w:bCs/>
          <w:i/>
          <w:iCs/>
          <w:color w:val="000000" w:themeColor="text1"/>
          <w:szCs w:val="20"/>
        </w:rPr>
        <w:t xml:space="preserve"> </w:t>
      </w:r>
      <w:r>
        <w:rPr>
          <w:rFonts w:cs="Arial" w:ascii="Arial" w:hAnsi="Arial"/>
          <w:b/>
          <w:bCs/>
          <w:color w:val="000000" w:themeColor="text1"/>
          <w:szCs w:val="20"/>
        </w:rPr>
        <w:t>horas</w:t>
      </w:r>
      <w:r>
        <w:rPr>
          <w:rFonts w:cs="Arial" w:ascii="Arial" w:hAnsi="Arial"/>
          <w:color w:val="000000" w:themeColor="text1"/>
          <w:szCs w:val="20"/>
        </w:rPr>
        <w:t>, sob pena de inabilitação.</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9.4. Somente haverá a necessidade de comprovação do preenchimento de requisitos mediante apresentação dos documentos originais não-digitais quando houver dúvida em relação à integridade do documento digital.</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9.5. Não serão aceitos documentos de habilitação com indicação de CNPJ/CPF diferentes, salvo aqueles legalmente permitidos.</w:t>
      </w:r>
    </w:p>
    <w:p>
      <w:pPr>
        <w:pStyle w:val="Normal"/>
        <w:widowControl/>
        <w:numPr>
          <w:ilvl w:val="0"/>
          <w:numId w:val="0"/>
        </w:numPr>
        <w:suppressAutoHyphens w:val="true"/>
        <w:bidi w:val="0"/>
        <w:spacing w:lineRule="auto" w:line="276" w:before="120" w:after="120"/>
        <w:ind w:left="0" w:right="0" w:hanging="0"/>
        <w:jc w:val="both"/>
        <w:rPr>
          <w:rFonts w:ascii="Arial" w:hAnsi="Arial" w:cs="Arial"/>
          <w:sz w:val="20"/>
          <w:szCs w:val="20"/>
        </w:rPr>
      </w:pPr>
      <w:r>
        <w:rPr>
          <w:rFonts w:cs="Arial" w:ascii="Arial" w:hAnsi="Arial"/>
          <w:sz w:val="20"/>
          <w:szCs w:val="20"/>
        </w:rPr>
        <w:t>9.6.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suppressAutoHyphens w:val="true"/>
        <w:bidi w:val="0"/>
        <w:spacing w:lineRule="auto" w:line="276" w:before="120" w:after="120"/>
        <w:ind w:left="1695" w:right="0" w:hanging="0"/>
        <w:contextualSpacing/>
        <w:jc w:val="both"/>
        <w:rPr>
          <w:rFonts w:ascii="Arial" w:hAnsi="Arial" w:cs="Arial"/>
          <w:sz w:val="20"/>
          <w:szCs w:val="20"/>
        </w:rPr>
      </w:pPr>
      <w:r>
        <w:rPr>
          <w:rFonts w:cs="Arial" w:ascii="Arial" w:hAnsi="Arial"/>
          <w:sz w:val="20"/>
          <w:szCs w:val="20"/>
        </w:rPr>
        <w:t>9.6.1. Serão aceitos registros de CNPJ de licitante matriz e filial com diferenças de números de documentos pertinentes ao CND e ao CRF/FGTS, quando for comprovada a centralização do recolhimento dessas contribuições.</w:t>
      </w:r>
    </w:p>
    <w:p>
      <w:pPr>
        <w:pStyle w:val="ListParagraph"/>
        <w:widowControl/>
        <w:numPr>
          <w:ilvl w:val="0"/>
          <w:numId w:val="0"/>
        </w:numPr>
        <w:suppressAutoHyphens w:val="true"/>
        <w:bidi w:val="0"/>
        <w:spacing w:lineRule="auto" w:line="276" w:before="120" w:after="120"/>
        <w:ind w:left="0" w:right="0" w:hanging="0"/>
        <w:contextualSpacing/>
        <w:jc w:val="both"/>
        <w:rPr>
          <w:rFonts w:ascii="Arial" w:hAnsi="Arial" w:cs="Arial"/>
          <w:sz w:val="20"/>
          <w:szCs w:val="20"/>
        </w:rPr>
      </w:pPr>
      <w:r>
        <w:rPr>
          <w:rFonts w:cs="Arial" w:ascii="Arial" w:hAnsi="Arial"/>
          <w:sz w:val="20"/>
          <w:szCs w:val="20"/>
        </w:rPr>
        <w:t>9.7. Ressalvado o disposto no item 5.3, os licitantes deverão encaminhar, nos termos deste Edital, a documentação relacionada nos itens a seguir, para fins de habilitação:</w:t>
      </w:r>
    </w:p>
    <w:p>
      <w:pPr>
        <w:pStyle w:val="ListParagraph"/>
        <w:spacing w:lineRule="auto" w:line="276" w:before="120" w:after="120"/>
        <w:ind w:left="99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widowControl/>
        <w:numPr>
          <w:ilvl w:val="0"/>
          <w:numId w:val="0"/>
        </w:numPr>
        <w:suppressAutoHyphens w:val="true"/>
        <w:bidi w:val="0"/>
        <w:spacing w:lineRule="auto" w:line="276" w:before="120" w:after="120"/>
        <w:ind w:left="-227"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9.8. Habilitação jurídica: </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9.8.1. No caso de empresário individual: inscrição no Registro Público de Empresas Mercantis, a cargo da Junta Comercial da respectiva sede;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9.8.2. Em se tratando de microempreendedor individual – MEI: Certificado da Condição de Microempreendedor Individual - CCMEI, cuja aceitação ficará condicionada à verificação da autenticidade no sítio www.portaldoempreendedor.gov.br;</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9.8.4. Inscrição no Registro Público de Empresas Mercantis onde opera, com averbação no Registro onde tem sede a matriz, no caso de ser o participante sucursal, filial ou agência;</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widowControl/>
        <w:numPr>
          <w:ilvl w:val="0"/>
          <w:numId w:val="0"/>
        </w:numPr>
        <w:suppressAutoHyphens w:val="true"/>
        <w:bidi w:val="0"/>
        <w:spacing w:lineRule="auto" w:line="276" w:before="120" w:after="120"/>
        <w:ind w:left="1020" w:right="0" w:hanging="0"/>
        <w:contextualSpacing/>
        <w:jc w:val="both"/>
        <w:rPr>
          <w:i w:val="false"/>
          <w:i w:val="false"/>
          <w:iCs w:val="false"/>
          <w:color w:val="000000"/>
        </w:rPr>
      </w:pPr>
      <w:r>
        <w:rPr>
          <w:rFonts w:cs="Arial" w:ascii="Arial" w:hAnsi="Arial"/>
          <w:bCs/>
          <w:i w:val="false"/>
          <w:iCs w:val="false"/>
          <w:color w:val="000000"/>
          <w:sz w:val="20"/>
          <w:szCs w:val="20"/>
        </w:rPr>
        <w:t>9.8.7. 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ListParagraph"/>
        <w:widowControl/>
        <w:numPr>
          <w:ilvl w:val="0"/>
          <w:numId w:val="0"/>
        </w:numPr>
        <w:suppressAutoHyphens w:val="true"/>
        <w:bidi w:val="0"/>
        <w:spacing w:lineRule="auto" w:line="276" w:before="120" w:after="120"/>
        <w:ind w:left="1020" w:right="0" w:hanging="0"/>
        <w:contextualSpacing/>
        <w:jc w:val="both"/>
        <w:rPr>
          <w:i w:val="false"/>
          <w:i w:val="false"/>
          <w:iCs w:val="false"/>
          <w:color w:val="000000"/>
        </w:rPr>
      </w:pPr>
      <w:r>
        <w:rPr>
          <w:rFonts w:cs="Arial" w:ascii="Arial" w:hAnsi="Arial"/>
          <w:bCs/>
          <w:i w:val="false"/>
          <w:iCs w:val="false"/>
          <w:color w:val="000000"/>
          <w:sz w:val="20"/>
          <w:szCs w:val="20"/>
        </w:rPr>
        <w:t>9.8.8. No caso de produtor rural: matrícula no Cadastro Específico do INSS – CEI, que comprove a qualificação como produtor rural pessoa física, nos termos da Instrução Normativa RFB n. 971, de 2009 (arts. 17 a 19 e 165).</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9.8.9. No caso de empresa ou sociedade estrangeira em funcionamento no País: decreto de autorização;</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 xml:space="preserve">9.8.10. </w:t>
      </w:r>
      <w:r>
        <w:rPr>
          <w:rFonts w:cs="Arial" w:ascii="Arial" w:hAnsi="Arial"/>
          <w:b/>
          <w:bCs/>
          <w:color w:val="000000"/>
          <w:sz w:val="20"/>
          <w:szCs w:val="20"/>
        </w:rPr>
        <w:t>No caso de exercício de atividade de XXXX: ato de registro ou autorização para funcionamento expedido pelo órgão competente, nos termos do artigo XX da (Lei/Decreto) n° XXXX.</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9.8.11. Os documentos acima deverão estar acompanhados de todas as alterações ou da consolidação respectiva;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680"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9.9. Regularidade fiscal </w:t>
      </w:r>
      <w:r>
        <w:rPr>
          <w:rFonts w:cs="Arial" w:ascii="Arial" w:hAnsi="Arial"/>
          <w:b/>
          <w:bCs/>
          <w:sz w:val="20"/>
          <w:szCs w:val="20"/>
        </w:rPr>
        <w:t>e trabalhista</w:t>
      </w:r>
      <w:r>
        <w:rPr>
          <w:rFonts w:cs="Arial" w:ascii="Arial" w:hAnsi="Arial"/>
          <w:b/>
          <w:bCs/>
          <w:color w:val="0000FF"/>
          <w:sz w:val="20"/>
          <w:szCs w:val="20"/>
        </w:rPr>
        <w:t>:</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lang w:eastAsia="en-US"/>
        </w:rPr>
      </w:pPr>
      <w:r>
        <w:rPr>
          <w:rFonts w:cs="Arial" w:ascii="Arial" w:hAnsi="Arial"/>
          <w:sz w:val="20"/>
          <w:szCs w:val="20"/>
          <w:lang w:eastAsia="en-US"/>
        </w:rPr>
        <w:t>9.9.1. Prova de inscrição no Cadastro Nacional de Pessoas Jurídicas ou no Cadastro de Pessoas Físicas, conforme o caso;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rPr>
      </w:pPr>
      <w:r>
        <w:rPr>
          <w:rFonts w:cs="Arial" w:ascii="Arial" w:hAnsi="Arial"/>
          <w:sz w:val="20"/>
          <w:szCs w:val="20"/>
        </w:rPr>
        <w:t>9.9.2.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lang w:eastAsia="en-US"/>
        </w:rPr>
        <w:t>9.9.3. prova de regularidade com o Fundo de Garantia do Tempo de Serviço (FGTS);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sz w:val="20"/>
          <w:szCs w:val="20"/>
        </w:rPr>
      </w:pPr>
      <w:r>
        <w:rPr>
          <w:rFonts w:cs="Arial" w:ascii="Arial" w:hAnsi="Arial"/>
          <w:sz w:val="20"/>
          <w:szCs w:val="20"/>
          <w:lang w:eastAsia="en-US"/>
        </w:rPr>
        <w:t>9.9.4.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020" w:right="0" w:hanging="0"/>
        <w:jc w:val="both"/>
        <w:rPr>
          <w:rFonts w:ascii="Arial" w:hAnsi="Arial" w:cs="Arial"/>
          <w:bCs/>
          <w:color w:val="000000"/>
          <w:sz w:val="20"/>
          <w:szCs w:val="20"/>
        </w:rPr>
      </w:pPr>
      <w:r>
        <w:rPr>
          <w:rFonts w:cs="Arial" w:ascii="Arial" w:hAnsi="Arial"/>
          <w:bCs/>
          <w:color w:val="000000"/>
          <w:sz w:val="20"/>
          <w:szCs w:val="20"/>
        </w:rPr>
        <w:t xml:space="preserve">9.9.5. Prova de inscrição no cadastro de contribuintes estadual, relativo ao domicílio ou sede do licitante, pertinente ao seu ramo de atividade e compatível com o objeto contratual;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sz w:val="20"/>
          <w:szCs w:val="20"/>
        </w:rPr>
        <w:t>9.9.6. Prova de regularidade com a Fazenda Estadual do domicílio ou sede do licitante, relativa à atividade em cujo exercício contrata ou concorre;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color w:val="000000"/>
          <w:sz w:val="20"/>
          <w:szCs w:val="20"/>
        </w:rPr>
        <w:t xml:space="preserve">9.9.7. 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b/>
          <w:b/>
          <w:sz w:val="20"/>
          <w:szCs w:val="20"/>
        </w:rPr>
      </w:pPr>
      <w:r>
        <w:rPr>
          <w:rFonts w:cs="Arial" w:ascii="Arial" w:hAnsi="Arial"/>
          <w:color w:val="000000"/>
          <w:sz w:val="20"/>
          <w:szCs w:val="20"/>
          <w:lang w:eastAsia="en-US" w:bidi="pt-BR"/>
        </w:rPr>
        <w:t xml:space="preserve">9.9.8.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113" w:right="0" w:hanging="0"/>
        <w:contextualSpacing/>
        <w:jc w:val="both"/>
        <w:rPr>
          <w:rFonts w:ascii="Arial" w:hAnsi="Arial" w:cs="Arial"/>
          <w:b/>
          <w:b/>
          <w:color w:val="000000"/>
          <w:sz w:val="20"/>
          <w:szCs w:val="20"/>
        </w:rPr>
      </w:pPr>
      <w:r>
        <w:rPr>
          <w:rFonts w:cs="Arial" w:ascii="Arial" w:hAnsi="Arial"/>
          <w:b/>
          <w:color w:val="000000"/>
          <w:sz w:val="20"/>
          <w:szCs w:val="20"/>
        </w:rPr>
        <w:t>9.10. Qualificação Econômico-Financeira</w:t>
      </w:r>
      <w:r>
        <w:rPr>
          <w:rFonts w:cs="Arial" w:ascii="Arial" w:hAnsi="Arial"/>
          <w:color w:val="000000"/>
          <w:sz w:val="20"/>
          <w:szCs w:val="20"/>
        </w:rPr>
        <w:t>.</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color w:val="000000"/>
          <w:sz w:val="20"/>
          <w:szCs w:val="20"/>
        </w:rPr>
      </w:pPr>
      <w:r>
        <w:rPr>
          <w:rFonts w:cs="Arial" w:ascii="Arial" w:hAnsi="Arial"/>
          <w:b w:val="false"/>
          <w:bCs w:val="false"/>
          <w:color w:val="auto"/>
          <w:sz w:val="20"/>
          <w:szCs w:val="20"/>
        </w:rPr>
        <w:t xml:space="preserve">9.10.1. </w:t>
      </w:r>
      <w:r>
        <w:rPr>
          <w:rFonts w:cs="Arial" w:ascii="Arial" w:hAnsi="Arial"/>
          <w:b w:val="false"/>
          <w:bCs w:val="false"/>
          <w:color w:val="000000"/>
          <w:sz w:val="20"/>
          <w:szCs w:val="20"/>
        </w:rPr>
        <w:t>C</w:t>
      </w:r>
      <w:r>
        <w:rPr>
          <w:rFonts w:cs="Arial" w:ascii="Arial" w:hAnsi="Arial"/>
          <w:color w:val="000000"/>
          <w:sz w:val="20"/>
          <w:szCs w:val="20"/>
        </w:rPr>
        <w:t>ertidão negativa de falência expedida pelo distribuidor da sede da pessoa jurídica;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454" w:right="0" w:hanging="0"/>
        <w:jc w:val="both"/>
        <w:rPr>
          <w:rFonts w:ascii="Arial" w:hAnsi="Arial" w:cs="Arial"/>
          <w:color w:val="000000"/>
          <w:sz w:val="20"/>
          <w:szCs w:val="20"/>
        </w:rPr>
      </w:pPr>
      <w:r>
        <w:rPr>
          <w:rFonts w:cs="Arial" w:ascii="Arial" w:hAnsi="Arial"/>
          <w:color w:val="000000"/>
          <w:sz w:val="20"/>
          <w:szCs w:val="20"/>
        </w:rPr>
        <w:t>9.10.2.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bCs/>
          <w:iCs/>
          <w:color w:val="000000"/>
          <w:sz w:val="20"/>
          <w:szCs w:val="20"/>
        </w:rPr>
        <w:t>9.10.3.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9.10.4. 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9.10.5. É admissível o balanço intermediário, se decorrer de lei ou contrato social/estatuto social.</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rPr>
      </w:pPr>
      <w:r>
        <w:rPr>
          <w:rFonts w:cs="Arial" w:ascii="Arial" w:hAnsi="Arial"/>
          <w:color w:val="000000"/>
          <w:sz w:val="20"/>
          <w:szCs w:val="20"/>
          <w:lang w:eastAsia="en-US"/>
        </w:rPr>
        <w:t>9.10.6.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2092" w:right="0" w:hanging="0"/>
        <w:jc w:val="both"/>
        <w:rPr>
          <w:rFonts w:ascii="Arial" w:hAnsi="Arial" w:cs="Arial"/>
          <w:color w:val="000000"/>
          <w:sz w:val="20"/>
          <w:szCs w:val="20"/>
        </w:rPr>
      </w:pPr>
      <w:r>
        <w:rPr>
          <w:rFonts w:cs="Arial" w:ascii="Arial" w:hAnsi="Arial"/>
          <w:color w:val="000000"/>
          <w:sz w:val="20"/>
          <w:szCs w:val="20"/>
        </w:rPr>
        <w:t>9.10.7. 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LG =</w:t>
            </w:r>
          </w:p>
        </w:tc>
        <w:tc>
          <w:tcPr>
            <w:tcW w:w="4252"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SG =</w:t>
            </w:r>
          </w:p>
        </w:tc>
        <w:tc>
          <w:tcPr>
            <w:tcW w:w="4393"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Total</w:t>
            </w:r>
          </w:p>
        </w:tc>
      </w:tr>
      <w:tr>
        <w:trPr/>
        <w:tc>
          <w:tcPr>
            <w:tcW w:w="2235"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20"/>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20"/>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LC =</w:t>
            </w:r>
          </w:p>
        </w:tc>
        <w:tc>
          <w:tcPr>
            <w:tcW w:w="2550" w:type="dxa"/>
            <w:tcBorders>
              <w:top w:val="nil"/>
              <w:left w:val="nil"/>
              <w:right w:val="nil"/>
            </w:tcBorders>
            <w:vAlign w:val="bottom"/>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20"/>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widowControl w:val="false"/>
              <w:tabs>
                <w:tab w:val="clear" w:pos="720"/>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w:t>
            </w:r>
          </w:p>
        </w:tc>
      </w:tr>
    </w:tbl>
    <w:p>
      <w:pPr>
        <w:pStyle w:val="Normal"/>
        <w:tabs>
          <w:tab w:val="clear" w:pos="720"/>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2658" w:right="0" w:hanging="0"/>
        <w:jc w:val="both"/>
        <w:rPr>
          <w:rFonts w:ascii="Arial" w:hAnsi="Arial" w:cs="Arial"/>
          <w:i/>
          <w:i/>
          <w:color w:val="FF0000"/>
          <w:sz w:val="20"/>
          <w:szCs w:val="20"/>
          <w:lang w:eastAsia="en-US"/>
        </w:rPr>
      </w:pPr>
      <w:r>
        <w:rPr>
          <w:rFonts w:cs="Arial" w:ascii="Arial" w:hAnsi="Arial"/>
          <w:bCs/>
          <w:sz w:val="20"/>
          <w:szCs w:val="20"/>
        </w:rPr>
        <w:t xml:space="preserve">9.10.8.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 </w:t>
      </w:r>
      <w:r>
        <w:rPr>
          <w:rFonts w:cs="Arial" w:ascii="Arial" w:hAnsi="Arial"/>
          <w:b/>
          <w:bCs/>
          <w:sz w:val="20"/>
          <w:szCs w:val="20"/>
        </w:rPr>
        <w:t>10%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2148" w:right="0" w:hanging="0"/>
        <w:contextualSpacing/>
        <w:jc w:val="both"/>
        <w:rPr>
          <w:rFonts w:ascii="Arial" w:hAnsi="Arial" w:cs="Arial"/>
          <w:color w:val="000000"/>
          <w:sz w:val="20"/>
          <w:szCs w:val="20"/>
        </w:rPr>
      </w:pPr>
      <w:r>
        <w:rPr>
          <w:rFonts w:cs="Arial" w:ascii="Arial" w:hAnsi="Arial"/>
          <w:b w:val="false"/>
          <w:bCs w:val="false"/>
          <w:iCs/>
          <w:color w:val="auto"/>
          <w:sz w:val="20"/>
          <w:szCs w:val="20"/>
        </w:rPr>
        <w:t>9.10.9.</w:t>
      </w:r>
      <w:r>
        <w:rPr>
          <w:rFonts w:cs="Arial" w:ascii="Arial" w:hAnsi="Arial"/>
          <w:b/>
          <w:bCs/>
          <w:iCs/>
          <w:color w:val="auto"/>
          <w:sz w:val="20"/>
          <w:szCs w:val="20"/>
        </w:rPr>
        <w:t xml:space="preserve"> </w:t>
      </w:r>
      <w:r>
        <w:rPr>
          <w:rFonts w:cs="Arial" w:ascii="Arial" w:hAnsi="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0"/>
          <w:numId w:val="0"/>
        </w:numPr>
        <w:tabs>
          <w:tab w:val="clear" w:pos="720"/>
          <w:tab w:val="left" w:pos="1440" w:leader="none"/>
        </w:tabs>
        <w:snapToGrid w:val="false"/>
        <w:spacing w:lineRule="auto" w:line="276" w:before="120" w:after="120"/>
        <w:ind w:left="3211"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clear" w:pos="720"/>
          <w:tab w:val="left" w:pos="1440" w:leader="none"/>
        </w:tabs>
        <w:snapToGrid w:val="false"/>
        <w:spacing w:lineRule="auto" w:line="276" w:before="120" w:after="120"/>
        <w:ind w:left="1719" w:hanging="0"/>
        <w:contextualSpacing/>
        <w:jc w:val="both"/>
        <w:rPr>
          <w:rFonts w:ascii="Arial" w:hAnsi="Arial" w:cs="Arial"/>
          <w:b/>
          <w:b/>
          <w:bCs/>
          <w:sz w:val="20"/>
          <w:szCs w:val="20"/>
        </w:rPr>
      </w:pPr>
      <w:r>
        <w:rPr>
          <w:rFonts w:cs="Arial" w:ascii="Arial" w:hAnsi="Arial"/>
          <w:bCs/>
          <w:sz w:val="20"/>
          <w:szCs w:val="20"/>
        </w:rPr>
        <w:t>9.10.10.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clear" w:pos="720"/>
          <w:tab w:val="left" w:pos="1440" w:leader="none"/>
        </w:tabs>
        <w:snapToGrid w:val="false"/>
        <w:spacing w:lineRule="auto" w:line="276" w:before="120" w:after="120"/>
        <w:ind w:left="1719" w:hanging="0"/>
        <w:contextualSpacing/>
        <w:jc w:val="both"/>
        <w:rPr>
          <w:rFonts w:ascii="Arial" w:hAnsi="Arial" w:cs="Arial"/>
          <w:b/>
          <w:b/>
          <w:bCs/>
          <w:sz w:val="20"/>
          <w:szCs w:val="20"/>
        </w:rPr>
      </w:pPr>
      <w:r>
        <w:rPr>
          <w:rFonts w:cs="Arial" w:ascii="Arial" w:hAnsi="Arial"/>
          <w:b/>
          <w:bCs/>
          <w:sz w:val="20"/>
          <w:szCs w:val="20"/>
        </w:rPr>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1225" w:right="0" w:hanging="0"/>
        <w:contextualSpacing/>
        <w:jc w:val="both"/>
        <w:rPr>
          <w:rFonts w:ascii="Arial" w:hAnsi="Arial" w:cs="Arial"/>
          <w:bCs/>
          <w:color w:val="000000"/>
          <w:sz w:val="20"/>
          <w:szCs w:val="20"/>
        </w:rPr>
      </w:pPr>
      <w:r>
        <w:rPr>
          <w:rFonts w:cs="Arial" w:ascii="Arial" w:hAnsi="Arial"/>
          <w:bCs/>
          <w:color w:val="000000"/>
          <w:sz w:val="20"/>
          <w:szCs w:val="20"/>
        </w:rPr>
        <w:t>9.11.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1225"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t>9.11.1. A declaração do vencedor acontecerá no momento imediatamente posterior à fase de habilitação.</w:t>
      </w:r>
    </w:p>
    <w:p>
      <w:pPr>
        <w:pStyle w:val="ListParagraph"/>
        <w:numPr>
          <w:ilvl w:val="0"/>
          <w:numId w:val="0"/>
        </w:numPr>
        <w:spacing w:lineRule="auto" w:line="276" w:before="120" w:after="120"/>
        <w:ind w:left="235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sz w:val="20"/>
          <w:szCs w:val="20"/>
        </w:rPr>
        <w:t xml:space="preserve">9.12.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t>9.13.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t>9.14. Havendo necessidade de analisar minuciosamente os documentos exigidos, o Pregoeiro suspenderá a sessão, informando no “chat” a nova data e horário para a continuidade da mesma.</w:t>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1679" w:right="0" w:hanging="0"/>
        <w:contextualSpacing/>
        <w:jc w:val="both"/>
        <w:rPr>
          <w:rFonts w:ascii="Arial" w:hAnsi="Arial" w:cs="Arial"/>
          <w:color w:val="000000"/>
          <w:sz w:val="20"/>
          <w:szCs w:val="20"/>
        </w:rPr>
      </w:pPr>
      <w:r>
        <w:rPr>
          <w:rFonts w:cs="Arial" w:ascii="Arial" w:hAnsi="Arial"/>
          <w:color w:val="000000"/>
          <w:sz w:val="20"/>
          <w:szCs w:val="20"/>
        </w:rPr>
        <w:t>9.15.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9.16.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widowControl/>
        <w:numPr>
          <w:ilvl w:val="0"/>
          <w:numId w:val="0"/>
        </w:numPr>
        <w:suppressAutoHyphens w:val="true"/>
        <w:bidi w:val="0"/>
        <w:spacing w:lineRule="auto" w:line="276" w:before="120" w:after="120"/>
        <w:ind w:left="942" w:right="0" w:hanging="0"/>
        <w:jc w:val="both"/>
        <w:rPr>
          <w:color w:val="000000"/>
        </w:rPr>
      </w:pPr>
      <w:r>
        <w:rPr>
          <w:rFonts w:cs="Arial" w:ascii="Arial" w:hAnsi="Arial"/>
          <w:color w:val="000000"/>
          <w:sz w:val="20"/>
          <w:szCs w:val="20"/>
        </w:rPr>
        <w:t>9.17.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0"/>
          <w:numId w:val="0"/>
        </w:numPr>
        <w:spacing w:lineRule="auto" w:line="276" w:before="120" w:after="120"/>
        <w:ind w:left="1638" w:hanging="0"/>
        <w:jc w:val="both"/>
        <w:rPr>
          <w:color w:val="000000"/>
        </w:rPr>
      </w:pPr>
      <w:r>
        <w:rPr>
          <w:rFonts w:cs="Arial" w:ascii="Arial" w:hAnsi="Arial"/>
          <w:color w:val="000000"/>
          <w:sz w:val="20"/>
          <w:szCs w:val="20"/>
        </w:rPr>
        <w:t>9.17.1. Não havendo a comprovação cumulativa dos requisitos de habilitação, a inabilitação recairá sobre o(s) item(ns) de menor(es) valor(es) cuja retirada(s) seja(m) suficiente(s) para a habilitação do licitante nos remanescentes.</w:t>
      </w:r>
    </w:p>
    <w:p>
      <w:pPr>
        <w:pStyle w:val="ListParagraph"/>
        <w:tabs>
          <w:tab w:val="clear" w:pos="720"/>
          <w:tab w:val="left" w:pos="2190" w:leader="none"/>
        </w:tabs>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ab/>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9.18. Constatado o atendimento às exigências de habilitação fixadas no Edital, o licitante será declarado vencedor.</w:t>
      </w:r>
    </w:p>
    <w:p>
      <w:pPr>
        <w:pStyle w:val="Nivel01"/>
        <w:numPr>
          <w:ilvl w:val="0"/>
          <w:numId w:val="0"/>
        </w:numPr>
        <w:ind w:left="360" w:hanging="0"/>
        <w:rPr>
          <w:rFonts w:ascii="Arial" w:hAnsi="Arial" w:cs="Arial"/>
          <w:i/>
          <w:i/>
          <w:color w:val="auto"/>
          <w:lang w:eastAsia="en-US"/>
        </w:rPr>
      </w:pPr>
      <w:r>
        <w:rPr>
          <w:rFonts w:cs="Arial" w:ascii="Arial" w:hAnsi="Arial"/>
          <w:i/>
          <w:color w:val="auto"/>
          <w:lang w:eastAsia="en-US"/>
        </w:rPr>
        <w:t xml:space="preserve">10. DO </w:t>
      </w:r>
      <w:r>
        <w:rPr>
          <w:rFonts w:cs="Arial" w:ascii="Arial" w:hAnsi="Arial"/>
          <w:i/>
          <w:color w:val="auto"/>
        </w:rPr>
        <w:t>ENCAMINHAMENTO</w:t>
      </w:r>
      <w:r>
        <w:rPr>
          <w:rFonts w:cs="Arial" w:ascii="Arial" w:hAnsi="Arial"/>
          <w:i/>
          <w:color w:val="auto"/>
          <w:lang w:eastAsia="en-US"/>
        </w:rPr>
        <w:t xml:space="preserve"> DA PROPOSTA VENCEDORA</w:t>
      </w:r>
    </w:p>
    <w:p>
      <w:pPr>
        <w:pStyle w:val="ListParagraph"/>
        <w:widowControl/>
        <w:numPr>
          <w:ilvl w:val="0"/>
          <w:numId w:val="0"/>
        </w:numPr>
        <w:suppressAutoHyphens w:val="true"/>
        <w:bidi w:val="0"/>
        <w:spacing w:lineRule="auto" w:line="276" w:before="120" w:after="120"/>
        <w:ind w:left="942" w:right="0" w:hanging="0"/>
        <w:contextualSpacing/>
        <w:jc w:val="both"/>
        <w:rPr>
          <w:b w:val="false"/>
          <w:b w:val="false"/>
          <w:bCs w:val="false"/>
          <w:i w:val="false"/>
          <w:i w:val="false"/>
          <w:iCs w:val="false"/>
          <w:color w:val="000000"/>
        </w:rPr>
      </w:pPr>
      <w:r>
        <w:rPr>
          <w:rFonts w:cs="Arial" w:ascii="Arial" w:hAnsi="Arial"/>
          <w:b w:val="false"/>
          <w:bCs w:val="false"/>
          <w:i w:val="false"/>
          <w:iCs w:val="false"/>
          <w:color w:val="000000"/>
          <w:sz w:val="20"/>
          <w:szCs w:val="20"/>
        </w:rPr>
        <w:t>10.1. A proposta final do licitante declarado vencedor deverá ser encaminhada no prazo de 02 (duas) horas, a contar da solicitação do Pregoeiro no sistema eletrônico e deverá:</w:t>
      </w:r>
    </w:p>
    <w:p>
      <w:pPr>
        <w:pStyle w:val="Normal"/>
        <w:numPr>
          <w:ilvl w:val="0"/>
          <w:numId w:val="0"/>
        </w:numPr>
        <w:spacing w:lineRule="auto" w:line="276" w:before="120" w:after="120"/>
        <w:ind w:left="2772" w:hanging="0"/>
        <w:jc w:val="both"/>
        <w:rPr>
          <w:i w:val="false"/>
          <w:i w:val="false"/>
          <w:iCs w:val="false"/>
          <w:color w:val="000000"/>
        </w:rPr>
      </w:pPr>
      <w:r>
        <w:rPr>
          <w:rFonts w:cs="Arial" w:ascii="Arial" w:hAnsi="Arial"/>
          <w:i w:val="false"/>
          <w:iCs w:val="false"/>
          <w:color w:val="000000"/>
          <w:sz w:val="20"/>
          <w:szCs w:val="20"/>
        </w:rPr>
        <w:t>10.1.1. Ser redigida em língua portuguesa, datilografada ou digitada, em uma via, sem emendas, rasuras, entrelinhas ou ressalvas, devendo a última folha ser assinada e as demais rubricadas pelo licitante ou seu representante legal.</w:t>
      </w:r>
    </w:p>
    <w:p>
      <w:pPr>
        <w:pStyle w:val="Normal"/>
        <w:numPr>
          <w:ilvl w:val="0"/>
          <w:numId w:val="0"/>
        </w:numPr>
        <w:spacing w:lineRule="auto" w:line="276" w:before="120" w:after="120"/>
        <w:ind w:left="2772" w:hanging="0"/>
        <w:jc w:val="both"/>
        <w:rPr>
          <w:i w:val="false"/>
          <w:i w:val="false"/>
          <w:iCs w:val="false"/>
          <w:color w:val="000000"/>
        </w:rPr>
      </w:pPr>
      <w:r>
        <w:rPr>
          <w:rFonts w:cs="Arial" w:ascii="Arial" w:hAnsi="Arial"/>
          <w:i w:val="false"/>
          <w:iCs w:val="false"/>
          <w:color w:val="000000"/>
          <w:sz w:val="20"/>
          <w:szCs w:val="20"/>
        </w:rPr>
        <w:t>10.1.2. Conter a indicação do banco, número da conta e agência do licitante vencedor, para fins de pagamento.</w:t>
      </w:r>
    </w:p>
    <w:p>
      <w:pPr>
        <w:pStyle w:val="ListParagraph"/>
        <w:widowControl/>
        <w:numPr>
          <w:ilvl w:val="0"/>
          <w:numId w:val="0"/>
        </w:numPr>
        <w:suppressAutoHyphens w:val="true"/>
        <w:bidi w:val="0"/>
        <w:spacing w:lineRule="auto" w:line="276" w:before="120" w:after="120"/>
        <w:ind w:left="942" w:right="0" w:hanging="0"/>
        <w:contextualSpacing/>
        <w:jc w:val="both"/>
        <w:rPr>
          <w:i w:val="false"/>
          <w:i w:val="false"/>
          <w:iCs w:val="false"/>
          <w:color w:val="000000"/>
        </w:rPr>
      </w:pPr>
      <w:r>
        <w:rPr>
          <w:rFonts w:cs="Arial" w:ascii="Arial" w:hAnsi="Arial"/>
          <w:i w:val="false"/>
          <w:iCs w:val="false"/>
          <w:color w:val="000000"/>
          <w:sz w:val="20"/>
          <w:szCs w:val="20"/>
        </w:rPr>
        <w:t>10.2. A proposta final deverá ser documentada nos autos e será levada em consideração no decorrer da execução do contrato e aplicação de eventual sanção à Contratada, se for o caso.</w:t>
      </w:r>
    </w:p>
    <w:p>
      <w:pPr>
        <w:pStyle w:val="Normal"/>
        <w:numPr>
          <w:ilvl w:val="0"/>
          <w:numId w:val="0"/>
        </w:numPr>
        <w:spacing w:lineRule="auto" w:line="276" w:before="120" w:after="120"/>
        <w:ind w:left="2772" w:hanging="0"/>
        <w:jc w:val="both"/>
        <w:rPr>
          <w:color w:val="000000"/>
        </w:rPr>
      </w:pPr>
      <w:r>
        <w:rPr>
          <w:rFonts w:cs="Arial" w:ascii="Arial" w:hAnsi="Arial"/>
          <w:i/>
          <w:color w:val="000000"/>
          <w:sz w:val="20"/>
          <w:szCs w:val="20"/>
        </w:rPr>
        <w:t>1</w:t>
      </w:r>
      <w:r>
        <w:rPr>
          <w:rFonts w:cs="Arial" w:ascii="Arial" w:hAnsi="Arial"/>
          <w:i w:val="false"/>
          <w:iCs w:val="false"/>
          <w:color w:val="000000"/>
          <w:sz w:val="20"/>
          <w:szCs w:val="20"/>
        </w:rPr>
        <w:t>0.2.1. Todas as especificações do objeto contidas na proposta, tais como marca, modelo, tipo, fabricante e procedência, vinculam a Contratada.</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i/>
          <w:color w:val="000000"/>
          <w:sz w:val="20"/>
          <w:szCs w:val="20"/>
        </w:rPr>
        <w:t xml:space="preserve">10.3. </w:t>
      </w:r>
      <w:r>
        <w:rPr>
          <w:rFonts w:cs="Arial" w:ascii="Arial" w:hAnsi="Arial"/>
          <w:color w:val="000000"/>
          <w:sz w:val="20"/>
          <w:szCs w:val="20"/>
        </w:rPr>
        <w:t>Os preços deverão ser expressos em moeda corrente nacional, o valor unitário em algarismos</w:t>
      </w:r>
      <w:r>
        <w:rPr>
          <w:rFonts w:cs="Arial" w:ascii="Arial" w:hAnsi="Arial"/>
          <w:sz w:val="20"/>
          <w:szCs w:val="20"/>
        </w:rPr>
        <w:t xml:space="preserve"> e o valor global em algarismos e por extenso (art. 5º da Lei nº 8.666/93).</w:t>
      </w:r>
    </w:p>
    <w:p>
      <w:pPr>
        <w:pStyle w:val="Normal"/>
        <w:numPr>
          <w:ilvl w:val="0"/>
          <w:numId w:val="0"/>
        </w:numPr>
        <w:spacing w:lineRule="auto" w:line="276" w:before="120" w:after="120"/>
        <w:ind w:left="2772" w:hanging="0"/>
        <w:jc w:val="both"/>
        <w:rPr>
          <w:rFonts w:ascii="Arial" w:hAnsi="Arial" w:cs="Arial"/>
          <w:sz w:val="20"/>
          <w:szCs w:val="20"/>
        </w:rPr>
      </w:pPr>
      <w:r>
        <w:rPr>
          <w:rFonts w:cs="Arial" w:ascii="Arial" w:hAnsi="Arial"/>
          <w:sz w:val="20"/>
          <w:szCs w:val="20"/>
        </w:rPr>
        <w:t>10.3.1. Ocorrendo divergência entre os preços unitários e o preço global, prevalecerão os primeiros; no caso de divergência entre os valores numéricos e os valores expressos por extenso, prevalecerão estes últimos.</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10.4. 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sz w:val="20"/>
          <w:szCs w:val="20"/>
        </w:rPr>
        <w:t>10.5. 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42" w:right="0" w:hanging="0"/>
        <w:contextualSpacing/>
        <w:jc w:val="both"/>
        <w:rPr>
          <w:rFonts w:ascii="Arial" w:hAnsi="Arial" w:cs="Arial"/>
          <w:sz w:val="20"/>
          <w:szCs w:val="20"/>
        </w:rPr>
      </w:pPr>
      <w:r>
        <w:rPr>
          <w:rFonts w:cs="Arial" w:ascii="Arial" w:hAnsi="Arial"/>
          <w:color w:val="000000"/>
          <w:sz w:val="20"/>
          <w:szCs w:val="20"/>
        </w:rPr>
        <w:t>10.6. As propostas que contenham a descrição do objeto, o valor e os documentos complementares estarão disponíveis na internet, após a homologação.</w:t>
      </w:r>
    </w:p>
    <w:p>
      <w:pPr>
        <w:pStyle w:val="ListParagraph"/>
        <w:spacing w:lineRule="auto" w:line="276"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0"/>
        </w:numPr>
        <w:ind w:left="360" w:hanging="0"/>
        <w:rPr>
          <w:rFonts w:ascii="Arial" w:hAnsi="Arial" w:cs="Arial"/>
          <w:lang w:eastAsia="en-US"/>
        </w:rPr>
      </w:pPr>
      <w:r>
        <w:rPr>
          <w:rFonts w:cs="Arial" w:ascii="Arial" w:hAnsi="Arial"/>
          <w:lang w:eastAsia="en-US"/>
        </w:rPr>
        <w:t>11. DOS RECURSOS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lang w:eastAsia="en-US"/>
        </w:rPr>
        <w:t>11.1.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11.2. Havendo quem se manifeste, caberá ao Pregoeiro verificar a tempestividade e a existência de motivação da intenção de recorrer, para decidir se admite ou não o recurso, fundamentadamente.</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color w:val="000000"/>
          <w:sz w:val="20"/>
          <w:szCs w:val="20"/>
        </w:rPr>
        <w:t>11.2.1. Nesse momento o Pregoeiro não adentrará no mérito recursal, mas apenas verificará as condições de admissibilidade do recurso.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sz w:val="20"/>
          <w:szCs w:val="20"/>
          <w:u w:val="single"/>
        </w:rPr>
      </w:pPr>
      <w:r>
        <w:rPr>
          <w:rFonts w:cs="Arial" w:ascii="Arial" w:hAnsi="Arial"/>
          <w:color w:val="auto"/>
          <w:sz w:val="20"/>
          <w:szCs w:val="20"/>
        </w:rPr>
        <w:t xml:space="preserve">11.2.2. </w:t>
      </w:r>
      <w:r>
        <w:rPr>
          <w:rFonts w:cs="Arial" w:ascii="Arial" w:hAnsi="Arial"/>
          <w:sz w:val="20"/>
          <w:szCs w:val="20"/>
        </w:rPr>
        <w:t>A falta de manifestação motivada do licitante quanto à intenção de recorrer importará a decadência desse direito.</w:t>
      </w:r>
    </w:p>
    <w:p>
      <w:pPr>
        <w:pStyle w:val="Normal"/>
        <w:numPr>
          <w:ilvl w:val="0"/>
          <w:numId w:val="0"/>
        </w:numPr>
        <w:tabs>
          <w:tab w:val="clear" w:pos="720"/>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sz w:val="20"/>
          <w:szCs w:val="20"/>
        </w:rPr>
        <w:t xml:space="preserve">11.2.3.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11.3. O acolhimento do recurso invalida tão somente os atos insuscetíveis de aproveitamento.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11.4. Os autos do processo permanecerão com vista franqueada aos interessados, no endereço constante neste Edital.</w:t>
      </w:r>
    </w:p>
    <w:p>
      <w:pPr>
        <w:pStyle w:val="Nivel01"/>
        <w:numPr>
          <w:ilvl w:val="0"/>
          <w:numId w:val="0"/>
        </w:numPr>
        <w:ind w:left="360" w:hanging="0"/>
        <w:rPr>
          <w:rFonts w:ascii="Arial" w:hAnsi="Arial" w:cs="Arial"/>
          <w:lang w:eastAsia="en-US"/>
        </w:rPr>
      </w:pPr>
      <w:r>
        <w:rPr>
          <w:rFonts w:cs="Arial" w:ascii="Arial" w:hAnsi="Arial"/>
          <w:lang w:eastAsia="en-US"/>
        </w:rPr>
        <w:t>12. DA REABERTURA DA SESSÃO PÚBLICA</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 A sessão pública poderá ser reaberta:</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 Todos os licitantes remanescentes deverão ser convocados para acompanhar a sessão reaberta.</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12.2.1. A convocação se dará por meio do sistema eletrônico (“chat”), e-mail, de acordo com a fase do procedimento licitatório.</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12.2.2. A convocação feita por e-mail dar-se-á de acordo com os dados contidos no SICAF, sendo responsabilidade do licitante manter seus dados cadastrais atualizados.</w:t>
      </w:r>
    </w:p>
    <w:p>
      <w:pPr>
        <w:pStyle w:val="Nivel01"/>
        <w:numPr>
          <w:ilvl w:val="0"/>
          <w:numId w:val="0"/>
        </w:numPr>
        <w:ind w:left="360" w:hanging="0"/>
        <w:rPr>
          <w:rFonts w:ascii="Arial" w:hAnsi="Arial" w:cs="Arial"/>
        </w:rPr>
      </w:pPr>
      <w:r>
        <w:rPr>
          <w:rFonts w:cs="Arial" w:ascii="Arial" w:hAnsi="Arial"/>
        </w:rPr>
        <w:t xml:space="preserve">13. DA ADJUDICAÇÃO E HOMOLOGAÇÃO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13.1. 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13.2. 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color w:val="auto"/>
        </w:rPr>
      </w:pPr>
      <w:r>
        <w:rPr>
          <w:rFonts w:cs="Arial" w:ascii="Arial" w:hAnsi="Arial"/>
          <w:color w:val="auto"/>
        </w:rPr>
        <w:t xml:space="preserve">14. DA GARANTIA DE EXECUÇÃO </w:t>
      </w:r>
    </w:p>
    <w:p>
      <w:pPr>
        <w:pStyle w:val="Normal"/>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color w:val="000000"/>
        </w:rPr>
      </w:pPr>
      <w:r>
        <w:rPr>
          <w:rFonts w:cs="Arial" w:ascii="Arial" w:hAnsi="Arial"/>
          <w:color w:val="000000"/>
          <w:sz w:val="20"/>
          <w:szCs w:val="20"/>
        </w:rPr>
        <w:t>14.1. Não haverá exigência de garantia de execução para a presente contratação.</w:t>
      </w:r>
    </w:p>
    <w:p>
      <w:pPr>
        <w:pStyle w:val="Nivel01"/>
        <w:numPr>
          <w:ilvl w:val="0"/>
          <w:numId w:val="0"/>
        </w:numPr>
        <w:ind w:left="360" w:hanging="0"/>
        <w:rPr>
          <w:i w:val="false"/>
          <w:i w:val="false"/>
          <w:iCs w:val="false"/>
          <w:color w:val="000000"/>
        </w:rPr>
      </w:pPr>
      <w:r>
        <w:rPr>
          <w:rFonts w:cs="Arial" w:ascii="Arial" w:hAnsi="Arial"/>
          <w:i w:val="false"/>
          <w:iCs w:val="false"/>
          <w:color w:val="000000"/>
          <w:sz w:val="20"/>
          <w:szCs w:val="20"/>
        </w:rPr>
        <w:t xml:space="preserve">15. </w:t>
      </w:r>
      <w:r>
        <w:rPr>
          <w:rFonts w:cs="Arial" w:ascii="Arial" w:hAnsi="Arial"/>
          <w:i w:val="false"/>
          <w:iCs w:val="false"/>
          <w:color w:val="000000"/>
        </w:rPr>
        <w:t xml:space="preserve">DA GARANTIA CONTRATUAL DOS BENS </w:t>
      </w:r>
    </w:p>
    <w:p>
      <w:pPr>
        <w:pStyle w:val="Nivel01"/>
        <w:keepNext w:val="true"/>
        <w:keepLines/>
        <w:widowControl/>
        <w:numPr>
          <w:ilvl w:val="0"/>
          <w:numId w:val="0"/>
        </w:numPr>
        <w:suppressAutoHyphens w:val="true"/>
        <w:bidi w:val="0"/>
        <w:spacing w:before="240" w:after="0"/>
        <w:ind w:left="999" w:right="0" w:hanging="0"/>
        <w:jc w:val="both"/>
        <w:rPr/>
      </w:pPr>
      <w:r>
        <w:rPr>
          <w:rFonts w:cs="Arial" w:ascii="Arial" w:hAnsi="Arial"/>
          <w:b w:val="false"/>
          <w:i w:val="false"/>
          <w:iCs w:val="false"/>
          <w:color w:val="000000"/>
        </w:rPr>
        <w:t>15.1. Não haverá exigência de garantia contratual dos bens fornecidos na presente contratação.</w:t>
      </w:r>
    </w:p>
    <w:p>
      <w:pPr>
        <w:pStyle w:val="Nivel01"/>
        <w:numPr>
          <w:ilvl w:val="0"/>
          <w:numId w:val="0"/>
        </w:numPr>
        <w:ind w:left="360" w:hanging="0"/>
        <w:rPr>
          <w:i w:val="false"/>
          <w:i w:val="false"/>
          <w:iCs w:val="false"/>
          <w:color w:val="000000"/>
          <w:shd w:fill="auto" w:val="clear"/>
        </w:rPr>
      </w:pPr>
      <w:r>
        <w:rPr>
          <w:rFonts w:cs="Arial" w:ascii="Arial" w:hAnsi="Arial"/>
          <w:i w:val="false"/>
          <w:iCs w:val="false"/>
          <w:color w:val="000000"/>
          <w:shd w:fill="auto" w:val="clear"/>
        </w:rPr>
        <w:t>16. DA ATA DE REGISTRO DE PREÇOS</w:t>
      </w:r>
    </w:p>
    <w:p>
      <w:pPr>
        <w:pStyle w:val="Nivel01"/>
        <w:keepNext w:val="true"/>
        <w:keepLines/>
        <w:widowControl/>
        <w:numPr>
          <w:ilvl w:val="0"/>
          <w:numId w:val="0"/>
        </w:numPr>
        <w:suppressAutoHyphens w:val="true"/>
        <w:bidi w:val="0"/>
        <w:spacing w:before="240" w:after="0"/>
        <w:ind w:left="2092" w:right="0" w:hanging="0"/>
        <w:jc w:val="both"/>
        <w:rPr>
          <w:i w:val="false"/>
          <w:i w:val="false"/>
          <w:iCs w:val="false"/>
          <w:color w:val="000000"/>
          <w:shd w:fill="auto" w:val="clear"/>
        </w:rPr>
      </w:pPr>
      <w:r>
        <w:rPr>
          <w:rFonts w:cs="Arial" w:ascii="Arial" w:hAnsi="Arial"/>
          <w:b w:val="false"/>
          <w:i w:val="false"/>
          <w:iCs w:val="false"/>
          <w:color w:val="000000"/>
          <w:shd w:fill="auto" w:val="clear"/>
        </w:rPr>
        <w:t xml:space="preserve">16.1. Homologado o resultado da licitação, terá o adjudicatário o prazo de </w:t>
      </w:r>
      <w:r>
        <w:rPr>
          <w:rFonts w:cs="Arial" w:ascii="Arial" w:hAnsi="Arial"/>
          <w:b/>
          <w:bCs/>
          <w:i w:val="false"/>
          <w:iCs w:val="false"/>
          <w:color w:val="000000"/>
          <w:shd w:fill="auto" w:val="clear"/>
        </w:rPr>
        <w:t>05 (cinco) dias</w:t>
      </w:r>
      <w:r>
        <w:rPr>
          <w:rFonts w:cs="Arial" w:ascii="Arial" w:hAnsi="Arial"/>
          <w:b w:val="false"/>
          <w:i w:val="false"/>
          <w:iCs w:val="false"/>
          <w:color w:val="000000"/>
          <w:shd w:fill="auto" w:val="clear"/>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ivel01"/>
        <w:widowControl/>
        <w:numPr>
          <w:ilvl w:val="0"/>
          <w:numId w:val="0"/>
        </w:numPr>
        <w:suppressAutoHyphens w:val="true"/>
        <w:bidi w:val="0"/>
        <w:spacing w:before="240" w:after="0"/>
        <w:ind w:left="2092" w:right="0" w:hanging="0"/>
        <w:jc w:val="both"/>
        <w:rPr>
          <w:i w:val="false"/>
          <w:i w:val="false"/>
          <w:iCs w:val="false"/>
          <w:color w:val="000000"/>
          <w:shd w:fill="auto" w:val="clear"/>
        </w:rPr>
      </w:pPr>
      <w:r>
        <w:rPr>
          <w:rFonts w:cs="Arial" w:ascii="Arial" w:hAnsi="Arial"/>
          <w:b w:val="false"/>
          <w:i w:val="false"/>
          <w:iCs w:val="false"/>
          <w:color w:val="000000"/>
          <w:shd w:fill="auto" w:val="clear"/>
        </w:rPr>
        <w:t xml:space="preserve">16.2. 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shd w:fill="auto" w:val="clear"/>
        </w:rPr>
        <w:t xml:space="preserve">mediante correspondência postal com aviso de recebimento (AR) ou meio eletrônico, para que seja assinada e devolvida no prazo de </w:t>
      </w:r>
      <w:r>
        <w:rPr>
          <w:rFonts w:cs="Arial" w:ascii="Arial" w:hAnsi="Arial"/>
          <w:b/>
          <w:bCs/>
          <w:i w:val="false"/>
          <w:iCs w:val="false"/>
          <w:color w:val="000000"/>
          <w:shd w:fill="auto" w:val="clear"/>
        </w:rPr>
        <w:t>05 (cinco) dias</w:t>
      </w:r>
      <w:r>
        <w:rPr>
          <w:rFonts w:cs="Arial" w:ascii="Arial" w:hAnsi="Arial"/>
          <w:b w:val="false"/>
          <w:bCs w:val="false"/>
          <w:i w:val="false"/>
          <w:iCs w:val="false"/>
          <w:color w:val="000000"/>
          <w:shd w:fill="auto" w:val="clear"/>
        </w:rPr>
        <w:t>, a contar da data de seu recebimento.</w:t>
      </w:r>
    </w:p>
    <w:p>
      <w:pPr>
        <w:pStyle w:val="Nivel01"/>
        <w:keepNext w:val="true"/>
        <w:keepLines/>
        <w:widowControl/>
        <w:numPr>
          <w:ilvl w:val="0"/>
          <w:numId w:val="0"/>
        </w:numPr>
        <w:suppressAutoHyphens w:val="true"/>
        <w:bidi w:val="0"/>
        <w:spacing w:before="240" w:after="0"/>
        <w:ind w:left="999" w:right="0" w:hanging="0"/>
        <w:jc w:val="both"/>
        <w:rPr>
          <w:i w:val="false"/>
          <w:i w:val="false"/>
          <w:iCs w:val="false"/>
          <w:color w:val="000000"/>
          <w:shd w:fill="auto" w:val="clear"/>
        </w:rPr>
      </w:pPr>
      <w:r>
        <w:rPr>
          <w:rFonts w:cs="Arial" w:ascii="Arial" w:hAnsi="Arial"/>
          <w:b w:val="false"/>
          <w:i w:val="false"/>
          <w:iCs w:val="false"/>
          <w:color w:val="000000"/>
          <w:szCs w:val="20"/>
          <w:shd w:fill="auto" w:val="clear"/>
        </w:rPr>
        <w:t xml:space="preserve">16.3. </w:t>
      </w:r>
      <w:r>
        <w:rPr>
          <w:rFonts w:cs="Arial" w:ascii="Arial" w:hAnsi="Arial"/>
          <w:b w:val="false"/>
          <w:i w:val="false"/>
          <w:iCs w:val="false"/>
          <w:color w:val="000000"/>
          <w:shd w:fill="auto" w:val="clear"/>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keepNext w:val="true"/>
        <w:keepLines/>
        <w:widowControl/>
        <w:numPr>
          <w:ilvl w:val="0"/>
          <w:numId w:val="0"/>
        </w:numPr>
        <w:suppressAutoHyphens w:val="true"/>
        <w:bidi w:val="0"/>
        <w:spacing w:before="240" w:after="0"/>
        <w:ind w:left="999" w:right="0" w:hanging="0"/>
        <w:jc w:val="both"/>
        <w:rPr>
          <w:i w:val="false"/>
          <w:i w:val="false"/>
          <w:iCs w:val="false"/>
          <w:color w:val="000000"/>
          <w:shd w:fill="auto" w:val="clear"/>
        </w:rPr>
      </w:pPr>
      <w:r>
        <w:rPr>
          <w:rFonts w:cs="Arial" w:ascii="Arial" w:hAnsi="Arial"/>
          <w:b w:val="false"/>
          <w:i w:val="false"/>
          <w:iCs w:val="false"/>
          <w:color w:val="000000"/>
          <w:shd w:fill="auto" w:val="clear"/>
        </w:rPr>
        <w:t>16.4.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keepNext w:val="true"/>
        <w:keepLines/>
        <w:widowControl/>
        <w:numPr>
          <w:ilvl w:val="0"/>
          <w:numId w:val="0"/>
        </w:numPr>
        <w:suppressAutoHyphens w:val="true"/>
        <w:bidi w:val="0"/>
        <w:spacing w:before="240" w:after="0"/>
        <w:ind w:left="1582" w:right="0" w:hanging="0"/>
        <w:jc w:val="both"/>
        <w:rPr>
          <w:i w:val="false"/>
          <w:i w:val="false"/>
          <w:iCs w:val="false"/>
          <w:color w:val="000000"/>
          <w:shd w:fill="auto" w:val="clear"/>
        </w:rPr>
      </w:pPr>
      <w:r>
        <w:rPr>
          <w:rFonts w:cs="Arial" w:ascii="Arial" w:hAnsi="Arial"/>
          <w:b w:val="false"/>
          <w:i w:val="false"/>
          <w:iCs w:val="false"/>
          <w:color w:val="000000"/>
          <w:shd w:fill="auto" w:val="clear"/>
        </w:rPr>
        <w:t>16.5.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keepNext w:val="true"/>
        <w:keepLines/>
        <w:widowControl/>
        <w:numPr>
          <w:ilvl w:val="0"/>
          <w:numId w:val="0"/>
        </w:numPr>
        <w:suppressAutoHyphens w:val="true"/>
        <w:bidi w:val="0"/>
        <w:spacing w:before="240" w:after="0"/>
        <w:ind w:left="20" w:right="0" w:hanging="0"/>
        <w:jc w:val="both"/>
        <w:rPr>
          <w:color w:val="000000"/>
        </w:rPr>
      </w:pPr>
      <w:r>
        <w:rPr>
          <w:rFonts w:cs="Arial" w:ascii="Arial" w:hAnsi="Arial"/>
          <w:bCs/>
          <w:i w:val="false"/>
          <w:iCs w:val="false"/>
          <w:color w:val="000000"/>
          <w:szCs w:val="20"/>
        </w:rPr>
        <w:t xml:space="preserve">17. </w:t>
      </w:r>
      <w:r>
        <w:rPr>
          <w:rFonts w:cs="Arial" w:ascii="Arial" w:hAnsi="Arial"/>
          <w:color w:val="000000"/>
        </w:rPr>
        <w:t>DO TERMO DE CONTRATO OU INSTRUMENTO EQUIVALENTE</w:t>
      </w:r>
    </w:p>
    <w:p>
      <w:pPr>
        <w:pStyle w:val="Normal"/>
        <w:rPr>
          <w:rFonts w:ascii="Arial" w:hAnsi="Arial" w:cs="Arial"/>
          <w:color w:val="000000"/>
          <w:sz w:val="20"/>
          <w:szCs w:val="20"/>
        </w:rPr>
      </w:pPr>
      <w:r>
        <w:rPr>
          <w:rFonts w:cs="Arial" w:ascii="Arial" w:hAnsi="Arial"/>
          <w:color w:val="000000"/>
          <w:sz w:val="20"/>
          <w:szCs w:val="20"/>
        </w:rPr>
      </w:r>
    </w:p>
    <w:p>
      <w:pPr>
        <w:pStyle w:val="Nivel01"/>
        <w:keepNext w:val="true"/>
        <w:keepLines/>
        <w:widowControl/>
        <w:numPr>
          <w:ilvl w:val="0"/>
          <w:numId w:val="0"/>
        </w:numPr>
        <w:suppressAutoHyphens w:val="true"/>
        <w:bidi w:val="0"/>
        <w:spacing w:before="240" w:after="0"/>
        <w:ind w:left="999" w:right="0" w:hanging="0"/>
        <w:jc w:val="both"/>
        <w:rPr>
          <w:rFonts w:ascii="Arial" w:hAnsi="Arial" w:cs="Arial"/>
          <w:b w:val="false"/>
          <w:b w:val="false"/>
        </w:rPr>
      </w:pPr>
      <w:r>
        <w:rPr>
          <w:rFonts w:eastAsia="Arial" w:cs="Arial" w:ascii="Arial" w:hAnsi="Arial"/>
          <w:b w:val="false"/>
        </w:rPr>
        <w:t>17.1. Após a homologação da licitação, em sendo realizada a contratação, será firmado Termo de Contrato ou emitido instrumento equivalente.</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rPr>
        <w:t xml:space="preserve">17.2. O adjudicatário terá o prazo de </w:t>
      </w:r>
      <w:r>
        <w:rPr>
          <w:rFonts w:eastAsia="Arial" w:cs="Arial" w:ascii="Arial" w:hAnsi="Arial"/>
          <w:b/>
          <w:bCs/>
        </w:rPr>
        <w:t>05 (cinco) dias úteis</w:t>
      </w:r>
      <w:r>
        <w:rPr>
          <w:rFonts w:eastAsia="Arial" w:cs="Arial" w:ascii="Arial" w:hAnsi="Arial"/>
          <w:b w:val="false"/>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 xml:space="preserve">17.2.1.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bCs/>
        </w:rPr>
        <w:t>05 (cinco) dias</w:t>
      </w:r>
      <w:r>
        <w:rPr>
          <w:rFonts w:eastAsia="Arial" w:cs="Arial" w:ascii="Arial" w:hAnsi="Arial"/>
          <w:b w:val="false"/>
        </w:rPr>
        <w:t xml:space="preserve">, a contar da data de seu recebimento.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17.2.2. O prazo previsto no subitem anterior poderá ser prorrogado, por igual período, por solicitação justificada do adjudicatário e aceita pela Administração.</w:t>
      </w:r>
    </w:p>
    <w:p>
      <w:pPr>
        <w:pStyle w:val="Nivel01"/>
        <w:keepNext w:val="true"/>
        <w:keepLines/>
        <w:widowControl/>
        <w:numPr>
          <w:ilvl w:val="0"/>
          <w:numId w:val="0"/>
        </w:numPr>
        <w:tabs>
          <w:tab w:val="left" w:pos="567" w:leader="none"/>
          <w:tab w:val="left" w:pos="621" w:leader="none"/>
        </w:tabs>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szCs w:val="20"/>
        </w:rPr>
        <w:t xml:space="preserve">17.3. </w:t>
      </w: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17.3.1.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17.3.2.a contratada se vincula à sua proposta e às previsões contidas no edital e seus anexos;</w:t>
      </w:r>
    </w:p>
    <w:p>
      <w:pPr>
        <w:pStyle w:val="ListParagraph"/>
        <w:numPr>
          <w:ilvl w:val="2"/>
          <w:numId w:val="14"/>
        </w:numPr>
        <w:spacing w:lineRule="auto" w:line="276" w:before="120" w:after="120"/>
        <w:contextualSpacing/>
        <w:jc w:val="both"/>
        <w:rPr>
          <w:rFonts w:ascii="Arial" w:hAnsi="Arial" w:eastAsia="Arial" w:cs="Arial"/>
          <w:color w:val="000000"/>
          <w:sz w:val="20"/>
          <w:szCs w:val="20"/>
        </w:rPr>
      </w:pPr>
      <w:r>
        <w:rPr>
          <w:rFonts w:eastAsia="Arial" w:cs="Arial" w:ascii="Arial" w:hAnsi="Arial"/>
          <w:color w:val="000000"/>
          <w:sz w:val="20"/>
          <w:szCs w:val="20"/>
        </w:rPr>
        <w:t>a contratada reconhece que as hipóteses de rescisão são aquelas previstas nos artigos 77 e 78 da Lei nº 8.666/93 e reconhece os direitos da Administração previstos nos artigos 79 e 80 da mesma Lei.</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rPr>
        <w:t xml:space="preserve">17.4. O prazo de vigência da contratação é de </w:t>
      </w:r>
      <w:r>
        <w:rPr>
          <w:rFonts w:eastAsia="Arial" w:cs="Arial" w:ascii="Arial" w:hAnsi="Arial"/>
          <w:b/>
          <w:bCs/>
        </w:rPr>
        <w:t xml:space="preserve">12 (dose meses) </w:t>
      </w:r>
      <w:r>
        <w:rPr>
          <w:rFonts w:eastAsia="Arial" w:cs="Arial" w:ascii="Arial" w:hAnsi="Arial"/>
          <w:b w:val="false"/>
        </w:rPr>
        <w:t xml:space="preserve">prorrogável conforme previsão no instrumento contratual ou no termo de referência. </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szCs w:val="20"/>
        </w:rPr>
        <w:t xml:space="preserve">17.5. </w:t>
      </w: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17.5.1. Nos casos em que houver necessidade de assinatura do instrumento de contrato, e o fornecedor não estiver inscrito no SICAF, este deverá proceder ao seu cadastramento, sem ônus, antes da contratação.</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17.5.2.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suppressAutoHyphens w:val="true"/>
        <w:bidi w:val="0"/>
        <w:spacing w:lineRule="auto" w:line="276" w:before="120" w:after="120"/>
        <w:ind w:left="999" w:right="0" w:hanging="0"/>
        <w:jc w:val="both"/>
        <w:rPr>
          <w:rFonts w:ascii="Arial" w:hAnsi="Arial" w:eastAsia="Arial" w:cs="Arial"/>
          <w:color w:val="000000"/>
          <w:sz w:val="20"/>
          <w:szCs w:val="20"/>
        </w:rPr>
      </w:pPr>
      <w:r>
        <w:rPr>
          <w:rFonts w:cs="Arial" w:ascii="Arial" w:hAnsi="Arial"/>
          <w:color w:val="000000"/>
          <w:sz w:val="20"/>
          <w:szCs w:val="20"/>
        </w:rPr>
        <w:t>17.6.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17.7.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numPr>
          <w:ilvl w:val="0"/>
          <w:numId w:val="0"/>
        </w:numPr>
        <w:ind w:left="360" w:hanging="0"/>
        <w:rPr>
          <w:rFonts w:ascii="Arial" w:hAnsi="Arial" w:cs="Arial"/>
        </w:rPr>
      </w:pPr>
      <w:r>
        <w:rPr>
          <w:rFonts w:eastAsia="Arial" w:cs="Arial" w:ascii="Arial" w:hAnsi="Arial"/>
        </w:rPr>
        <w:t xml:space="preserve">18. </w:t>
      </w:r>
      <w:r>
        <w:rPr>
          <w:rFonts w:cs="Arial" w:ascii="Arial" w:hAnsi="Arial"/>
        </w:rPr>
        <w:t>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18.1.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19. DO RECEBIMENTO DO OBJETO E DA FISCALIZAÇÃO</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lang w:eastAsia="en-US"/>
        </w:rPr>
        <w:t>19.1. Os critérios de recebimento e aceitação do objeto e de fiscalização estão previstos no Termo de Referência.</w:t>
      </w:r>
    </w:p>
    <w:p>
      <w:pPr>
        <w:pStyle w:val="Nivel01"/>
        <w:numPr>
          <w:ilvl w:val="0"/>
          <w:numId w:val="0"/>
        </w:numPr>
        <w:ind w:left="360" w:hanging="0"/>
        <w:rPr>
          <w:rFonts w:ascii="Arial" w:hAnsi="Arial" w:cs="Arial"/>
        </w:rPr>
      </w:pPr>
      <w:r>
        <w:rPr>
          <w:rFonts w:cs="Arial" w:ascii="Arial" w:hAnsi="Arial"/>
          <w:lang w:eastAsia="en-US"/>
        </w:rPr>
        <w:t>20.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color w:val="000000"/>
          <w:sz w:val="20"/>
          <w:szCs w:val="20"/>
          <w:lang w:eastAsia="en-US"/>
        </w:rPr>
        <w:t>20.1.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21. DO PAGAMENTO</w:t>
      </w:r>
    </w:p>
    <w:tbl>
      <w:tblPr>
        <w:tblStyle w:val="Tabelacomgrade"/>
        <w:tblW w:w="2802"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213"/>
        <w:gridCol w:w="588"/>
      </w:tblGrid>
      <w:tr>
        <w:trPr/>
        <w:tc>
          <w:tcPr>
            <w:tcW w:w="2213" w:type="dxa"/>
            <w:tcBorders>
              <w:top w:val="nil"/>
              <w:left w:val="nil"/>
              <w:bottom w:val="nil"/>
              <w:right w:val="nil"/>
            </w:tcBorders>
          </w:tcPr>
          <w:p>
            <w:pPr>
              <w:pStyle w:val="Normal"/>
              <w:widowControl w:val="false"/>
              <w:suppressAutoHyphens w:val="true"/>
              <w:spacing w:before="0" w:after="0"/>
              <w:jc w:val="left"/>
              <w:rPr>
                <w:rFonts w:ascii="Arial" w:hAnsi="Arial" w:cs="Arial"/>
                <w:color w:val="000000"/>
                <w:sz w:val="20"/>
                <w:szCs w:val="20"/>
              </w:rPr>
            </w:pPr>
            <w:r>
              <w:rPr>
                <w:rFonts w:cs="Arial" w:ascii="Arial" w:hAnsi="Arial"/>
                <w:color w:val="000000"/>
                <w:sz w:val="20"/>
                <w:szCs w:val="20"/>
              </w:rPr>
            </w:r>
          </w:p>
        </w:tc>
        <w:tc>
          <w:tcPr>
            <w:tcW w:w="588" w:type="dxa"/>
            <w:tcBorders>
              <w:top w:val="nil"/>
              <w:left w:val="nil"/>
              <w:bottom w:val="nil"/>
              <w:right w:val="nil"/>
            </w:tcBorders>
          </w:tcPr>
          <w:p>
            <w:pPr>
              <w:pStyle w:val="Normal"/>
              <w:widowControl w:val="false"/>
              <w:tabs>
                <w:tab w:val="clear" w:pos="720"/>
                <w:tab w:val="left" w:pos="1701" w:leader="none"/>
              </w:tabs>
              <w:suppressAutoHyphens w:val="true"/>
              <w:spacing w:before="0" w:after="0"/>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21.1. As regras acerca do pagamento são as estabelecidas no Termo de Referência, anexo a este Edital.</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148" w:right="0" w:hanging="0"/>
        <w:contextualSpacing/>
        <w:jc w:val="both"/>
        <w:rPr>
          <w:rFonts w:eastAsia="ＭＳ 明朝" w:eastAsiaTheme="minorEastAsia"/>
          <w:shd w:fill="auto" w:val="clear"/>
        </w:rPr>
      </w:pPr>
      <w:r>
        <w:rPr>
          <w:rFonts w:cs="Arial" w:ascii="Arial" w:hAnsi="Arial"/>
          <w:sz w:val="20"/>
          <w:shd w:fill="auto" w:val="clear"/>
          <w:lang w:eastAsia="en-US"/>
        </w:rPr>
        <w:t>21.2. É admitida a cessão de crédito decorrente da contratação de que trata este Instrumento Convocat</w:t>
      </w:r>
      <w:bookmarkStart w:id="2" w:name="_GoBack"/>
      <w:bookmarkEnd w:id="2"/>
      <w:r>
        <w:rPr>
          <w:rFonts w:cs="Arial" w:ascii="Arial" w:hAnsi="Arial"/>
          <w:sz w:val="20"/>
          <w:shd w:fill="auto" w:val="clear"/>
          <w:lang w:eastAsia="en-US"/>
        </w:rPr>
        <w:t>ório, nos termos do previsto na minuta contratual anexa a este Edital.</w:t>
      </w:r>
    </w:p>
    <w:p>
      <w:pPr>
        <w:pStyle w:val="ListParagraph"/>
        <w:numPr>
          <w:ilvl w:val="0"/>
          <w:numId w:val="0"/>
        </w:numPr>
        <w:spacing w:lineRule="auto" w:line="276" w:before="120" w:after="120"/>
        <w:ind w:left="2358" w:hanging="0"/>
        <w:contextualSpacing/>
        <w:jc w:val="both"/>
        <w:rPr>
          <w:rFonts w:ascii="Arial" w:hAnsi="Arial" w:cs="Arial"/>
          <w:sz w:val="20"/>
          <w:szCs w:val="20"/>
          <w:lang w:eastAsia="en-US"/>
        </w:rPr>
      </w:pPr>
      <w:r>
        <w:rPr>
          <w:rFonts w:cs="Arial" w:ascii="Arial" w:hAnsi="Arial"/>
          <w:sz w:val="20"/>
          <w:szCs w:val="20"/>
          <w:lang w:eastAsia="en-US"/>
        </w:rPr>
      </w:r>
    </w:p>
    <w:p>
      <w:pPr>
        <w:pStyle w:val="Nivel01"/>
        <w:numPr>
          <w:ilvl w:val="0"/>
          <w:numId w:val="0"/>
        </w:numPr>
        <w:ind w:left="360" w:hanging="0"/>
        <w:rPr>
          <w:rFonts w:ascii="Arial" w:hAnsi="Arial" w:cs="Arial"/>
        </w:rPr>
      </w:pPr>
      <w:r>
        <w:rPr>
          <w:rFonts w:cs="Arial" w:ascii="Arial" w:hAnsi="Arial"/>
        </w:rPr>
        <w:t>22. DAS SANÇÕES ADMINISTRATIVAS.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22.1. Comete infração administrativa, nos termos da Lei nº 10.520, de 2002, o licitante/adjudicatário que: </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22.1.1. Não assinar o termo de contrato ou aceitar/retirar o instrumento equivalente, quando convocado dentro do prazo de validade da proposta;</w:t>
      </w:r>
    </w:p>
    <w:p>
      <w:pPr>
        <w:pStyle w:val="ListParagraph"/>
        <w:numPr>
          <w:ilvl w:val="0"/>
          <w:numId w:val="0"/>
        </w:numPr>
        <w:ind w:left="2358" w:hanging="0"/>
        <w:rPr>
          <w:rFonts w:ascii="Arial" w:hAnsi="Arial" w:cs="Arial"/>
          <w:sz w:val="20"/>
          <w:szCs w:val="20"/>
          <w:shd w:fill="FFFFFF" w:val="clear"/>
        </w:rPr>
      </w:pPr>
      <w:r>
        <w:rPr>
          <w:rFonts w:cs="Arial" w:ascii="Arial" w:hAnsi="Arial"/>
          <w:sz w:val="20"/>
          <w:szCs w:val="20"/>
          <w:shd w:fill="FFFFFF" w:val="clear"/>
        </w:rPr>
        <w:t>22.1.2. Não assinar a ata de registro de preços, quando cabível;</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22.1.3. Apresentar documentação falsa;</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22.1.4. Deixar de entregar os documentos exigidos no certame;</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rPr>
        <w:t>22.1.5. Ensejar o retardamento da execução do objeto;</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22.1.6. Não mantiver a proposta;</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22.1.7. Cometer fraude fiscal;</w:t>
      </w:r>
    </w:p>
    <w:p>
      <w:pPr>
        <w:pStyle w:val="Normal"/>
        <w:numPr>
          <w:ilvl w:val="0"/>
          <w:numId w:val="0"/>
        </w:numPr>
        <w:tabs>
          <w:tab w:val="clear" w:pos="720"/>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22.1.8. Comportar-se de modo inidôneo;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22.2.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22.4.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 xml:space="preserve">22.4.2. Multa de </w:t>
      </w:r>
      <w:r>
        <w:rPr>
          <w:rFonts w:cs="Arial" w:ascii="Arial" w:hAnsi="Arial"/>
          <w:b/>
          <w:bCs/>
          <w:sz w:val="20"/>
          <w:szCs w:val="20"/>
          <w:shd w:fill="FFFFFF" w:val="clear"/>
        </w:rPr>
        <w:t xml:space="preserve">1% (um por cento) </w:t>
      </w:r>
      <w:r>
        <w:rPr>
          <w:rFonts w:cs="Arial" w:ascii="Arial" w:hAnsi="Arial"/>
          <w:sz w:val="20"/>
          <w:szCs w:val="20"/>
          <w:shd w:fill="FFFFFF" w:val="clear"/>
        </w:rPr>
        <w:t>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22.4.4. Impedimento de licitar e de contratar com a União e descredenciamento no SICAF, pelo prazo de até cinco anos;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22.6. A penalidade de multa pode ser aplicada cumulativamente com as demais sanções.</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 xml:space="preserve">22.9.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22.13. As penalidades serão obrigatoriamente registradas no SICAF.</w:t>
      </w:r>
    </w:p>
    <w:p>
      <w:pPr>
        <w:pStyle w:val="ListParagraph"/>
        <w:numPr>
          <w:ilvl w:val="0"/>
          <w:numId w:val="0"/>
        </w:numPr>
        <w:spacing w:lineRule="auto" w:line="276" w:before="120" w:after="120"/>
        <w:ind w:left="1719" w:hanging="0"/>
        <w:contextualSpacing/>
        <w:jc w:val="both"/>
        <w:rPr>
          <w:rFonts w:ascii="Arial" w:hAnsi="Arial" w:cs="Arial"/>
          <w:sz w:val="20"/>
          <w:szCs w:val="20"/>
          <w:shd w:fill="FFFFFF" w:val="clear"/>
        </w:rPr>
      </w:pPr>
      <w:r>
        <w:rPr>
          <w:rFonts w:cs="Arial" w:ascii="Arial" w:hAnsi="Arial"/>
          <w:sz w:val="20"/>
          <w:szCs w:val="20"/>
          <w:shd w:fill="FFFFFF" w:val="clear"/>
        </w:rPr>
        <w:t>22.14. As sanções por atos praticados no decorrer da contratação estão previstas no Termo de Referência.</w:t>
      </w:r>
    </w:p>
    <w:p>
      <w:pPr>
        <w:pStyle w:val="Nivel01"/>
        <w:numPr>
          <w:ilvl w:val="0"/>
          <w:numId w:val="0"/>
        </w:numPr>
        <w:ind w:left="360" w:hanging="0"/>
        <w:rPr>
          <w:i w:val="false"/>
          <w:i w:val="false"/>
          <w:iCs w:val="false"/>
          <w:color w:val="000000"/>
          <w:shd w:fill="auto" w:val="clear"/>
        </w:rPr>
      </w:pPr>
      <w:r>
        <w:rPr>
          <w:rFonts w:cs="Arial" w:ascii="Arial" w:hAnsi="Arial"/>
          <w:i w:val="false"/>
          <w:iCs w:val="false"/>
          <w:color w:val="000000"/>
          <w:shd w:fill="auto" w:val="clear"/>
        </w:rPr>
        <w:t xml:space="preserve">23. DA FORMAÇÃO DO CADASTRO DE RESERVA </w:t>
      </w:r>
    </w:p>
    <w:p>
      <w:pPr>
        <w:pStyle w:val="ListParagraph"/>
        <w:numPr>
          <w:ilvl w:val="0"/>
          <w:numId w:val="0"/>
        </w:numPr>
        <w:spacing w:lineRule="auto" w:line="276" w:before="120" w:after="120"/>
        <w:ind w:left="1719" w:hanging="0"/>
        <w:contextualSpacing/>
        <w:jc w:val="both"/>
        <w:rPr>
          <w:i w:val="false"/>
          <w:i w:val="false"/>
          <w:iCs w:val="false"/>
          <w:color w:val="000000"/>
          <w:shd w:fill="auto" w:val="clear"/>
        </w:rPr>
      </w:pPr>
      <w:r>
        <w:rPr>
          <w:rFonts w:cs="Arial" w:ascii="Arial" w:hAnsi="Arial"/>
          <w:i w:val="false"/>
          <w:iCs w:val="false"/>
          <w:color w:val="000000"/>
          <w:sz w:val="20"/>
          <w:szCs w:val="20"/>
          <w:shd w:fill="auto" w:val="clear"/>
        </w:rPr>
        <w:t>23.1. Após o encerramento da etapa competitiva, os licitantes poderão reduzir seus preços ao valor da proposta do licitante mais bem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23.2. A apresentação de novas propostas na forma deste item não prejudicará o resultado do certame em relação ao licitante melhor classificado.</w:t>
      </w:r>
    </w:p>
    <w:p>
      <w:pPr>
        <w:pStyle w:val="Normal"/>
        <w:widowControl/>
        <w:numPr>
          <w:ilvl w:val="0"/>
          <w:numId w:val="0"/>
        </w:numPr>
        <w:suppressAutoHyphens w:val="true"/>
        <w:bidi w:val="0"/>
        <w:spacing w:lineRule="auto" w:line="276" w:before="120" w:after="120"/>
        <w:ind w:left="2019"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widowControl/>
        <w:numPr>
          <w:ilvl w:val="0"/>
          <w:numId w:val="0"/>
        </w:numPr>
        <w:suppressAutoHyphens w:val="true"/>
        <w:bidi w:val="0"/>
        <w:spacing w:lineRule="auto" w:line="276" w:before="120" w:after="120"/>
        <w:ind w:left="1963" w:right="0" w:hanging="0"/>
        <w:jc w:val="both"/>
        <w:rPr>
          <w:i w:val="false"/>
          <w:i w:val="false"/>
          <w:iCs w:val="false"/>
          <w:color w:val="000000"/>
          <w:shd w:fill="auto" w:val="clear"/>
        </w:rPr>
      </w:pPr>
      <w:r>
        <w:rPr>
          <w:rFonts w:cs="Arial" w:ascii="Arial" w:hAnsi="Arial"/>
          <w:i w:val="false"/>
          <w:iCs w:val="false"/>
          <w:color w:val="000000"/>
          <w:sz w:val="2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24. DA IMPUGNAÇÃO AO EDITAL E DO PEDIDO DE ESCLARECIMENTO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sz w:val="20"/>
          <w:szCs w:val="20"/>
        </w:rPr>
        <w:t xml:space="preserve">24.1. 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24.2. A impugnação poderá ser realizada por forma eletrônica, pelo e-mail</w:t>
      </w:r>
      <w:r>
        <w:rPr>
          <w:rFonts w:cs="Arial" w:ascii="Arial" w:hAnsi="Arial"/>
          <w:b/>
          <w:bCs/>
          <w:i/>
          <w:iCs/>
          <w:color w:val="000000"/>
          <w:sz w:val="20"/>
          <w:szCs w:val="20"/>
        </w:rPr>
        <w:t xml:space="preserve"> </w:t>
      </w:r>
      <w:r>
        <w:rPr>
          <w:rFonts w:cs="Arial" w:ascii="Arial" w:hAnsi="Arial"/>
          <w:b/>
          <w:bCs/>
          <w:i/>
          <w:iCs/>
          <w:color w:val="000000"/>
          <w:sz w:val="20"/>
          <w:szCs w:val="20"/>
          <w:u w:val="single"/>
        </w:rPr>
        <w:t xml:space="preserve">licitacoes@ifsertao-pe.edu.br </w:t>
      </w:r>
      <w:r>
        <w:rPr>
          <w:rFonts w:cs="Arial" w:ascii="Arial" w:hAnsi="Arial"/>
          <w:color w:val="000000"/>
          <w:sz w:val="20"/>
          <w:szCs w:val="20"/>
        </w:rPr>
        <w:t>ou por petição dirigida ou protocolada no endereço</w:t>
      </w:r>
      <w:r>
        <w:rPr>
          <w:rFonts w:cs="Arial" w:ascii="Arial" w:hAnsi="Arial"/>
          <w:b/>
          <w:bCs/>
          <w:i/>
          <w:iCs/>
          <w:color w:val="000000"/>
          <w:sz w:val="20"/>
          <w:szCs w:val="20"/>
          <w:u w:val="none"/>
        </w:rPr>
        <w:t xml:space="preserve"> Rua Aristarco Lopes, 240, centro, CEP 56.302-100, Petrolina Pernambuco, Diretoria de Licitações – DLIC.</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24.3. Caberá ao Pregoeiro, auxiliado pelos responsáveis pela elaboração deste Edital e seus anexos, decidir sobre a impugnação no prazo de até dois dias úteis contados da data de recebimento da impugnação.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24.5.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widowControl/>
        <w:numPr>
          <w:ilvl w:val="0"/>
          <w:numId w:val="0"/>
        </w:numPr>
        <w:suppressAutoHyphens w:val="true"/>
        <w:bidi w:val="0"/>
        <w:spacing w:lineRule="auto" w:line="276" w:before="120" w:after="120"/>
        <w:ind w:left="942" w:right="0" w:hanging="0"/>
        <w:jc w:val="both"/>
        <w:rPr>
          <w:rFonts w:ascii="Arial" w:hAnsi="Arial" w:cs="Arial"/>
          <w:color w:val="000000"/>
          <w:sz w:val="20"/>
          <w:szCs w:val="20"/>
        </w:rPr>
      </w:pPr>
      <w:r>
        <w:rPr>
          <w:rFonts w:cs="Arial" w:ascii="Arial" w:hAnsi="Arial"/>
          <w:color w:val="000000"/>
          <w:sz w:val="20"/>
          <w:szCs w:val="20"/>
        </w:rPr>
        <w:t>24.6. 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24.7. As impugnações e pedidos de esclarecimentos não suspendem os prazos previstos no certame.</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24.7.1. A concessão de efeito suspensivo à impugnação é medida excepcional e deverá ser motivada pelo pregoeiro, nos autos do processo de licitação.</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24.8. As respostas aos pedidos de esclarecimentos serão divulgadas pelo sistema e vincularão os participantes e a administração..</w:t>
      </w:r>
    </w:p>
    <w:p>
      <w:pPr>
        <w:pStyle w:val="Nivel01"/>
        <w:numPr>
          <w:ilvl w:val="0"/>
          <w:numId w:val="0"/>
        </w:numPr>
        <w:ind w:left="360" w:hanging="0"/>
        <w:rPr>
          <w:rFonts w:ascii="Arial" w:hAnsi="Arial" w:cs="Arial"/>
        </w:rPr>
      </w:pPr>
      <w:r>
        <w:rPr>
          <w:rFonts w:cs="Arial" w:ascii="Arial" w:hAnsi="Arial"/>
        </w:rPr>
        <w:t>25. DAS DISPOSIÇÕES GERAIS</w:t>
      </w:r>
    </w:p>
    <w:p>
      <w:pPr>
        <w:pStyle w:val="Normal"/>
        <w:rPr>
          <w:rFonts w:ascii="Arial" w:hAnsi="Arial" w:cs="Arial"/>
          <w:sz w:val="20"/>
          <w:szCs w:val="20"/>
        </w:rPr>
      </w:pPr>
      <w:r>
        <w:rPr>
          <w:rFonts w:cs="Arial" w:ascii="Arial" w:hAnsi="Arial"/>
          <w:sz w:val="20"/>
          <w:szCs w:val="20"/>
        </w:rPr>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25.1. Da sessão pública do Pregão divulgar-se-á Ata no sistema eletrônico.</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 xml:space="preserve">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25.3. Todas as referências de tempo no Edital, no aviso e durante a sessão pública observarão o horário de Brasília – DF.</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themeColor="text1"/>
          <w:sz w:val="2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25.5.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25.8.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25.9.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25.10.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1112" w:right="0" w:hanging="0"/>
        <w:jc w:val="both"/>
        <w:rPr/>
      </w:pPr>
      <w:r>
        <w:rPr>
          <w:rFonts w:cs="Arial" w:ascii="Arial" w:hAnsi="Arial"/>
          <w:color w:val="000000"/>
          <w:sz w:val="20"/>
          <w:szCs w:val="20"/>
        </w:rPr>
        <w:t xml:space="preserve">25.11. O Edital está disponibilizado, na íntegra, no endereço eletrônico </w:t>
      </w:r>
      <w:r>
        <w:rPr>
          <w:rFonts w:cs="Arial" w:ascii="Arial" w:hAnsi="Arial"/>
          <w:b/>
          <w:bCs/>
          <w:i/>
          <w:iCs/>
          <w:color w:val="000000"/>
          <w:sz w:val="20"/>
          <w:szCs w:val="20"/>
        </w:rPr>
        <w:t>www.gov.br/compras/pt-br/acesso-a-informacao/consulta-detalhada</w:t>
      </w:r>
      <w:r>
        <w:rPr>
          <w:rFonts w:cs="Arial" w:ascii="Arial" w:hAnsi="Arial"/>
          <w:color w:val="000000"/>
          <w:sz w:val="20"/>
          <w:szCs w:val="20"/>
        </w:rPr>
        <w:t xml:space="preserve">, e também poderão ser lidos e/ou obtidos no endereço </w:t>
      </w:r>
      <w:r>
        <w:rPr>
          <w:rFonts w:cs="Arial" w:ascii="Arial" w:hAnsi="Arial"/>
          <w:b/>
          <w:bCs/>
          <w:i/>
          <w:iCs/>
          <w:color w:val="000000"/>
          <w:sz w:val="20"/>
          <w:szCs w:val="20"/>
        </w:rPr>
        <w:t>Rua Aristarco Lopes, 240, Centro, Petrolina-PE, CEP – 56302.100, Diretoria de Licitações – DLIC</w:t>
      </w:r>
      <w:r>
        <w:rPr>
          <w:rFonts w:cs="Arial" w:ascii="Arial" w:hAnsi="Arial"/>
          <w:color w:val="000000"/>
          <w:sz w:val="20"/>
          <w:szCs w:val="20"/>
        </w:rPr>
        <w:t xml:space="preserve">, nos dias úteis, no horário das </w:t>
      </w:r>
      <w:r>
        <w:rPr>
          <w:rFonts w:cs="Arial" w:ascii="Arial" w:hAnsi="Arial"/>
          <w:b/>
          <w:bCs/>
          <w:color w:val="000000"/>
          <w:sz w:val="20"/>
          <w:szCs w:val="20"/>
        </w:rPr>
        <w:t>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pacing w:lineRule="auto" w:line="276" w:before="120" w:after="120"/>
        <w:ind w:left="1112" w:right="0" w:hanging="0"/>
        <w:jc w:val="both"/>
        <w:rPr>
          <w:rFonts w:ascii="Arial" w:hAnsi="Arial" w:cs="Arial"/>
          <w:color w:val="000000"/>
          <w:sz w:val="20"/>
          <w:szCs w:val="20"/>
        </w:rPr>
      </w:pPr>
      <w:r>
        <w:rPr>
          <w:rFonts w:cs="Arial" w:ascii="Arial" w:hAnsi="Arial"/>
          <w:color w:val="000000"/>
          <w:sz w:val="20"/>
          <w:szCs w:val="20"/>
        </w:rPr>
        <w:t>25.12. Integram este Edital, para todos os fins e efeitos, os seguintes anexos:</w:t>
      </w:r>
    </w:p>
    <w:p>
      <w:pPr>
        <w:pStyle w:val="Normal"/>
        <w:numPr>
          <w:ilvl w:val="2"/>
          <w:numId w:val="15"/>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16"/>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iCs/>
          <w:color w:val="000000"/>
          <w:sz w:val="20"/>
          <w:szCs w:val="20"/>
        </w:rPr>
        <w:t>ANEXO I A – Estudo Técnico Preliminar (ETP);</w:t>
      </w:r>
    </w:p>
    <w:p>
      <w:pPr>
        <w:pStyle w:val="Normal"/>
        <w:numPr>
          <w:ilvl w:val="2"/>
          <w:numId w:val="17"/>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iCs/>
          <w:color w:val="000000"/>
          <w:sz w:val="20"/>
          <w:szCs w:val="20"/>
        </w:rPr>
        <w:t>ANEXO I B – Planilha de Preços Máximos Aceitáveis;</w:t>
      </w:r>
    </w:p>
    <w:p>
      <w:pPr>
        <w:pStyle w:val="Normal"/>
        <w:numPr>
          <w:ilvl w:val="2"/>
          <w:numId w:val="18"/>
        </w:numPr>
        <w:spacing w:lineRule="auto" w:line="276" w:before="120" w:after="120"/>
        <w:jc w:val="both"/>
        <w:rPr>
          <w:rFonts w:ascii="Arial" w:hAnsi="Arial" w:cs="Arial"/>
          <w:color w:val="000000"/>
          <w:sz w:val="20"/>
          <w:szCs w:val="20"/>
        </w:rPr>
      </w:pPr>
      <w:r>
        <w:rPr>
          <w:rFonts w:cs="Arial" w:ascii="Arial" w:hAnsi="Arial"/>
          <w:color w:val="000000"/>
          <w:sz w:val="20"/>
          <w:szCs w:val="20"/>
        </w:rPr>
        <w:t>ANEXO II – Minuta de Ata de Registro de Preços;</w:t>
      </w:r>
    </w:p>
    <w:p>
      <w:pPr>
        <w:pStyle w:val="Normal"/>
        <w:numPr>
          <w:ilvl w:val="2"/>
          <w:numId w:val="19"/>
        </w:numPr>
        <w:tabs>
          <w:tab w:val="clear" w:pos="720"/>
          <w:tab w:val="left" w:pos="1440" w:leader="none"/>
        </w:tabs>
        <w:snapToGrid w:val="false"/>
        <w:spacing w:lineRule="auto" w:line="276" w:before="120" w:after="120"/>
        <w:ind w:left="1134" w:hanging="0"/>
        <w:jc w:val="both"/>
        <w:rPr>
          <w:rFonts w:ascii="Arial" w:hAnsi="Arial" w:cs="Arial"/>
          <w:iCs/>
          <w:color w:val="000000"/>
          <w:sz w:val="20"/>
          <w:szCs w:val="20"/>
        </w:rPr>
      </w:pPr>
      <w:r>
        <w:rPr>
          <w:rFonts w:cs="Arial" w:ascii="Arial" w:hAnsi="Arial"/>
          <w:bCs/>
          <w:iCs/>
          <w:color w:val="000000"/>
          <w:sz w:val="20"/>
          <w:szCs w:val="20"/>
        </w:rPr>
        <w:t xml:space="preserve"> </w:t>
      </w:r>
      <w:r>
        <w:rPr>
          <w:rFonts w:cs="Arial" w:ascii="Arial" w:hAnsi="Arial"/>
          <w:bCs/>
          <w:iCs/>
          <w:color w:val="000000"/>
          <w:sz w:val="20"/>
          <w:szCs w:val="20"/>
        </w:rPr>
        <w:t>ANEXO III – Minuta de Termo de Contrato.</w:t>
      </w:r>
    </w:p>
    <w:p>
      <w:pPr>
        <w:pStyle w:val="Normal"/>
        <w:numPr>
          <w:ilvl w:val="0"/>
          <w:numId w:val="0"/>
        </w:numPr>
        <w:tabs>
          <w:tab w:val="clear" w:pos="720"/>
          <w:tab w:val="left" w:pos="1440" w:leader="none"/>
        </w:tabs>
        <w:snapToGrid w:val="false"/>
        <w:spacing w:lineRule="auto" w:line="276" w:before="120" w:after="120"/>
        <w:ind w:left="1638" w:hanging="0"/>
        <w:jc w:val="both"/>
        <w:rPr/>
      </w:pPr>
      <w:r>
        <w:rPr/>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 , ......... de ................................. de 20.....</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sz w:val="20"/>
          <w:szCs w:val="20"/>
        </w:rPr>
      </w:pPr>
      <w:r>
        <w:rPr>
          <w:rFonts w:cs="Arial" w:ascii="Arial" w:hAnsi="Arial"/>
          <w:b/>
          <w:bCs/>
          <w:iCs/>
          <w:color w:val="000000"/>
          <w:sz w:val="20"/>
          <w:szCs w:val="20"/>
        </w:rPr>
        <w:t>Assinatura da autoridade competente</w:t>
      </w:r>
    </w:p>
    <w:sectPr>
      <w:headerReference w:type="default" r:id="rId8"/>
      <w:footerReference w:type="default" r:id="rId9"/>
      <w:type w:val="nextPage"/>
      <w:pgSz w:w="11906" w:h="16838"/>
      <w:pgMar w:left="1701" w:right="1134" w:header="1418" w:top="298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2">
          <wp:simplePos x="0" y="0"/>
          <wp:positionH relativeFrom="column">
            <wp:posOffset>2589530</wp:posOffset>
          </wp:positionH>
          <wp:positionV relativeFrom="paragraph">
            <wp:posOffset>-254000</wp:posOffset>
          </wp:positionV>
          <wp:extent cx="529590" cy="51943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29590" cy="519430"/>
                  </a:xfrm>
                  <a:prstGeom prst="rect">
                    <a:avLst/>
                  </a:prstGeom>
                </pic:spPr>
              </pic:pic>
            </a:graphicData>
          </a:graphic>
        </wp:anchor>
      </w:drawing>
      <w:drawing>
        <wp:anchor behindDoc="1" distT="0" distB="0" distL="0" distR="0" simplePos="0" locked="0" layoutInCell="0" allowOverlap="1" relativeHeight="3">
          <wp:simplePos x="0" y="0"/>
          <wp:positionH relativeFrom="column">
            <wp:posOffset>4978400</wp:posOffset>
          </wp:positionH>
          <wp:positionV relativeFrom="paragraph">
            <wp:posOffset>-427990</wp:posOffset>
          </wp:positionV>
          <wp:extent cx="807085" cy="742950"/>
          <wp:effectExtent l="0" t="0" r="0" b="0"/>
          <wp:wrapNone/>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2"/>
                  <a:srcRect l="0" t="0" r="0" b="57109"/>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-215265</wp:posOffset>
          </wp:positionH>
          <wp:positionV relativeFrom="paragraph">
            <wp:posOffset>-276860</wp:posOffset>
          </wp:positionV>
          <wp:extent cx="1423035" cy="539115"/>
          <wp:effectExtent l="0" t="0" r="0" b="0"/>
          <wp:wrapNone/>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3"/>
                  <a:stretch>
                    <a:fillRect/>
                  </a:stretch>
                </pic:blipFill>
                <pic:spPr bwMode="auto">
                  <a:xfrm>
                    <a:off x="0" y="0"/>
                    <a:ext cx="1423035" cy="539115"/>
                  </a:xfrm>
                  <a:prstGeom prst="rect">
                    <a:avLst/>
                  </a:prstGeom>
                </pic:spPr>
              </pic:pic>
            </a:graphicData>
          </a:graphic>
        </wp:anchor>
      </w:drawing>
    </w:r>
  </w:p>
  <w:p>
    <w:pPr>
      <w:pStyle w:val="Cabealho"/>
      <w:rPr/>
    </w:pPr>
    <w:r>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rFonts w:ascii="Arial" w:hAnsi="Arial" w:cs="Arial"/>
        <w:b/>
        <w:b/>
        <w:bCs/>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t>DIRETORIA DE LICITAÇÕES - DLIC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9">
          <wp:simplePos x="0" y="0"/>
          <wp:positionH relativeFrom="column">
            <wp:posOffset>2651125</wp:posOffset>
          </wp:positionH>
          <wp:positionV relativeFrom="paragraph">
            <wp:posOffset>-304165</wp:posOffset>
          </wp:positionV>
          <wp:extent cx="525780" cy="476250"/>
          <wp:effectExtent l="0" t="0" r="0" b="0"/>
          <wp:wrapTopAndBottom/>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54">
          <wp:simplePos x="0" y="0"/>
          <wp:positionH relativeFrom="column">
            <wp:posOffset>5161915</wp:posOffset>
          </wp:positionH>
          <wp:positionV relativeFrom="paragraph">
            <wp:posOffset>-628650</wp:posOffset>
          </wp:positionV>
          <wp:extent cx="915035" cy="872490"/>
          <wp:effectExtent l="0" t="0" r="0" b="0"/>
          <wp:wrapNone/>
          <wp:docPr id="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
                  <pic:cNvPicPr>
                    <a:picLocks noChangeAspect="1" noChangeArrowheads="1"/>
                  </pic:cNvPicPr>
                </pic:nvPicPr>
                <pic:blipFill>
                  <a:blip r:embed="rId2"/>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79">
          <wp:simplePos x="0" y="0"/>
          <wp:positionH relativeFrom="column">
            <wp:posOffset>-153035</wp:posOffset>
          </wp:positionH>
          <wp:positionV relativeFrom="paragraph">
            <wp:posOffset>-488950</wp:posOffset>
          </wp:positionV>
          <wp:extent cx="1786255" cy="636270"/>
          <wp:effectExtent l="0" t="0" r="0" b="0"/>
          <wp:wrapTopAndBottom/>
          <wp:docPr id="6"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20"/>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20"/>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20"/>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w="http://schemas.openxmlformats.org/wordprocessingml/2006/main">
  <w:zoom w:percent="14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e1gpadre3o">
    <w:name w:val="Fonte paráe1g. padrãe3o"/>
    <w:qFormat/>
    <w:rPr/>
  </w:style>
  <w:style w:type="character" w:styleId="Fontepargpadro3">
    <w:name w:val="Fonte parág. padrão3"/>
    <w:qFormat/>
    <w:rPr/>
  </w:style>
  <w:style w:type="character" w:styleId="Fontepargpadro1">
    <w:name w:val="Fonte parág. padrão1"/>
    <w:qFormat/>
    <w:rPr/>
  </w:style>
  <w:style w:type="character" w:styleId="Fontepargpadro2">
    <w:name w:val="Fonte parág. padrão2"/>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20"/>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numPr>
        <w:ilvl w:val="0"/>
        <w:numId w:val="4"/>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SemEspaamento">
    <w:name w:val="Sem Espaçamento"/>
    <w:qFormat/>
    <w:pPr>
      <w:widowControl/>
      <w:suppressAutoHyphens w:val="true"/>
      <w:overflowPunct w:val="true"/>
      <w:bidi w:val="0"/>
      <w:spacing w:before="0" w:after="0"/>
      <w:jc w:val="left"/>
    </w:pPr>
    <w:rPr>
      <w:rFonts w:ascii="Calibri" w:hAnsi="Calibri" w:eastAsia="Calibri" w:cs="Calibri"/>
      <w:color w:val="00000A"/>
      <w:kern w:val="0"/>
      <w:sz w:val="22"/>
      <w:szCs w:val="22"/>
      <w:lang w:val="pt-BR" w:eastAsia="zh-CN" w:bidi="ar-SA"/>
    </w:rPr>
  </w:style>
  <w:style w:type="paragraph" w:styleId="LONormal">
    <w:name w:val="LO-Normal"/>
    <w:qFormat/>
    <w:pPr>
      <w:widowControl w:val="false"/>
      <w:suppressAutoHyphens w:val="true"/>
      <w:overflowPunct w:val="fals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20"/>
        <w:tab w:val="left" w:pos="567" w:leader="none"/>
      </w:tabs>
      <w:suppressAutoHyphens w:val="true"/>
      <w:overflowPunct w:val="fals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licitacoes@ifsertao-pe.edu.br" TargetMode="External"/><Relationship Id="rId5"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531</TotalTime>
  <Application>LibreOffice/7.0.6.2$Windows_X86_64 LibreOffice_project/144abb84a525d8e30c9dbbefa69cbbf2d8d4ae3b</Application>
  <AppVersion>15.0000</AppVersion>
  <Pages>26</Pages>
  <Words>9156</Words>
  <Characters>51845</Characters>
  <CharactersWithSpaces>60711</CharactersWithSpaces>
  <Paragraphs>384</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Manoel Paz</dc:creator>
  <dc:description/>
  <dc:language>pt-BR</dc:language>
  <cp:lastModifiedBy/>
  <cp:lastPrinted>2019-10-10T16:52:00Z</cp:lastPrinted>
  <dcterms:modified xsi:type="dcterms:W3CDTF">2022-01-31T13:53:25Z</dcterms:modified>
  <cp:revision>100</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