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4894D" w14:textId="77777777" w:rsidR="00A05915" w:rsidRPr="00954343" w:rsidRDefault="00A05915" w:rsidP="00954343">
      <w:pPr>
        <w:spacing w:line="276" w:lineRule="auto"/>
        <w:contextualSpacing/>
        <w:jc w:val="both"/>
        <w:rPr>
          <w:rFonts w:eastAsia="Arial"/>
          <w:sz w:val="22"/>
          <w:szCs w:val="22"/>
        </w:rPr>
      </w:pPr>
    </w:p>
    <w:p w14:paraId="4E94151B" w14:textId="0B4AAB7D" w:rsidR="00A05915" w:rsidRPr="00954343" w:rsidRDefault="000532CC" w:rsidP="00954343">
      <w:pPr>
        <w:spacing w:line="276" w:lineRule="auto"/>
        <w:contextualSpacing/>
        <w:jc w:val="center"/>
        <w:rPr>
          <w:rFonts w:eastAsia="Arial"/>
          <w:b/>
          <w:sz w:val="22"/>
          <w:szCs w:val="22"/>
        </w:rPr>
      </w:pPr>
      <w:r w:rsidRPr="00954343">
        <w:rPr>
          <w:rFonts w:eastAsia="Arial"/>
          <w:b/>
          <w:sz w:val="22"/>
          <w:szCs w:val="22"/>
        </w:rPr>
        <w:t>JUSTIFICATIVA PARA ADESÃO A ATA DE REGISTRO DE PREÇO</w:t>
      </w:r>
    </w:p>
    <w:p w14:paraId="21FA8740" w14:textId="77777777" w:rsidR="00A05915" w:rsidRPr="00954343" w:rsidRDefault="00A05915" w:rsidP="00954343">
      <w:pPr>
        <w:spacing w:line="276" w:lineRule="auto"/>
        <w:contextualSpacing/>
        <w:jc w:val="both"/>
        <w:rPr>
          <w:rFonts w:eastAsia="Arial"/>
          <w:b/>
          <w:sz w:val="22"/>
          <w:szCs w:val="22"/>
          <w:highlight w:val="yellow"/>
        </w:rPr>
      </w:pPr>
    </w:p>
    <w:p w14:paraId="23235EF2" w14:textId="0AB89293" w:rsidR="00A05915" w:rsidRPr="00954343" w:rsidRDefault="000532CC" w:rsidP="00954343">
      <w:pPr>
        <w:spacing w:line="276" w:lineRule="auto"/>
        <w:contextualSpacing/>
        <w:jc w:val="both"/>
        <w:rPr>
          <w:sz w:val="22"/>
          <w:szCs w:val="22"/>
        </w:rPr>
      </w:pPr>
      <w:r w:rsidRPr="00954343">
        <w:rPr>
          <w:rFonts w:eastAsia="Arial"/>
          <w:b/>
          <w:sz w:val="22"/>
          <w:szCs w:val="22"/>
        </w:rPr>
        <w:t xml:space="preserve">PREGÃO ELETRÔNICO SRP nº: </w:t>
      </w:r>
      <w:r w:rsidR="0092272E" w:rsidRPr="00954343">
        <w:rPr>
          <w:rFonts w:eastAsia="Arial"/>
          <w:sz w:val="22"/>
          <w:szCs w:val="22"/>
        </w:rPr>
        <w:t>10</w:t>
      </w:r>
      <w:r w:rsidRPr="00954343">
        <w:rPr>
          <w:rFonts w:eastAsia="Arial"/>
          <w:sz w:val="22"/>
          <w:szCs w:val="22"/>
        </w:rPr>
        <w:t>/20</w:t>
      </w:r>
      <w:r w:rsidR="0092272E" w:rsidRPr="00954343">
        <w:rPr>
          <w:rFonts w:eastAsia="Arial"/>
          <w:sz w:val="22"/>
          <w:szCs w:val="22"/>
        </w:rPr>
        <w:t>21</w:t>
      </w:r>
    </w:p>
    <w:p w14:paraId="1EFE2256" w14:textId="0321E1C7" w:rsidR="00A05915" w:rsidRPr="00954343" w:rsidRDefault="000532CC" w:rsidP="00954343">
      <w:pPr>
        <w:spacing w:line="276" w:lineRule="auto"/>
        <w:contextualSpacing/>
        <w:jc w:val="both"/>
        <w:rPr>
          <w:sz w:val="22"/>
          <w:szCs w:val="22"/>
        </w:rPr>
      </w:pPr>
      <w:r w:rsidRPr="00954343">
        <w:rPr>
          <w:rFonts w:eastAsia="Arial"/>
          <w:b/>
          <w:sz w:val="22"/>
          <w:szCs w:val="22"/>
        </w:rPr>
        <w:t xml:space="preserve">ÓRGÃO(S) GERENCIADOR(ES) DA ATA: </w:t>
      </w:r>
      <w:r w:rsidR="0092272E" w:rsidRPr="00954343">
        <w:rPr>
          <w:rFonts w:eastAsia="Arial"/>
          <w:b/>
          <w:sz w:val="22"/>
          <w:szCs w:val="22"/>
        </w:rPr>
        <w:t xml:space="preserve">UNIVERSIDADE FEDERAL DA BAHIA </w:t>
      </w:r>
      <w:r w:rsidRPr="00F203E7">
        <w:rPr>
          <w:rFonts w:eastAsia="Arial"/>
          <w:b/>
          <w:bCs/>
          <w:sz w:val="22"/>
          <w:szCs w:val="22"/>
        </w:rPr>
        <w:t xml:space="preserve">(UASG: </w:t>
      </w:r>
      <w:r w:rsidR="0092272E" w:rsidRPr="00F203E7">
        <w:rPr>
          <w:rFonts w:eastAsia="Arial"/>
          <w:b/>
          <w:bCs/>
          <w:sz w:val="22"/>
          <w:szCs w:val="22"/>
        </w:rPr>
        <w:t>153038</w:t>
      </w:r>
      <w:r w:rsidRPr="00F203E7">
        <w:rPr>
          <w:rFonts w:eastAsia="Arial"/>
          <w:b/>
          <w:bCs/>
          <w:sz w:val="22"/>
          <w:szCs w:val="22"/>
        </w:rPr>
        <w:t>)</w:t>
      </w:r>
      <w:r w:rsidRPr="00954343">
        <w:rPr>
          <w:rFonts w:eastAsia="Arial"/>
          <w:sz w:val="22"/>
          <w:szCs w:val="22"/>
        </w:rPr>
        <w:t xml:space="preserve"> </w:t>
      </w:r>
      <w:r w:rsidRPr="00954343">
        <w:rPr>
          <w:rFonts w:eastAsia="Arial"/>
          <w:b/>
          <w:sz w:val="22"/>
          <w:szCs w:val="22"/>
        </w:rPr>
        <w:br/>
        <w:t xml:space="preserve"> </w:t>
      </w:r>
    </w:p>
    <w:p w14:paraId="16780E78" w14:textId="77777777" w:rsidR="00A05915" w:rsidRPr="00954343" w:rsidRDefault="000532CC" w:rsidP="00954343">
      <w:pPr>
        <w:spacing w:line="276" w:lineRule="auto"/>
        <w:contextualSpacing/>
        <w:jc w:val="both"/>
        <w:rPr>
          <w:sz w:val="22"/>
          <w:szCs w:val="22"/>
        </w:rPr>
      </w:pPr>
      <w:r w:rsidRPr="00954343">
        <w:rPr>
          <w:rFonts w:eastAsia="Arial"/>
          <w:b/>
          <w:sz w:val="22"/>
          <w:szCs w:val="22"/>
        </w:rPr>
        <w:t>Processo</w:t>
      </w:r>
      <w:r w:rsidRPr="00954343">
        <w:rPr>
          <w:rFonts w:eastAsia="Arial"/>
          <w:b/>
          <w:color w:val="000000"/>
          <w:sz w:val="22"/>
          <w:szCs w:val="22"/>
        </w:rPr>
        <w:t>: 00000.000000/0000-00</w:t>
      </w:r>
    </w:p>
    <w:p w14:paraId="16CFC12D" w14:textId="204C32D1" w:rsidR="00A05915" w:rsidRPr="00954343" w:rsidRDefault="000532CC" w:rsidP="00954343">
      <w:pPr>
        <w:widowControl/>
        <w:spacing w:line="276" w:lineRule="auto"/>
        <w:contextualSpacing/>
        <w:jc w:val="both"/>
        <w:rPr>
          <w:sz w:val="22"/>
          <w:szCs w:val="22"/>
        </w:rPr>
      </w:pPr>
      <w:r w:rsidRPr="00954343">
        <w:rPr>
          <w:rFonts w:eastAsia="Arial"/>
          <w:b/>
          <w:color w:val="000000"/>
          <w:sz w:val="22"/>
          <w:szCs w:val="22"/>
        </w:rPr>
        <w:t xml:space="preserve">Assunto: </w:t>
      </w:r>
      <w:r w:rsidRPr="00954343">
        <w:rPr>
          <w:rFonts w:eastAsia="Arial"/>
          <w:color w:val="000000"/>
          <w:sz w:val="22"/>
          <w:szCs w:val="22"/>
        </w:rPr>
        <w:t xml:space="preserve">Adesão a ata de registro de preços para </w:t>
      </w:r>
      <w:r w:rsidRPr="00954343">
        <w:rPr>
          <w:sz w:val="22"/>
          <w:szCs w:val="22"/>
        </w:rPr>
        <w:t>Aquisição</w:t>
      </w:r>
      <w:r w:rsidR="0092272E" w:rsidRPr="00954343">
        <w:rPr>
          <w:sz w:val="22"/>
          <w:szCs w:val="22"/>
        </w:rPr>
        <w:t xml:space="preserve"> </w:t>
      </w:r>
      <w:r w:rsidRPr="00954343">
        <w:rPr>
          <w:sz w:val="22"/>
          <w:szCs w:val="22"/>
        </w:rPr>
        <w:t>de</w:t>
      </w:r>
      <w:r w:rsidR="0092272E" w:rsidRPr="00954343">
        <w:rPr>
          <w:sz w:val="22"/>
          <w:szCs w:val="22"/>
        </w:rPr>
        <w:t xml:space="preserve"> MEIOS DE CULTURA (REAGENTES) </w:t>
      </w:r>
      <w:r w:rsidRPr="00954343">
        <w:rPr>
          <w:sz w:val="22"/>
          <w:szCs w:val="22"/>
        </w:rPr>
        <w:t>para atender o campus</w:t>
      </w:r>
      <w:r w:rsidR="0092272E" w:rsidRPr="00954343">
        <w:rPr>
          <w:sz w:val="22"/>
          <w:szCs w:val="22"/>
        </w:rPr>
        <w:t xml:space="preserve"> Petrolina</w:t>
      </w:r>
      <w:r w:rsidRPr="00954343">
        <w:rPr>
          <w:sz w:val="22"/>
          <w:szCs w:val="22"/>
        </w:rPr>
        <w:t xml:space="preserve"> do </w:t>
      </w:r>
      <w:r w:rsidRPr="00954343">
        <w:rPr>
          <w:sz w:val="22"/>
          <w:szCs w:val="22"/>
          <w:highlight w:val="white"/>
        </w:rPr>
        <w:t xml:space="preserve">Instituto Federal do Sertão Pernambucano – </w:t>
      </w:r>
      <w:r w:rsidRPr="00954343">
        <w:rPr>
          <w:sz w:val="22"/>
          <w:szCs w:val="22"/>
        </w:rPr>
        <w:t>I</w:t>
      </w:r>
      <w:r w:rsidR="0092272E" w:rsidRPr="00954343">
        <w:rPr>
          <w:sz w:val="22"/>
          <w:szCs w:val="22"/>
        </w:rPr>
        <w:t>F</w:t>
      </w:r>
      <w:r w:rsidRPr="00954343">
        <w:rPr>
          <w:sz w:val="22"/>
          <w:szCs w:val="22"/>
        </w:rPr>
        <w:t>SertãoPE</w:t>
      </w:r>
      <w:r w:rsidR="0092272E" w:rsidRPr="00954343">
        <w:rPr>
          <w:sz w:val="22"/>
          <w:szCs w:val="22"/>
        </w:rPr>
        <w:t>.</w:t>
      </w:r>
    </w:p>
    <w:p w14:paraId="3B329BF0" w14:textId="77777777" w:rsidR="00A05915" w:rsidRPr="00954343" w:rsidRDefault="00A05915" w:rsidP="00954343">
      <w:pPr>
        <w:spacing w:line="276" w:lineRule="auto"/>
        <w:contextualSpacing/>
        <w:jc w:val="both"/>
        <w:rPr>
          <w:sz w:val="22"/>
          <w:szCs w:val="22"/>
        </w:rPr>
      </w:pPr>
    </w:p>
    <w:p w14:paraId="1F950FB2" w14:textId="77777777" w:rsidR="00A05915" w:rsidRPr="00954343" w:rsidRDefault="000532CC" w:rsidP="00954343">
      <w:pPr>
        <w:numPr>
          <w:ilvl w:val="0"/>
          <w:numId w:val="2"/>
        </w:numPr>
        <w:pBdr>
          <w:top w:val="nil"/>
          <w:left w:val="nil"/>
          <w:bottom w:val="nil"/>
          <w:right w:val="nil"/>
          <w:between w:val="nil"/>
        </w:pBdr>
        <w:spacing w:line="276" w:lineRule="auto"/>
        <w:contextualSpacing/>
        <w:jc w:val="both"/>
        <w:rPr>
          <w:rFonts w:eastAsia="Arial"/>
          <w:b/>
          <w:sz w:val="22"/>
          <w:szCs w:val="22"/>
        </w:rPr>
      </w:pPr>
      <w:r w:rsidRPr="00954343">
        <w:rPr>
          <w:rFonts w:eastAsia="Arial"/>
          <w:b/>
          <w:sz w:val="22"/>
          <w:szCs w:val="22"/>
        </w:rPr>
        <w:t xml:space="preserve">Do Objeto e sua Necessidade  </w:t>
      </w:r>
    </w:p>
    <w:p w14:paraId="5AD2B134" w14:textId="09004475" w:rsidR="00A05915" w:rsidRPr="00954343" w:rsidRDefault="000532CC" w:rsidP="00954343">
      <w:pPr>
        <w:widowControl/>
        <w:pBdr>
          <w:top w:val="nil"/>
          <w:left w:val="nil"/>
          <w:bottom w:val="nil"/>
          <w:right w:val="nil"/>
          <w:between w:val="nil"/>
        </w:pBdr>
        <w:spacing w:line="276" w:lineRule="auto"/>
        <w:contextualSpacing/>
        <w:jc w:val="both"/>
        <w:rPr>
          <w:rFonts w:eastAsia="Arial"/>
          <w:color w:val="000000"/>
          <w:sz w:val="22"/>
          <w:szCs w:val="22"/>
        </w:rPr>
      </w:pPr>
      <w:r w:rsidRPr="00954343">
        <w:rPr>
          <w:rFonts w:eastAsia="Arial"/>
          <w:b/>
          <w:color w:val="000000"/>
          <w:sz w:val="22"/>
          <w:szCs w:val="22"/>
        </w:rPr>
        <w:t xml:space="preserve">1.1 A </w:t>
      </w:r>
      <w:r w:rsidR="00954343" w:rsidRPr="00954343">
        <w:rPr>
          <w:b/>
          <w:bCs/>
        </w:rPr>
        <w:t>Aquisição de MEIO DE CULTURA para atender as demandas da Coordenação de Tecnologia em Alimentos no LEA - Laboratório de Experimental de Alimentos do Campus Petrolina para o exercício 2022 conforme PGC 2022</w:t>
      </w:r>
      <w:r w:rsidR="00954343" w:rsidRPr="00F2689A">
        <w:t>. Embora tal aquisição esteja prevista na lista prioritárias de licitações 2022 ela figura como a 10ª prioridade na ordem geral dos Campi (nível 3) e a previsão para abrir licitar (junho/2022) demonstra claramente que será inviável ante o ritmo apresentado das licitações com volumes expressivos de itens (ao contrário de água mineral - item único). Considerando que as aulas práticas do curso de tecnologia de Alimentos têm dinâmica que não encaixa no ritmo das licitações, a necessidade dessa aquisição se mostra com maior celeridade possível. Pretende-se adquirir os materiais selecionando a proposta mais vantajosa para a administração, observando-se o princípio da isonomia e a promoção da sustentabilidade</w:t>
      </w:r>
      <w:r w:rsidR="00954343">
        <w:t>.</w:t>
      </w:r>
    </w:p>
    <w:p w14:paraId="5FE50788" w14:textId="77777777" w:rsidR="00A05915" w:rsidRPr="00954343" w:rsidRDefault="00A05915" w:rsidP="00954343">
      <w:pPr>
        <w:pBdr>
          <w:top w:val="nil"/>
          <w:left w:val="nil"/>
          <w:bottom w:val="nil"/>
          <w:right w:val="nil"/>
          <w:between w:val="nil"/>
        </w:pBdr>
        <w:spacing w:line="276" w:lineRule="auto"/>
        <w:ind w:left="720"/>
        <w:contextualSpacing/>
        <w:jc w:val="both"/>
        <w:rPr>
          <w:rFonts w:eastAsia="Arial"/>
          <w:sz w:val="22"/>
          <w:szCs w:val="22"/>
        </w:rPr>
      </w:pPr>
    </w:p>
    <w:p w14:paraId="705EDEF8" w14:textId="77777777" w:rsidR="00A05915" w:rsidRPr="00954343" w:rsidRDefault="000532CC" w:rsidP="00954343">
      <w:pPr>
        <w:numPr>
          <w:ilvl w:val="0"/>
          <w:numId w:val="2"/>
        </w:numPr>
        <w:pBdr>
          <w:top w:val="nil"/>
          <w:left w:val="nil"/>
          <w:bottom w:val="nil"/>
          <w:right w:val="nil"/>
          <w:between w:val="nil"/>
        </w:pBdr>
        <w:spacing w:line="276" w:lineRule="auto"/>
        <w:contextualSpacing/>
        <w:jc w:val="both"/>
        <w:rPr>
          <w:rFonts w:eastAsia="Arial"/>
          <w:b/>
          <w:sz w:val="22"/>
          <w:szCs w:val="22"/>
        </w:rPr>
      </w:pPr>
      <w:r w:rsidRPr="00954343">
        <w:rPr>
          <w:rFonts w:eastAsia="Arial"/>
          <w:b/>
          <w:sz w:val="22"/>
          <w:szCs w:val="22"/>
        </w:rPr>
        <w:t>Dos bens Comuns</w:t>
      </w:r>
      <w:r w:rsidRPr="00954343">
        <w:rPr>
          <w:rFonts w:eastAsia="Arial"/>
          <w:b/>
          <w:sz w:val="22"/>
          <w:szCs w:val="22"/>
        </w:rPr>
        <w:tab/>
      </w:r>
    </w:p>
    <w:p w14:paraId="029CC5E3" w14:textId="77777777" w:rsidR="00A05915" w:rsidRPr="00954343" w:rsidRDefault="00A05915" w:rsidP="00954343">
      <w:pPr>
        <w:spacing w:line="276" w:lineRule="auto"/>
        <w:contextualSpacing/>
        <w:jc w:val="both"/>
        <w:rPr>
          <w:rFonts w:eastAsia="Arial"/>
          <w:sz w:val="22"/>
          <w:szCs w:val="22"/>
        </w:rPr>
      </w:pPr>
    </w:p>
    <w:p w14:paraId="53603742" w14:textId="77777777"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 xml:space="preserve">2.1 Analisando a solicitação do bem descrito no </w:t>
      </w:r>
      <w:r w:rsidRPr="00954343">
        <w:rPr>
          <w:rFonts w:eastAsia="Arial"/>
          <w:b/>
          <w:sz w:val="22"/>
          <w:szCs w:val="22"/>
          <w:u w:val="single"/>
        </w:rPr>
        <w:t>Termo de Referência</w:t>
      </w:r>
      <w:r w:rsidRPr="00954343">
        <w:rPr>
          <w:rFonts w:eastAsia="Arial"/>
          <w:sz w:val="22"/>
          <w:szCs w:val="22"/>
        </w:rPr>
        <w:t xml:space="preserve">, constatamos que eles têm padrões de desempenho e qualidade que podem ser objetivamente definidos, por meio de especificações usuais no mercado. Por isso mesmo, em face dessas características substanciais, </w:t>
      </w:r>
      <w:r w:rsidRPr="00954343">
        <w:rPr>
          <w:rFonts w:eastAsia="Arial"/>
          <w:b/>
          <w:sz w:val="22"/>
          <w:szCs w:val="22"/>
        </w:rPr>
        <w:t>DECLARO</w:t>
      </w:r>
      <w:r w:rsidRPr="00954343">
        <w:rPr>
          <w:rFonts w:eastAsia="Arial"/>
          <w:sz w:val="22"/>
          <w:szCs w:val="22"/>
        </w:rPr>
        <w:t xml:space="preserve"> que os produtos/serviços especificados são </w:t>
      </w:r>
      <w:r w:rsidRPr="00954343">
        <w:rPr>
          <w:rFonts w:eastAsia="Arial"/>
          <w:b/>
          <w:sz w:val="22"/>
          <w:szCs w:val="22"/>
        </w:rPr>
        <w:t>COMUNS</w:t>
      </w:r>
      <w:r w:rsidRPr="00954343">
        <w:rPr>
          <w:rFonts w:eastAsia="Arial"/>
          <w:sz w:val="22"/>
          <w:szCs w:val="22"/>
        </w:rPr>
        <w:t>, na finalidade do art. 1º, Parágrafo Único da Lei Federal Nº 10.520/2002 c/c o inciso II e § 1º do art. 3º do Decreto nº 10.024/2019.</w:t>
      </w:r>
    </w:p>
    <w:p w14:paraId="2D34B5BF" w14:textId="77777777" w:rsidR="00A05915" w:rsidRPr="00954343" w:rsidRDefault="00A05915" w:rsidP="00954343">
      <w:pPr>
        <w:spacing w:line="276" w:lineRule="auto"/>
        <w:contextualSpacing/>
        <w:jc w:val="both"/>
        <w:rPr>
          <w:rFonts w:eastAsia="Arial"/>
          <w:sz w:val="22"/>
          <w:szCs w:val="22"/>
        </w:rPr>
      </w:pPr>
    </w:p>
    <w:p w14:paraId="5A2D37E7" w14:textId="77777777" w:rsidR="00A05915" w:rsidRPr="00954343" w:rsidRDefault="000532CC" w:rsidP="00954343">
      <w:pPr>
        <w:numPr>
          <w:ilvl w:val="0"/>
          <w:numId w:val="2"/>
        </w:numPr>
        <w:pBdr>
          <w:top w:val="nil"/>
          <w:left w:val="nil"/>
          <w:bottom w:val="nil"/>
          <w:right w:val="nil"/>
          <w:between w:val="nil"/>
        </w:pBdr>
        <w:spacing w:line="276" w:lineRule="auto"/>
        <w:contextualSpacing/>
        <w:jc w:val="both"/>
        <w:rPr>
          <w:rFonts w:eastAsia="Arial"/>
          <w:b/>
          <w:sz w:val="22"/>
          <w:szCs w:val="22"/>
        </w:rPr>
      </w:pPr>
      <w:r w:rsidRPr="00954343">
        <w:rPr>
          <w:rFonts w:eastAsia="Arial"/>
          <w:b/>
          <w:sz w:val="22"/>
          <w:szCs w:val="22"/>
        </w:rPr>
        <w:t>Da Vantajosidade para a Administração</w:t>
      </w:r>
    </w:p>
    <w:p w14:paraId="13C678C1" w14:textId="77777777" w:rsidR="00A05915" w:rsidRPr="00954343" w:rsidRDefault="00A05915" w:rsidP="00954343">
      <w:pPr>
        <w:spacing w:line="276" w:lineRule="auto"/>
        <w:contextualSpacing/>
        <w:jc w:val="both"/>
        <w:rPr>
          <w:rFonts w:eastAsia="Arial"/>
          <w:sz w:val="22"/>
          <w:szCs w:val="22"/>
        </w:rPr>
      </w:pPr>
    </w:p>
    <w:p w14:paraId="401343CD" w14:textId="2D44104A"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 xml:space="preserve">3.1 Em decorrência do levantamento efetuado através das </w:t>
      </w:r>
      <w:r w:rsidRPr="00954343">
        <w:rPr>
          <w:rFonts w:eastAsia="Arial"/>
          <w:b/>
          <w:sz w:val="22"/>
          <w:szCs w:val="22"/>
        </w:rPr>
        <w:t>cotações</w:t>
      </w:r>
      <w:r w:rsidRPr="00954343">
        <w:rPr>
          <w:rFonts w:eastAsia="Arial"/>
          <w:sz w:val="22"/>
          <w:szCs w:val="22"/>
        </w:rPr>
        <w:t xml:space="preserve"> conforme </w:t>
      </w:r>
      <w:r w:rsidRPr="00954343">
        <w:rPr>
          <w:rFonts w:eastAsia="Arial"/>
          <w:b/>
          <w:sz w:val="22"/>
          <w:szCs w:val="22"/>
          <w:u w:val="single"/>
        </w:rPr>
        <w:t xml:space="preserve">relatório </w:t>
      </w:r>
      <w:r w:rsidRPr="00954343">
        <w:rPr>
          <w:rFonts w:eastAsia="Arial"/>
          <w:sz w:val="22"/>
          <w:szCs w:val="22"/>
        </w:rPr>
        <w:t>presente no processo</w:t>
      </w:r>
      <w:r w:rsidRPr="00954343">
        <w:rPr>
          <w:rFonts w:eastAsia="Arial"/>
          <w:b/>
          <w:sz w:val="22"/>
          <w:szCs w:val="22"/>
        </w:rPr>
        <w:t>,</w:t>
      </w:r>
      <w:r w:rsidRPr="00954343">
        <w:rPr>
          <w:rFonts w:eastAsia="Arial"/>
          <w:sz w:val="22"/>
          <w:szCs w:val="22"/>
        </w:rPr>
        <w:t xml:space="preserve"> a modalidade licitatória indicada </w:t>
      </w:r>
      <w:r w:rsidRPr="00954343">
        <w:rPr>
          <w:rFonts w:eastAsia="Arial"/>
          <w:b/>
          <w:sz w:val="22"/>
          <w:szCs w:val="22"/>
          <w:u w:val="single"/>
        </w:rPr>
        <w:t>seria</w:t>
      </w:r>
      <w:r w:rsidRPr="00954343">
        <w:rPr>
          <w:rFonts w:eastAsia="Arial"/>
          <w:sz w:val="22"/>
          <w:szCs w:val="22"/>
        </w:rPr>
        <w:t xml:space="preserve"> o Pregão Eletrônico, com fulcro no inciso II</w:t>
      </w:r>
      <w:r w:rsidR="00954343">
        <w:rPr>
          <w:rFonts w:eastAsia="Arial"/>
          <w:sz w:val="22"/>
          <w:szCs w:val="22"/>
        </w:rPr>
        <w:t xml:space="preserve">, </w:t>
      </w:r>
      <w:r w:rsidRPr="00954343">
        <w:rPr>
          <w:rFonts w:eastAsia="Arial"/>
          <w:sz w:val="22"/>
          <w:szCs w:val="22"/>
        </w:rPr>
        <w:t>art. 3º do Decreto nº 10.024/2019. Mas a Administração tem que zelar pelos gastos e utilizar as prerrogativas legais, assim sendo, deve sempre buscar mecanismos que possam contribuir para evitar fracionamento de despesas e a luz dos princípios basilares do processo licitatório adquirir materiais e/ou serviços de maneira econômica e vantajosa.</w:t>
      </w:r>
    </w:p>
    <w:p w14:paraId="3E1CF873" w14:textId="77777777" w:rsidR="00A05915" w:rsidRPr="00954343" w:rsidRDefault="00A05915" w:rsidP="00954343">
      <w:pPr>
        <w:spacing w:line="276" w:lineRule="auto"/>
        <w:contextualSpacing/>
        <w:jc w:val="both"/>
        <w:rPr>
          <w:rFonts w:eastAsia="Arial"/>
          <w:sz w:val="22"/>
          <w:szCs w:val="22"/>
        </w:rPr>
      </w:pPr>
    </w:p>
    <w:p w14:paraId="7874199B" w14:textId="1E081CD5" w:rsidR="00A05915" w:rsidRPr="00954343" w:rsidRDefault="000532CC" w:rsidP="00954343">
      <w:pPr>
        <w:spacing w:line="276" w:lineRule="auto"/>
        <w:contextualSpacing/>
        <w:jc w:val="both"/>
        <w:rPr>
          <w:rFonts w:eastAsia="Arial"/>
          <w:sz w:val="22"/>
          <w:szCs w:val="22"/>
        </w:rPr>
      </w:pPr>
      <w:r w:rsidRPr="00954343">
        <w:rPr>
          <w:rFonts w:eastAsia="Arial"/>
          <w:sz w:val="22"/>
          <w:szCs w:val="22"/>
        </w:rPr>
        <w:lastRenderedPageBreak/>
        <w:t>3.2 Desta forma, ao observarmos a</w:t>
      </w:r>
      <w:r w:rsidRPr="00954343">
        <w:rPr>
          <w:rFonts w:eastAsia="Arial"/>
          <w:b/>
          <w:sz w:val="22"/>
          <w:szCs w:val="22"/>
          <w:u w:val="single"/>
        </w:rPr>
        <w:t xml:space="preserve"> Planilha de Preço Médio</w:t>
      </w:r>
      <w:r w:rsidRPr="00954343">
        <w:rPr>
          <w:rFonts w:eastAsia="Arial"/>
          <w:b/>
          <w:sz w:val="22"/>
          <w:szCs w:val="22"/>
        </w:rPr>
        <w:t>,</w:t>
      </w:r>
      <w:r w:rsidRPr="00954343">
        <w:rPr>
          <w:rFonts w:eastAsia="Arial"/>
          <w:sz w:val="22"/>
          <w:szCs w:val="22"/>
        </w:rPr>
        <w:t xml:space="preserve"> compararmos com o preço total apresentado no </w:t>
      </w:r>
      <w:r w:rsidRPr="00954343">
        <w:rPr>
          <w:rFonts w:eastAsia="Arial"/>
          <w:b/>
          <w:sz w:val="22"/>
          <w:szCs w:val="22"/>
        </w:rPr>
        <w:t>Documento de Formalização da Demanda - DFD</w:t>
      </w:r>
      <w:r w:rsidRPr="00954343">
        <w:rPr>
          <w:rFonts w:eastAsia="Arial"/>
          <w:sz w:val="22"/>
          <w:szCs w:val="22"/>
        </w:rPr>
        <w:t xml:space="preserve"> com a </w:t>
      </w:r>
      <w:r w:rsidRPr="00954343">
        <w:rPr>
          <w:rFonts w:eastAsia="Arial"/>
          <w:b/>
          <w:sz w:val="22"/>
          <w:szCs w:val="22"/>
        </w:rPr>
        <w:t xml:space="preserve">solicitação dos bens, </w:t>
      </w:r>
      <w:r w:rsidRPr="00954343">
        <w:rPr>
          <w:rFonts w:eastAsia="Arial"/>
          <w:sz w:val="22"/>
          <w:szCs w:val="22"/>
        </w:rPr>
        <w:t xml:space="preserve">constatamos que é mais vantajoso e economicamente para a Administração Pública adquirir os </w:t>
      </w:r>
      <w:r w:rsidR="00954343">
        <w:rPr>
          <w:rFonts w:eastAsia="Arial"/>
          <w:sz w:val="22"/>
          <w:szCs w:val="22"/>
        </w:rPr>
        <w:t xml:space="preserve">BENS </w:t>
      </w:r>
      <w:r w:rsidRPr="00954343">
        <w:rPr>
          <w:rFonts w:eastAsia="Arial"/>
          <w:sz w:val="22"/>
          <w:szCs w:val="22"/>
        </w:rPr>
        <w:t xml:space="preserve">ofertados na ata, já que o valor pesquisado no mercado é superior ao das atas encontradas e autorizadas. O valor </w:t>
      </w:r>
      <w:r w:rsidRPr="00954343">
        <w:rPr>
          <w:rFonts w:eastAsia="Arial"/>
          <w:b/>
          <w:sz w:val="22"/>
          <w:szCs w:val="22"/>
        </w:rPr>
        <w:t>unitário</w:t>
      </w:r>
      <w:r w:rsidRPr="00954343">
        <w:rPr>
          <w:rFonts w:eastAsia="Arial"/>
          <w:sz w:val="22"/>
          <w:szCs w:val="22"/>
        </w:rPr>
        <w:t xml:space="preserve"> pesquisado no mercado, conforme Planilha de Preço Médio, foi de </w:t>
      </w:r>
      <w:r w:rsidRPr="00954343">
        <w:rPr>
          <w:rFonts w:eastAsia="Arial"/>
          <w:b/>
          <w:sz w:val="22"/>
          <w:szCs w:val="22"/>
          <w:u w:val="single"/>
        </w:rPr>
        <w:t xml:space="preserve">R$ </w:t>
      </w:r>
      <w:r w:rsidR="00954343">
        <w:rPr>
          <w:rFonts w:eastAsia="Arial"/>
          <w:b/>
          <w:sz w:val="22"/>
          <w:szCs w:val="22"/>
          <w:u w:val="single"/>
        </w:rPr>
        <w:t>4.702,83</w:t>
      </w:r>
      <w:r w:rsidRPr="00954343">
        <w:rPr>
          <w:rFonts w:eastAsia="Arial"/>
          <w:b/>
          <w:sz w:val="22"/>
          <w:szCs w:val="22"/>
          <w:u w:val="single"/>
        </w:rPr>
        <w:t xml:space="preserve"> (</w:t>
      </w:r>
      <w:r w:rsidR="00954343">
        <w:rPr>
          <w:rFonts w:eastAsia="Arial"/>
          <w:b/>
          <w:sz w:val="22"/>
          <w:szCs w:val="22"/>
          <w:u w:val="single"/>
        </w:rPr>
        <w:t>quatro mil setecentos e dois reais e oitenta e três centavos</w:t>
      </w:r>
      <w:r w:rsidRPr="00954343">
        <w:rPr>
          <w:rFonts w:eastAsia="Arial"/>
          <w:b/>
          <w:sz w:val="22"/>
          <w:szCs w:val="22"/>
          <w:u w:val="single"/>
        </w:rPr>
        <w:t>)</w:t>
      </w:r>
      <w:r w:rsidR="00954343">
        <w:rPr>
          <w:rFonts w:eastAsia="Arial"/>
          <w:b/>
          <w:sz w:val="22"/>
          <w:szCs w:val="22"/>
          <w:u w:val="single"/>
        </w:rPr>
        <w:t>,</w:t>
      </w:r>
      <w:r w:rsidRPr="00954343">
        <w:rPr>
          <w:rFonts w:eastAsia="Arial"/>
          <w:b/>
          <w:sz w:val="22"/>
          <w:szCs w:val="22"/>
        </w:rPr>
        <w:t xml:space="preserve"> enquanto o</w:t>
      </w:r>
      <w:r w:rsidR="00954343">
        <w:rPr>
          <w:rFonts w:eastAsia="Arial"/>
          <w:b/>
          <w:sz w:val="22"/>
          <w:szCs w:val="22"/>
        </w:rPr>
        <w:t>s</w:t>
      </w:r>
      <w:r w:rsidRPr="00954343">
        <w:rPr>
          <w:rFonts w:eastAsia="Arial"/>
          <w:b/>
          <w:sz w:val="22"/>
          <w:szCs w:val="22"/>
        </w:rPr>
        <w:t xml:space="preserve"> valor</w:t>
      </w:r>
      <w:r w:rsidR="00954343">
        <w:rPr>
          <w:rFonts w:eastAsia="Arial"/>
          <w:b/>
          <w:sz w:val="22"/>
          <w:szCs w:val="22"/>
        </w:rPr>
        <w:t>es</w:t>
      </w:r>
      <w:r w:rsidRPr="00954343">
        <w:rPr>
          <w:rFonts w:eastAsia="Arial"/>
          <w:b/>
          <w:sz w:val="22"/>
          <w:szCs w:val="22"/>
        </w:rPr>
        <w:t xml:space="preserve"> unitário</w:t>
      </w:r>
      <w:r w:rsidR="00954343">
        <w:rPr>
          <w:rFonts w:eastAsia="Arial"/>
          <w:b/>
          <w:sz w:val="22"/>
          <w:szCs w:val="22"/>
        </w:rPr>
        <w:t>s</w:t>
      </w:r>
      <w:r w:rsidRPr="00954343">
        <w:rPr>
          <w:rFonts w:eastAsia="Arial"/>
          <w:b/>
          <w:sz w:val="22"/>
          <w:szCs w:val="22"/>
        </w:rPr>
        <w:t xml:space="preserve"> do</w:t>
      </w:r>
      <w:r w:rsidR="00954343">
        <w:rPr>
          <w:rFonts w:eastAsia="Arial"/>
          <w:b/>
          <w:sz w:val="22"/>
          <w:szCs w:val="22"/>
        </w:rPr>
        <w:t>s</w:t>
      </w:r>
      <w:r w:rsidRPr="00954343">
        <w:rPr>
          <w:rFonts w:eastAsia="Arial"/>
          <w:b/>
          <w:sz w:val="22"/>
          <w:szCs w:val="22"/>
        </w:rPr>
        <w:t xml:space="preserve"> ite</w:t>
      </w:r>
      <w:r w:rsidR="00954343">
        <w:rPr>
          <w:rFonts w:eastAsia="Arial"/>
          <w:b/>
          <w:sz w:val="22"/>
          <w:szCs w:val="22"/>
        </w:rPr>
        <w:t>ns</w:t>
      </w:r>
      <w:r w:rsidRPr="00954343">
        <w:rPr>
          <w:rFonts w:eastAsia="Arial"/>
          <w:b/>
          <w:sz w:val="22"/>
          <w:szCs w:val="22"/>
        </w:rPr>
        <w:t xml:space="preserve"> solicitado</w:t>
      </w:r>
      <w:r w:rsidR="00954343">
        <w:rPr>
          <w:rFonts w:eastAsia="Arial"/>
          <w:b/>
          <w:sz w:val="22"/>
          <w:szCs w:val="22"/>
        </w:rPr>
        <w:t>s</w:t>
      </w:r>
      <w:r w:rsidRPr="00954343">
        <w:rPr>
          <w:rFonts w:eastAsia="Arial"/>
          <w:b/>
          <w:sz w:val="22"/>
          <w:szCs w:val="22"/>
        </w:rPr>
        <w:t xml:space="preserve"> na Ata de Registro de Preços </w:t>
      </w:r>
      <w:r w:rsidR="00954343">
        <w:rPr>
          <w:rFonts w:eastAsia="Arial"/>
          <w:b/>
          <w:sz w:val="22"/>
          <w:szCs w:val="22"/>
        </w:rPr>
        <w:t xml:space="preserve">foram todos menores que essa média, num total </w:t>
      </w:r>
      <w:r w:rsidR="00954343" w:rsidRPr="00954343">
        <w:rPr>
          <w:rFonts w:eastAsia="Arial"/>
          <w:b/>
          <w:sz w:val="22"/>
          <w:szCs w:val="22"/>
        </w:rPr>
        <w:t>de R$ 4.069,63 (quatro mil e sessenta e nove reais e sessenta e três centavos).</w:t>
      </w:r>
    </w:p>
    <w:p w14:paraId="19075A9A" w14:textId="77777777" w:rsidR="00A05915" w:rsidRPr="00954343" w:rsidRDefault="00A05915" w:rsidP="00954343">
      <w:pPr>
        <w:spacing w:line="276" w:lineRule="auto"/>
        <w:ind w:firstLine="709"/>
        <w:contextualSpacing/>
        <w:jc w:val="both"/>
        <w:rPr>
          <w:rFonts w:eastAsia="Arial"/>
          <w:sz w:val="22"/>
          <w:szCs w:val="22"/>
        </w:rPr>
      </w:pPr>
    </w:p>
    <w:p w14:paraId="4A2B9332" w14:textId="77777777"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3.3 O Sistema de Registro de Preços apresenta uma série de vantagens, como diminuição do número de licitações, já que elas têm um custo para realização (principalmente de publicação de avisos), melhor organização, otimização das estratégias de suprimento, facilitação na execução e celeridade na contratação, encontrando respaldo em jurisprudências do Tribunal de Contas da União – TCU:</w:t>
      </w:r>
    </w:p>
    <w:p w14:paraId="04BAC96C" w14:textId="77777777" w:rsidR="00A05915" w:rsidRPr="00954343" w:rsidRDefault="00A05915" w:rsidP="00954343">
      <w:pPr>
        <w:spacing w:line="276" w:lineRule="auto"/>
        <w:contextualSpacing/>
        <w:jc w:val="both"/>
        <w:rPr>
          <w:rFonts w:eastAsia="Arial"/>
          <w:i/>
          <w:sz w:val="22"/>
          <w:szCs w:val="22"/>
        </w:rPr>
      </w:pPr>
    </w:p>
    <w:p w14:paraId="0CCDE910" w14:textId="77777777" w:rsidR="00A05915" w:rsidRPr="00954343" w:rsidRDefault="000532CC" w:rsidP="00A75B28">
      <w:pPr>
        <w:spacing w:line="276" w:lineRule="auto"/>
        <w:ind w:left="2268"/>
        <w:contextualSpacing/>
        <w:jc w:val="both"/>
        <w:rPr>
          <w:rFonts w:eastAsia="Arial"/>
          <w:sz w:val="22"/>
          <w:szCs w:val="22"/>
        </w:rPr>
      </w:pPr>
      <w:r w:rsidRPr="00954343">
        <w:rPr>
          <w:rFonts w:eastAsia="Arial"/>
          <w:i/>
          <w:sz w:val="22"/>
          <w:szCs w:val="22"/>
        </w:rPr>
        <w:t>“Acórdão TCU nº 653/2003 – Primeira Câmara</w:t>
      </w:r>
    </w:p>
    <w:p w14:paraId="5272C076" w14:textId="77777777" w:rsidR="00A05915" w:rsidRPr="00954343" w:rsidRDefault="000532CC" w:rsidP="00A75B28">
      <w:pPr>
        <w:spacing w:line="276" w:lineRule="auto"/>
        <w:ind w:left="2268"/>
        <w:contextualSpacing/>
        <w:jc w:val="both"/>
        <w:rPr>
          <w:rFonts w:eastAsia="Arial"/>
          <w:sz w:val="22"/>
          <w:szCs w:val="22"/>
        </w:rPr>
      </w:pPr>
      <w:r w:rsidRPr="00954343">
        <w:rPr>
          <w:rFonts w:eastAsia="Arial"/>
          <w:i/>
          <w:sz w:val="22"/>
          <w:szCs w:val="22"/>
        </w:rPr>
        <w:t>Com intuito de evitar o fracionamento de despesas, deve ser utilizado, na aquisição de bens, o sistema de registro de preços.”</w:t>
      </w:r>
    </w:p>
    <w:p w14:paraId="174E4ACF" w14:textId="77777777" w:rsidR="00A05915" w:rsidRPr="00954343" w:rsidRDefault="00A05915" w:rsidP="00954343">
      <w:pPr>
        <w:spacing w:line="276" w:lineRule="auto"/>
        <w:contextualSpacing/>
        <w:jc w:val="both"/>
        <w:rPr>
          <w:rFonts w:eastAsia="Arial"/>
          <w:i/>
          <w:sz w:val="22"/>
          <w:szCs w:val="22"/>
        </w:rPr>
      </w:pPr>
    </w:p>
    <w:p w14:paraId="319895CE" w14:textId="77777777" w:rsidR="00A05915" w:rsidRPr="00954343" w:rsidRDefault="000532CC" w:rsidP="00954343">
      <w:pPr>
        <w:numPr>
          <w:ilvl w:val="0"/>
          <w:numId w:val="2"/>
        </w:numPr>
        <w:pBdr>
          <w:top w:val="nil"/>
          <w:left w:val="nil"/>
          <w:bottom w:val="nil"/>
          <w:right w:val="nil"/>
          <w:between w:val="nil"/>
        </w:pBdr>
        <w:spacing w:line="276" w:lineRule="auto"/>
        <w:contextualSpacing/>
        <w:jc w:val="both"/>
        <w:rPr>
          <w:rFonts w:eastAsia="Arial"/>
          <w:color w:val="FF0000"/>
          <w:sz w:val="22"/>
          <w:szCs w:val="22"/>
          <w:highlight w:val="yellow"/>
        </w:rPr>
      </w:pPr>
      <w:r w:rsidRPr="00954343">
        <w:rPr>
          <w:rFonts w:eastAsia="Arial"/>
          <w:b/>
          <w:color w:val="FF0000"/>
          <w:sz w:val="22"/>
          <w:szCs w:val="22"/>
          <w:highlight w:val="yellow"/>
        </w:rPr>
        <w:t>Da autorização de Adesão a Ata</w:t>
      </w:r>
    </w:p>
    <w:p w14:paraId="45B7D8ED" w14:textId="77777777"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ab/>
      </w:r>
    </w:p>
    <w:p w14:paraId="3909D4D0" w14:textId="46A8C695" w:rsidR="00A05915" w:rsidRPr="00954343" w:rsidRDefault="000532CC" w:rsidP="00954343">
      <w:pPr>
        <w:widowControl/>
        <w:pBdr>
          <w:top w:val="nil"/>
          <w:left w:val="nil"/>
          <w:bottom w:val="nil"/>
          <w:right w:val="nil"/>
          <w:between w:val="nil"/>
        </w:pBdr>
        <w:spacing w:line="276" w:lineRule="auto"/>
        <w:contextualSpacing/>
        <w:jc w:val="both"/>
        <w:rPr>
          <w:rFonts w:eastAsia="Arial"/>
          <w:color w:val="000000"/>
          <w:sz w:val="22"/>
          <w:szCs w:val="22"/>
        </w:rPr>
      </w:pPr>
      <w:r w:rsidRPr="00954343">
        <w:rPr>
          <w:rFonts w:eastAsia="Arial"/>
          <w:color w:val="000000"/>
          <w:sz w:val="22"/>
          <w:szCs w:val="22"/>
        </w:rPr>
        <w:t xml:space="preserve">4.1 Em atendimento ao art. 22º do Decreto 7.892/2013, solicitamos </w:t>
      </w:r>
      <w:r w:rsidRPr="00954343">
        <w:rPr>
          <w:rFonts w:eastAsia="Arial"/>
          <w:b/>
          <w:color w:val="000000"/>
          <w:sz w:val="22"/>
          <w:szCs w:val="22"/>
        </w:rPr>
        <w:t>autorização ao órgão gerenciador da ARP</w:t>
      </w:r>
      <w:r w:rsidRPr="00954343">
        <w:rPr>
          <w:rFonts w:eastAsia="Arial"/>
          <w:color w:val="000000"/>
          <w:sz w:val="22"/>
          <w:szCs w:val="22"/>
        </w:rPr>
        <w:t xml:space="preserve"> para adesão ao certame na qualidade de </w:t>
      </w:r>
      <w:r w:rsidRPr="00954343">
        <w:rPr>
          <w:rFonts w:eastAsia="Arial"/>
          <w:i/>
          <w:color w:val="000000"/>
          <w:sz w:val="22"/>
          <w:szCs w:val="22"/>
        </w:rPr>
        <w:t>carona</w:t>
      </w:r>
      <w:r w:rsidRPr="00954343">
        <w:rPr>
          <w:rFonts w:eastAsia="Arial"/>
          <w:color w:val="000000"/>
          <w:sz w:val="22"/>
          <w:szCs w:val="22"/>
        </w:rPr>
        <w:t xml:space="preserve">, o qual foi aceito como consta nos autos </w:t>
      </w:r>
      <w:r w:rsidRPr="00954343">
        <w:rPr>
          <w:rFonts w:eastAsia="Arial"/>
          <w:b/>
          <w:color w:val="000000"/>
          <w:sz w:val="22"/>
          <w:szCs w:val="22"/>
        </w:rPr>
        <w:t xml:space="preserve">o Relatório do Sistema de Gestão de Atas. </w:t>
      </w:r>
      <w:r w:rsidRPr="00954343">
        <w:rPr>
          <w:rFonts w:eastAsia="Arial"/>
          <w:color w:val="000000"/>
          <w:sz w:val="22"/>
          <w:szCs w:val="22"/>
        </w:rPr>
        <w:t xml:space="preserve">Também foi encaminhado à(s) empresa(s) vencedora(s) do certame solicitações para que ela se manifestasse em relação a anuência da ata e nos enviasse caso a mesma tivesse interesse em fornecer o produto nas mesmas condições apresentadas na licitação </w:t>
      </w:r>
      <w:r w:rsidRPr="00954343">
        <w:rPr>
          <w:rFonts w:eastAsia="Arial"/>
          <w:b/>
          <w:color w:val="000000"/>
          <w:sz w:val="22"/>
          <w:szCs w:val="22"/>
        </w:rPr>
        <w:t xml:space="preserve">Pregão Eletrônico - </w:t>
      </w:r>
      <w:r w:rsidRPr="00954343">
        <w:rPr>
          <w:rFonts w:eastAsia="Arial"/>
          <w:b/>
          <w:sz w:val="22"/>
          <w:szCs w:val="22"/>
        </w:rPr>
        <w:t xml:space="preserve">SRP nº </w:t>
      </w:r>
      <w:r w:rsidR="00F203E7">
        <w:rPr>
          <w:rFonts w:eastAsia="Arial"/>
          <w:b/>
          <w:sz w:val="22"/>
          <w:szCs w:val="22"/>
        </w:rPr>
        <w:t>10</w:t>
      </w:r>
      <w:r w:rsidRPr="00954343">
        <w:rPr>
          <w:rFonts w:eastAsia="Arial"/>
          <w:b/>
          <w:sz w:val="22"/>
          <w:szCs w:val="22"/>
        </w:rPr>
        <w:t>/20</w:t>
      </w:r>
      <w:r w:rsidR="00F203E7">
        <w:rPr>
          <w:rFonts w:eastAsia="Arial"/>
          <w:b/>
          <w:sz w:val="22"/>
          <w:szCs w:val="22"/>
        </w:rPr>
        <w:t xml:space="preserve">21 </w:t>
      </w:r>
      <w:r w:rsidR="00F203E7" w:rsidRPr="00F203E7">
        <w:rPr>
          <w:rFonts w:eastAsia="Arial"/>
          <w:b/>
          <w:bCs/>
          <w:sz w:val="22"/>
          <w:szCs w:val="22"/>
        </w:rPr>
        <w:t>(UASG: 153038)</w:t>
      </w:r>
      <w:r w:rsidRPr="00954343">
        <w:rPr>
          <w:rFonts w:eastAsia="Arial"/>
          <w:b/>
          <w:color w:val="000000"/>
          <w:sz w:val="22"/>
          <w:szCs w:val="22"/>
        </w:rPr>
        <w:t>.</w:t>
      </w:r>
      <w:r w:rsidRPr="00954343">
        <w:rPr>
          <w:rFonts w:eastAsia="Arial"/>
          <w:color w:val="000000"/>
          <w:sz w:val="22"/>
          <w:szCs w:val="22"/>
        </w:rPr>
        <w:t xml:space="preserve"> Em resposta a solicitação do IF Sertão PE Reitoria acostou-se o ACEITE aos autos da Empresa _______________, CNPJ: </w:t>
      </w:r>
      <w:r w:rsidRPr="00954343">
        <w:rPr>
          <w:rFonts w:eastAsia="Arial"/>
          <w:b/>
          <w:color w:val="000000"/>
          <w:sz w:val="22"/>
          <w:szCs w:val="22"/>
        </w:rPr>
        <w:t xml:space="preserve">00.000.000/0000-00 </w:t>
      </w:r>
      <w:r w:rsidRPr="00954343">
        <w:rPr>
          <w:rFonts w:eastAsia="Arial"/>
          <w:color w:val="000000"/>
          <w:sz w:val="22"/>
          <w:szCs w:val="22"/>
        </w:rPr>
        <w:t xml:space="preserve">com a entrega do produto/serviço no local indicado na nota de empenho e o compromisso de que serão entregues nas mesmas condições previstas no Edital. </w:t>
      </w:r>
    </w:p>
    <w:p w14:paraId="49360BCD" w14:textId="77777777" w:rsidR="00A05915" w:rsidRPr="00954343" w:rsidRDefault="00A05915" w:rsidP="00954343">
      <w:pPr>
        <w:spacing w:line="276" w:lineRule="auto"/>
        <w:contextualSpacing/>
        <w:jc w:val="both"/>
        <w:rPr>
          <w:rFonts w:eastAsia="Arial"/>
          <w:sz w:val="22"/>
          <w:szCs w:val="22"/>
        </w:rPr>
      </w:pPr>
    </w:p>
    <w:p w14:paraId="396F81F4" w14:textId="77777777" w:rsidR="00A05915" w:rsidRPr="00954343" w:rsidRDefault="000532CC" w:rsidP="00954343">
      <w:pPr>
        <w:numPr>
          <w:ilvl w:val="0"/>
          <w:numId w:val="2"/>
        </w:numPr>
        <w:pBdr>
          <w:top w:val="nil"/>
          <w:left w:val="nil"/>
          <w:bottom w:val="nil"/>
          <w:right w:val="nil"/>
          <w:between w:val="nil"/>
        </w:pBdr>
        <w:spacing w:line="276" w:lineRule="auto"/>
        <w:contextualSpacing/>
        <w:jc w:val="both"/>
        <w:rPr>
          <w:rFonts w:eastAsia="Arial"/>
          <w:sz w:val="22"/>
          <w:szCs w:val="22"/>
        </w:rPr>
      </w:pPr>
      <w:r w:rsidRPr="00954343">
        <w:rPr>
          <w:rFonts w:eastAsia="Arial"/>
          <w:b/>
          <w:sz w:val="22"/>
          <w:szCs w:val="22"/>
        </w:rPr>
        <w:t>Da Fundamentação</w:t>
      </w:r>
    </w:p>
    <w:p w14:paraId="05D93640" w14:textId="77777777" w:rsidR="00A05915" w:rsidRPr="00954343" w:rsidRDefault="000532CC" w:rsidP="00954343">
      <w:pPr>
        <w:pBdr>
          <w:top w:val="nil"/>
          <w:left w:val="nil"/>
          <w:bottom w:val="nil"/>
          <w:right w:val="nil"/>
          <w:between w:val="nil"/>
        </w:pBdr>
        <w:spacing w:line="276" w:lineRule="auto"/>
        <w:ind w:left="720"/>
        <w:contextualSpacing/>
        <w:jc w:val="both"/>
        <w:rPr>
          <w:rFonts w:eastAsia="Arial"/>
          <w:sz w:val="22"/>
          <w:szCs w:val="22"/>
        </w:rPr>
      </w:pPr>
      <w:r w:rsidRPr="00954343">
        <w:rPr>
          <w:rFonts w:eastAsia="Arial"/>
          <w:sz w:val="22"/>
          <w:szCs w:val="22"/>
        </w:rPr>
        <w:tab/>
      </w:r>
    </w:p>
    <w:p w14:paraId="7902E919" w14:textId="77777777"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5.1 Com o advento do já revogado Decreto Federal nº 3.931, de 19 de setembro de 2001, criou-se a possibilidade de aproveitamento de Atas constantes do SRP – Sistema de Registro de Preços – por outros órgãos e entidades da Administração Pública Federal, não participantes do processo licitatório, desde que a com anuência da entidade que elaborou a licitação (gerenciador). No entanto, não ficou diferente com a chegada do Decreto Federal nº 7.892/2013 que também possibilita que a ata de registro de preços poderá ser utilizada por qualquer órgão ou entidade da administração pública federal nas mesmas condições antes previstas no Decreto revogado nº 3.931/2001</w:t>
      </w:r>
      <w:r w:rsidRPr="00954343">
        <w:rPr>
          <w:rFonts w:eastAsia="Arial"/>
          <w:color w:val="000000"/>
          <w:sz w:val="22"/>
          <w:szCs w:val="22"/>
        </w:rPr>
        <w:t>.</w:t>
      </w:r>
    </w:p>
    <w:p w14:paraId="7FB55898" w14:textId="77777777" w:rsidR="00A05915" w:rsidRPr="00954343" w:rsidRDefault="00A05915" w:rsidP="00954343">
      <w:pPr>
        <w:spacing w:line="276" w:lineRule="auto"/>
        <w:contextualSpacing/>
        <w:jc w:val="both"/>
        <w:rPr>
          <w:rFonts w:eastAsia="Arial"/>
          <w:sz w:val="22"/>
          <w:szCs w:val="22"/>
        </w:rPr>
      </w:pPr>
    </w:p>
    <w:p w14:paraId="6B14AA70" w14:textId="77777777"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5.2 Para convalidação dos atos de utilização de Atas de Registro por outro órgão ou unidade da Administração Pública, faz-se necessária a observância às seguintes restrições:</w:t>
      </w:r>
    </w:p>
    <w:p w14:paraId="12DB8832" w14:textId="77777777" w:rsidR="00A05915" w:rsidRPr="00954343" w:rsidRDefault="00A05915" w:rsidP="00954343">
      <w:pPr>
        <w:spacing w:line="276" w:lineRule="auto"/>
        <w:contextualSpacing/>
        <w:jc w:val="both"/>
        <w:rPr>
          <w:rFonts w:eastAsia="Arial"/>
          <w:sz w:val="22"/>
          <w:szCs w:val="22"/>
        </w:rPr>
      </w:pPr>
    </w:p>
    <w:p w14:paraId="0B04A33C"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Da comprovação da vantagem:</w:t>
      </w:r>
    </w:p>
    <w:p w14:paraId="4BF6E9B2" w14:textId="77777777" w:rsidR="00A05915" w:rsidRPr="00954343" w:rsidRDefault="000532CC" w:rsidP="00954343">
      <w:pPr>
        <w:spacing w:line="276" w:lineRule="auto"/>
        <w:ind w:left="720"/>
        <w:contextualSpacing/>
        <w:jc w:val="both"/>
        <w:rPr>
          <w:rFonts w:eastAsia="Arial"/>
          <w:sz w:val="22"/>
          <w:szCs w:val="22"/>
        </w:rPr>
      </w:pPr>
      <w:r w:rsidRPr="00954343">
        <w:rPr>
          <w:rFonts w:eastAsia="Arial"/>
          <w:sz w:val="22"/>
          <w:szCs w:val="22"/>
        </w:rPr>
        <w:t>O artigo 22º do Decreto Federal nº 7.892/2013:</w:t>
      </w:r>
    </w:p>
    <w:p w14:paraId="01190B16" w14:textId="77777777" w:rsidR="00F203E7" w:rsidRDefault="00F203E7" w:rsidP="00954343">
      <w:pPr>
        <w:spacing w:line="276" w:lineRule="auto"/>
        <w:ind w:left="720"/>
        <w:contextualSpacing/>
        <w:jc w:val="both"/>
        <w:rPr>
          <w:rFonts w:eastAsia="Arial"/>
          <w:i/>
          <w:sz w:val="22"/>
          <w:szCs w:val="22"/>
        </w:rPr>
      </w:pPr>
    </w:p>
    <w:p w14:paraId="5A7034A5" w14:textId="53D72E53" w:rsidR="00A05915" w:rsidRPr="00954343" w:rsidRDefault="000532CC" w:rsidP="00F203E7">
      <w:pPr>
        <w:spacing w:line="276" w:lineRule="auto"/>
        <w:ind w:left="2268"/>
        <w:contextualSpacing/>
        <w:jc w:val="both"/>
        <w:rPr>
          <w:rFonts w:eastAsia="Arial"/>
          <w:sz w:val="22"/>
          <w:szCs w:val="22"/>
        </w:rPr>
      </w:pPr>
      <w:r w:rsidRPr="00954343">
        <w:rPr>
          <w:rFonts w:eastAsia="Arial"/>
          <w:i/>
          <w:sz w:val="22"/>
          <w:szCs w:val="22"/>
        </w:rPr>
        <w:t>“Desde que devidamente justificada a vantagem, a ata de registro de preços, durante sua vigência, poderá ser utilizada por qualquer órgão ou entidade da administração pública federal que não tenha participado do certame licitatório, mediante anuência do órgão gerenciador”.</w:t>
      </w:r>
    </w:p>
    <w:p w14:paraId="1DA075C3" w14:textId="77777777" w:rsidR="00A05915" w:rsidRPr="00954343" w:rsidRDefault="00A05915" w:rsidP="00954343">
      <w:pPr>
        <w:spacing w:line="276" w:lineRule="auto"/>
        <w:ind w:left="720"/>
        <w:contextualSpacing/>
        <w:jc w:val="both"/>
        <w:rPr>
          <w:rFonts w:eastAsia="Arial"/>
          <w:sz w:val="22"/>
          <w:szCs w:val="22"/>
        </w:rPr>
      </w:pPr>
    </w:p>
    <w:p w14:paraId="2FD268D2" w14:textId="2C06320C" w:rsidR="00A05915" w:rsidRPr="00F203E7" w:rsidRDefault="000532CC" w:rsidP="00954343">
      <w:pPr>
        <w:numPr>
          <w:ilvl w:val="0"/>
          <w:numId w:val="4"/>
        </w:numPr>
        <w:spacing w:line="276" w:lineRule="auto"/>
        <w:contextualSpacing/>
        <w:jc w:val="both"/>
        <w:rPr>
          <w:rFonts w:eastAsia="Arial"/>
          <w:sz w:val="22"/>
          <w:szCs w:val="22"/>
        </w:rPr>
      </w:pPr>
      <w:r w:rsidRPr="00F203E7">
        <w:rPr>
          <w:rFonts w:eastAsia="Arial"/>
          <w:sz w:val="22"/>
          <w:szCs w:val="22"/>
        </w:rPr>
        <w:t>A forma adequada de comprovação da referida vantagem é atingida através de ampla pesquisa de mercado e comprovação dos preços serem compatíveis com o mercado conforme preceitua a Lei nº 8.666/93.</w:t>
      </w:r>
    </w:p>
    <w:p w14:paraId="360C15DC" w14:textId="77777777" w:rsidR="00A05915" w:rsidRPr="00954343" w:rsidRDefault="00A05915" w:rsidP="00954343">
      <w:pPr>
        <w:spacing w:line="276" w:lineRule="auto"/>
        <w:ind w:firstLine="709"/>
        <w:contextualSpacing/>
        <w:jc w:val="both"/>
        <w:rPr>
          <w:rFonts w:eastAsia="Arial"/>
          <w:sz w:val="22"/>
          <w:szCs w:val="22"/>
        </w:rPr>
      </w:pPr>
    </w:p>
    <w:p w14:paraId="08AF5D09" w14:textId="77777777" w:rsidR="00A05915" w:rsidRPr="00954343" w:rsidRDefault="000532CC" w:rsidP="00954343">
      <w:pPr>
        <w:numPr>
          <w:ilvl w:val="0"/>
          <w:numId w:val="5"/>
        </w:numPr>
        <w:spacing w:line="276" w:lineRule="auto"/>
        <w:contextualSpacing/>
        <w:jc w:val="both"/>
        <w:rPr>
          <w:rFonts w:eastAsia="Arial"/>
          <w:sz w:val="22"/>
          <w:szCs w:val="22"/>
        </w:rPr>
      </w:pPr>
      <w:r w:rsidRPr="00954343">
        <w:rPr>
          <w:rFonts w:eastAsia="Arial"/>
          <w:sz w:val="22"/>
          <w:szCs w:val="22"/>
        </w:rPr>
        <w:t>Citamos o Professor Hely Lopes Meirelles:</w:t>
      </w:r>
    </w:p>
    <w:p w14:paraId="1B832368" w14:textId="77777777" w:rsidR="00F203E7" w:rsidRDefault="00F203E7" w:rsidP="00954343">
      <w:pPr>
        <w:spacing w:line="276" w:lineRule="auto"/>
        <w:ind w:left="1429"/>
        <w:contextualSpacing/>
        <w:jc w:val="both"/>
        <w:rPr>
          <w:rFonts w:eastAsia="Arial"/>
          <w:i/>
          <w:sz w:val="22"/>
          <w:szCs w:val="22"/>
        </w:rPr>
      </w:pPr>
    </w:p>
    <w:p w14:paraId="4A90DA04" w14:textId="49CB68E0" w:rsidR="00A05915" w:rsidRPr="00954343" w:rsidRDefault="000532CC" w:rsidP="00F203E7">
      <w:pPr>
        <w:spacing w:line="276" w:lineRule="auto"/>
        <w:ind w:left="2268"/>
        <w:contextualSpacing/>
        <w:jc w:val="both"/>
        <w:rPr>
          <w:rFonts w:eastAsia="Arial"/>
          <w:sz w:val="22"/>
          <w:szCs w:val="22"/>
        </w:rPr>
      </w:pPr>
      <w:r w:rsidRPr="00954343">
        <w:rPr>
          <w:rFonts w:eastAsia="Arial"/>
          <w:i/>
          <w:sz w:val="22"/>
          <w:szCs w:val="22"/>
        </w:rPr>
        <w:t>“Licitação é o procedimento administrativo mediante o qual a Administração Pública seleciona a proposta mais vantajosa para o contrato de seu interesse. Como procedimento desenvolve-se através de uma sucessão ordenada de atos vinculantes para a Administração e para os licitantes, o que propicia igual oportunidade a todos os interessados e atua como fator de eficiência e moralidade nos negócios administrativos”.</w:t>
      </w:r>
    </w:p>
    <w:p w14:paraId="3208AAB0" w14:textId="77777777" w:rsidR="00A05915" w:rsidRPr="00954343" w:rsidRDefault="00A05915" w:rsidP="00954343">
      <w:pPr>
        <w:spacing w:line="276" w:lineRule="auto"/>
        <w:ind w:left="1429"/>
        <w:contextualSpacing/>
        <w:jc w:val="both"/>
        <w:rPr>
          <w:rFonts w:eastAsia="Arial"/>
          <w:sz w:val="22"/>
          <w:szCs w:val="22"/>
        </w:rPr>
      </w:pPr>
    </w:p>
    <w:p w14:paraId="1188F69C"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Da possibilidade de aproveitamento da Ata:</w:t>
      </w:r>
    </w:p>
    <w:p w14:paraId="4E697BE3" w14:textId="77777777" w:rsidR="00A05915" w:rsidRPr="00954343" w:rsidRDefault="00A05915" w:rsidP="00954343">
      <w:pPr>
        <w:spacing w:line="276" w:lineRule="auto"/>
        <w:contextualSpacing/>
        <w:jc w:val="both"/>
        <w:rPr>
          <w:rFonts w:eastAsia="Arial"/>
          <w:sz w:val="22"/>
          <w:szCs w:val="22"/>
        </w:rPr>
      </w:pPr>
    </w:p>
    <w:p w14:paraId="3FC29CAA"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sz w:val="22"/>
          <w:szCs w:val="22"/>
        </w:rPr>
        <w:t>A possibilidade de aproveitamento da Ata por outro órgão, entidade ou unidade da Administração Pública deverá estar prevista no ato convocatório elaborado pela unidade gerenciadora.</w:t>
      </w:r>
    </w:p>
    <w:p w14:paraId="2801007F" w14:textId="77777777" w:rsidR="00A05915" w:rsidRPr="00954343" w:rsidRDefault="00A05915" w:rsidP="00954343">
      <w:pPr>
        <w:spacing w:line="276" w:lineRule="auto"/>
        <w:ind w:firstLine="720"/>
        <w:contextualSpacing/>
        <w:jc w:val="both"/>
        <w:rPr>
          <w:rFonts w:eastAsia="Arial"/>
          <w:sz w:val="22"/>
          <w:szCs w:val="22"/>
        </w:rPr>
      </w:pPr>
    </w:p>
    <w:p w14:paraId="497CE0B4"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Dos quantitativos:</w:t>
      </w:r>
    </w:p>
    <w:p w14:paraId="56C527B1" w14:textId="77777777" w:rsidR="00A05915" w:rsidRPr="00954343" w:rsidRDefault="00A05915" w:rsidP="00954343">
      <w:pPr>
        <w:spacing w:line="276" w:lineRule="auto"/>
        <w:contextualSpacing/>
        <w:jc w:val="both"/>
        <w:rPr>
          <w:rFonts w:eastAsia="Arial"/>
          <w:sz w:val="22"/>
          <w:szCs w:val="22"/>
        </w:rPr>
      </w:pPr>
    </w:p>
    <w:p w14:paraId="64908405"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sz w:val="22"/>
          <w:szCs w:val="22"/>
        </w:rPr>
        <w:t>A utilização da Ata de Registro de Preços não poderá exceder a 50% dos quantitativos registrados.</w:t>
      </w:r>
    </w:p>
    <w:p w14:paraId="1725A20A" w14:textId="77777777" w:rsidR="00A05915" w:rsidRPr="00954343" w:rsidRDefault="00A05915" w:rsidP="00954343">
      <w:pPr>
        <w:spacing w:line="276" w:lineRule="auto"/>
        <w:ind w:firstLine="720"/>
        <w:contextualSpacing/>
        <w:jc w:val="both"/>
        <w:rPr>
          <w:rFonts w:eastAsia="Arial"/>
          <w:sz w:val="22"/>
          <w:szCs w:val="22"/>
        </w:rPr>
      </w:pPr>
    </w:p>
    <w:p w14:paraId="19C61487"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Das regras:</w:t>
      </w:r>
    </w:p>
    <w:p w14:paraId="5F0E500A"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sz w:val="22"/>
          <w:szCs w:val="22"/>
        </w:rPr>
        <w:t>Deverá o não participante, obedecer às regras de pagamento que o órgão gerenciador colocou no edital.</w:t>
      </w:r>
    </w:p>
    <w:p w14:paraId="43217709" w14:textId="77777777" w:rsidR="00A05915" w:rsidRPr="00954343" w:rsidRDefault="00A05915" w:rsidP="00954343">
      <w:pPr>
        <w:spacing w:line="276" w:lineRule="auto"/>
        <w:ind w:firstLine="720"/>
        <w:contextualSpacing/>
        <w:jc w:val="both"/>
        <w:rPr>
          <w:rFonts w:eastAsia="Arial"/>
          <w:sz w:val="22"/>
          <w:szCs w:val="22"/>
        </w:rPr>
      </w:pPr>
    </w:p>
    <w:p w14:paraId="75E06138"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Da formalização:</w:t>
      </w:r>
    </w:p>
    <w:p w14:paraId="3BFE9017"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sz w:val="22"/>
          <w:szCs w:val="22"/>
        </w:rPr>
        <w:t>A formalização da relação entre o gerenciador e não participante deverá ser efetuada através de um instrumento jurídico nas seguintes situações:</w:t>
      </w:r>
    </w:p>
    <w:p w14:paraId="2FEA87D1" w14:textId="77777777" w:rsidR="00A05915" w:rsidRPr="00954343" w:rsidRDefault="00A05915" w:rsidP="00954343">
      <w:pPr>
        <w:spacing w:line="276" w:lineRule="auto"/>
        <w:ind w:firstLine="720"/>
        <w:contextualSpacing/>
        <w:jc w:val="both"/>
        <w:rPr>
          <w:rFonts w:eastAsia="Arial"/>
          <w:sz w:val="22"/>
          <w:szCs w:val="22"/>
        </w:rPr>
      </w:pPr>
    </w:p>
    <w:p w14:paraId="53691F03"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sz w:val="22"/>
          <w:szCs w:val="22"/>
        </w:rPr>
        <w:t>- De ato de colaboração;</w:t>
      </w:r>
    </w:p>
    <w:p w14:paraId="02D797E0"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sz w:val="22"/>
          <w:szCs w:val="22"/>
        </w:rPr>
        <w:t>- De convênio;</w:t>
      </w:r>
    </w:p>
    <w:p w14:paraId="23EA216D" w14:textId="77777777" w:rsidR="00A05915" w:rsidRPr="00954343" w:rsidRDefault="000532CC" w:rsidP="00954343">
      <w:pPr>
        <w:spacing w:line="276" w:lineRule="auto"/>
        <w:ind w:firstLine="720"/>
        <w:contextualSpacing/>
        <w:jc w:val="both"/>
        <w:rPr>
          <w:rFonts w:eastAsia="Arial"/>
          <w:sz w:val="22"/>
          <w:szCs w:val="22"/>
        </w:rPr>
      </w:pPr>
      <w:r w:rsidRPr="00954343">
        <w:rPr>
          <w:rFonts w:eastAsia="Arial"/>
          <w:b/>
          <w:sz w:val="22"/>
          <w:szCs w:val="22"/>
        </w:rPr>
        <w:lastRenderedPageBreak/>
        <w:t>- Existência de parecer técnico-jurídico convalidando o ato.</w:t>
      </w:r>
    </w:p>
    <w:p w14:paraId="68111D27" w14:textId="77777777" w:rsidR="00A05915" w:rsidRPr="00954343" w:rsidRDefault="00A05915" w:rsidP="00954343">
      <w:pPr>
        <w:spacing w:line="276" w:lineRule="auto"/>
        <w:ind w:firstLine="720"/>
        <w:contextualSpacing/>
        <w:jc w:val="both"/>
        <w:rPr>
          <w:rFonts w:eastAsia="Arial"/>
          <w:sz w:val="22"/>
          <w:szCs w:val="22"/>
        </w:rPr>
      </w:pPr>
    </w:p>
    <w:p w14:paraId="739847BE"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Das condições intrínsecas:</w:t>
      </w:r>
    </w:p>
    <w:p w14:paraId="3405376A"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Condução do processamento de adesão pelo setor de compras;</w:t>
      </w:r>
    </w:p>
    <w:p w14:paraId="472BACDB"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Verificação de adequação da demanda às especificações constantes do edital e do respectivo termo de referência a que está atrelada a ata;</w:t>
      </w:r>
    </w:p>
    <w:p w14:paraId="7193351B"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Anuência do órgão gerenciador;</w:t>
      </w:r>
    </w:p>
    <w:p w14:paraId="37694E10"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Comprovação da vantagem na adesão da Ata de Registro de Preços;</w:t>
      </w:r>
    </w:p>
    <w:p w14:paraId="5DE47C06"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Indicação pelo órgão gerenciador dos possíveis fornecedores e respectivos preços;</w:t>
      </w:r>
    </w:p>
    <w:p w14:paraId="2176E592"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Cópias do edital, da respectiva ata de registro de preços e dos atos de adjudicação e homologação;</w:t>
      </w:r>
    </w:p>
    <w:p w14:paraId="6951E163"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Demonstração de ausência de prejuízo à contratação original;</w:t>
      </w:r>
    </w:p>
    <w:p w14:paraId="05407A85"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Existência de saldo no quantitativo registrado na Ata.</w:t>
      </w:r>
    </w:p>
    <w:p w14:paraId="15A8F4D8"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Vigência da Ata de Preços;</w:t>
      </w:r>
    </w:p>
    <w:p w14:paraId="0DC5C29C"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Existência de recursos orçamentários para atender as demandas;</w:t>
      </w:r>
    </w:p>
    <w:p w14:paraId="76C7A0BA"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Minuta de contrato elaborada nos termos do edital e da ata de preços ou outro documento que o substitua;</w:t>
      </w:r>
    </w:p>
    <w:p w14:paraId="636DF967"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Assentimento do fornecedor da contratação;</w:t>
      </w:r>
    </w:p>
    <w:p w14:paraId="0D05CBBF" w14:textId="77777777" w:rsidR="00A05915" w:rsidRPr="00954343" w:rsidRDefault="000532CC" w:rsidP="00954343">
      <w:pPr>
        <w:numPr>
          <w:ilvl w:val="0"/>
          <w:numId w:val="3"/>
        </w:numPr>
        <w:spacing w:line="276" w:lineRule="auto"/>
        <w:contextualSpacing/>
        <w:jc w:val="both"/>
        <w:rPr>
          <w:rFonts w:eastAsia="Arial"/>
          <w:sz w:val="22"/>
          <w:szCs w:val="22"/>
        </w:rPr>
      </w:pPr>
      <w:r w:rsidRPr="00954343">
        <w:rPr>
          <w:rFonts w:eastAsia="Arial"/>
          <w:sz w:val="22"/>
          <w:szCs w:val="22"/>
        </w:rPr>
        <w:t>Prova de regularidades relativas à Seguridade Social (CND) e FGTS para com a Secretaria de Receita Federal e Fazenda Estadual e Municipal;</w:t>
      </w:r>
    </w:p>
    <w:p w14:paraId="3266245F" w14:textId="77777777" w:rsidR="00A05915" w:rsidRPr="00954343" w:rsidRDefault="00A05915" w:rsidP="00954343">
      <w:pPr>
        <w:spacing w:line="276" w:lineRule="auto"/>
        <w:contextualSpacing/>
        <w:jc w:val="both"/>
        <w:rPr>
          <w:rFonts w:eastAsia="Arial"/>
          <w:sz w:val="22"/>
          <w:szCs w:val="22"/>
        </w:rPr>
      </w:pPr>
    </w:p>
    <w:p w14:paraId="138E1D04" w14:textId="77777777" w:rsidR="00A05915" w:rsidRPr="00954343" w:rsidRDefault="000532CC" w:rsidP="00954343">
      <w:pPr>
        <w:numPr>
          <w:ilvl w:val="0"/>
          <w:numId w:val="4"/>
        </w:numPr>
        <w:spacing w:line="276" w:lineRule="auto"/>
        <w:contextualSpacing/>
        <w:jc w:val="both"/>
        <w:rPr>
          <w:rFonts w:eastAsia="Arial"/>
          <w:sz w:val="22"/>
          <w:szCs w:val="22"/>
        </w:rPr>
      </w:pPr>
      <w:r w:rsidRPr="00954343">
        <w:rPr>
          <w:rFonts w:eastAsia="Arial"/>
          <w:sz w:val="22"/>
          <w:szCs w:val="22"/>
        </w:rPr>
        <w:t>Das limitações:</w:t>
      </w:r>
    </w:p>
    <w:p w14:paraId="4DFBE763" w14:textId="77777777" w:rsidR="00A05915" w:rsidRPr="00954343" w:rsidRDefault="00A05915" w:rsidP="00954343">
      <w:pPr>
        <w:spacing w:line="276" w:lineRule="auto"/>
        <w:contextualSpacing/>
        <w:jc w:val="both"/>
        <w:rPr>
          <w:rFonts w:eastAsia="Arial"/>
          <w:sz w:val="22"/>
          <w:szCs w:val="22"/>
        </w:rPr>
      </w:pPr>
    </w:p>
    <w:p w14:paraId="53E89F00" w14:textId="77777777" w:rsidR="00A05915" w:rsidRPr="00954343" w:rsidRDefault="000532CC" w:rsidP="00954343">
      <w:pPr>
        <w:spacing w:line="276" w:lineRule="auto"/>
        <w:contextualSpacing/>
        <w:jc w:val="both"/>
        <w:rPr>
          <w:rFonts w:eastAsia="Arial"/>
          <w:sz w:val="22"/>
          <w:szCs w:val="22"/>
        </w:rPr>
      </w:pPr>
      <w:r w:rsidRPr="00954343">
        <w:rPr>
          <w:rFonts w:eastAsia="Arial"/>
          <w:sz w:val="22"/>
          <w:szCs w:val="22"/>
        </w:rPr>
        <w:t>O art. 22º do Decreto Federal nº 7.892/2013 c/c o art. 6º, XII, da Lei nº 8.666/93, limita à abrangência da Ata de Registro de Preços.</w:t>
      </w:r>
    </w:p>
    <w:p w14:paraId="1E289B45" w14:textId="77777777" w:rsidR="00A05915" w:rsidRPr="00954343" w:rsidRDefault="00A05915" w:rsidP="00954343">
      <w:pPr>
        <w:spacing w:line="276" w:lineRule="auto"/>
        <w:ind w:firstLine="709"/>
        <w:contextualSpacing/>
        <w:jc w:val="both"/>
        <w:rPr>
          <w:rFonts w:eastAsia="Arial"/>
          <w:sz w:val="22"/>
          <w:szCs w:val="22"/>
        </w:rPr>
      </w:pPr>
    </w:p>
    <w:p w14:paraId="16D9587F"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O instituto do Sistema de Registro de Preços foi criado com o objetivo de modernizar, reduzir custos, dar transparência e viabilizar tempestivamente os processos de compras na administração pública, porém, sua correta depende de ações vinculadas aos princípios éticos balizadores dos atos pugnados aos agentes públicos.</w:t>
      </w:r>
    </w:p>
    <w:p w14:paraId="2B24BCFB" w14:textId="77777777" w:rsidR="00A05915" w:rsidRPr="00954343" w:rsidRDefault="00A05915" w:rsidP="00954343">
      <w:pPr>
        <w:spacing w:line="276" w:lineRule="auto"/>
        <w:ind w:firstLine="709"/>
        <w:contextualSpacing/>
        <w:jc w:val="both"/>
        <w:rPr>
          <w:rFonts w:eastAsia="Arial"/>
          <w:sz w:val="22"/>
          <w:szCs w:val="22"/>
        </w:rPr>
      </w:pPr>
    </w:p>
    <w:p w14:paraId="3B72AF8B"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 xml:space="preserve">Por intermédio do Decreto nº 7.892, de 23 de janeiro de 2013, alterada a regulamentação do Sistema de Registro de Preços e instruída no país a possibilidade de a proposta mais vantajosa numa licitação ser aproveitada por outros órgãos e entidades. Esse procedimento, sob a denominação de </w:t>
      </w:r>
      <w:r w:rsidRPr="00954343">
        <w:rPr>
          <w:rFonts w:eastAsia="Arial"/>
          <w:b/>
          <w:i/>
          <w:sz w:val="22"/>
          <w:szCs w:val="22"/>
        </w:rPr>
        <w:t>carona</w:t>
      </w:r>
      <w:r w:rsidRPr="00954343">
        <w:rPr>
          <w:rFonts w:eastAsia="Arial"/>
          <w:sz w:val="22"/>
          <w:szCs w:val="22"/>
        </w:rPr>
        <w:t>, que traduz em linguagem coloquial a ideia de aproveitar o percurso que alguém está desenvolvendo para concluir o próprio trajeto, sem custos.</w:t>
      </w:r>
    </w:p>
    <w:p w14:paraId="39C5307A" w14:textId="77777777" w:rsidR="00A05915" w:rsidRPr="00954343" w:rsidRDefault="00A05915" w:rsidP="00954343">
      <w:pPr>
        <w:spacing w:line="276" w:lineRule="auto"/>
        <w:ind w:firstLine="709"/>
        <w:contextualSpacing/>
        <w:jc w:val="both"/>
        <w:rPr>
          <w:rFonts w:eastAsia="Arial"/>
          <w:sz w:val="22"/>
          <w:szCs w:val="22"/>
        </w:rPr>
      </w:pPr>
    </w:p>
    <w:p w14:paraId="5CE18F03"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O mesmo diploma legal, que acolheu a melhor doutrina, passou a admitir que a Ata de Registro de Preços seja amplamente utilizada por outros órgãos, maximizando o esforço das unidades administrativas que implantaram o Sistema de Registro de Preços.</w:t>
      </w:r>
    </w:p>
    <w:p w14:paraId="543845FF" w14:textId="77777777" w:rsidR="00A05915" w:rsidRPr="00954343" w:rsidRDefault="00A05915" w:rsidP="00954343">
      <w:pPr>
        <w:spacing w:line="276" w:lineRule="auto"/>
        <w:ind w:firstLine="709"/>
        <w:contextualSpacing/>
        <w:jc w:val="both"/>
        <w:rPr>
          <w:rFonts w:eastAsia="Arial"/>
          <w:sz w:val="22"/>
          <w:szCs w:val="22"/>
        </w:rPr>
      </w:pPr>
    </w:p>
    <w:p w14:paraId="0DE234A9" w14:textId="77777777" w:rsidR="00A05915" w:rsidRPr="00954343" w:rsidRDefault="000532CC" w:rsidP="00954343">
      <w:pPr>
        <w:widowControl/>
        <w:spacing w:line="276" w:lineRule="auto"/>
        <w:ind w:firstLine="709"/>
        <w:contextualSpacing/>
        <w:jc w:val="both"/>
        <w:rPr>
          <w:rFonts w:eastAsia="Arial"/>
          <w:sz w:val="22"/>
          <w:szCs w:val="22"/>
        </w:rPr>
      </w:pPr>
      <w:r w:rsidRPr="00954343">
        <w:rPr>
          <w:rFonts w:eastAsia="Arial"/>
          <w:sz w:val="22"/>
          <w:szCs w:val="22"/>
        </w:rPr>
        <w:t>Para tanto, pode-se classificar os usuários da Ata de Registro de Preços em dois grupos:</w:t>
      </w:r>
    </w:p>
    <w:p w14:paraId="3A0AF5E3" w14:textId="77777777" w:rsidR="00A05915" w:rsidRPr="00954343" w:rsidRDefault="000532CC" w:rsidP="00954343">
      <w:pPr>
        <w:widowControl/>
        <w:spacing w:line="276" w:lineRule="auto"/>
        <w:ind w:left="709"/>
        <w:contextualSpacing/>
        <w:jc w:val="both"/>
        <w:rPr>
          <w:rFonts w:eastAsia="Arial"/>
          <w:sz w:val="22"/>
          <w:szCs w:val="22"/>
        </w:rPr>
      </w:pPr>
      <w:r w:rsidRPr="00954343">
        <w:rPr>
          <w:rFonts w:eastAsia="Arial"/>
          <w:b/>
          <w:sz w:val="22"/>
          <w:szCs w:val="22"/>
        </w:rPr>
        <w:lastRenderedPageBreak/>
        <w:t>– órgãos participantes</w:t>
      </w:r>
      <w:r w:rsidRPr="00954343">
        <w:rPr>
          <w:rFonts w:eastAsia="Arial"/>
          <w:sz w:val="22"/>
          <w:szCs w:val="22"/>
        </w:rPr>
        <w:t>: são aqueles que, no momento da convocação do órgão gerenciador, comparecem e participam da implantação do SRP, informando os objetos pretendidos, qualidade e quantidade. Sua atuação é prevista no art. 2º, inc. IV, do Decreto nº 7.892/2013; e</w:t>
      </w:r>
    </w:p>
    <w:p w14:paraId="5187CBAC" w14:textId="77777777" w:rsidR="00A05915" w:rsidRPr="00954343" w:rsidRDefault="00A05915" w:rsidP="00954343">
      <w:pPr>
        <w:widowControl/>
        <w:spacing w:line="276" w:lineRule="auto"/>
        <w:ind w:left="709"/>
        <w:contextualSpacing/>
        <w:jc w:val="both"/>
        <w:rPr>
          <w:rFonts w:eastAsia="Arial"/>
          <w:sz w:val="22"/>
          <w:szCs w:val="22"/>
        </w:rPr>
      </w:pPr>
    </w:p>
    <w:p w14:paraId="619D66E4" w14:textId="77777777" w:rsidR="00A05915" w:rsidRPr="00954343" w:rsidRDefault="000532CC" w:rsidP="00954343">
      <w:pPr>
        <w:widowControl/>
        <w:spacing w:line="276" w:lineRule="auto"/>
        <w:ind w:left="709"/>
        <w:contextualSpacing/>
        <w:jc w:val="both"/>
        <w:rPr>
          <w:rFonts w:eastAsia="Arial"/>
          <w:sz w:val="22"/>
          <w:szCs w:val="22"/>
        </w:rPr>
      </w:pPr>
      <w:r w:rsidRPr="00954343">
        <w:rPr>
          <w:rFonts w:eastAsia="Arial"/>
          <w:sz w:val="22"/>
          <w:szCs w:val="22"/>
        </w:rPr>
        <w:t xml:space="preserve">– </w:t>
      </w:r>
      <w:r w:rsidRPr="00954343">
        <w:rPr>
          <w:rFonts w:eastAsia="Arial"/>
          <w:b/>
          <w:sz w:val="22"/>
          <w:szCs w:val="22"/>
        </w:rPr>
        <w:t>órgãos não participantes (</w:t>
      </w:r>
      <w:r w:rsidRPr="00954343">
        <w:rPr>
          <w:rFonts w:eastAsia="Arial"/>
          <w:b/>
          <w:i/>
          <w:sz w:val="22"/>
          <w:szCs w:val="22"/>
        </w:rPr>
        <w:t>caronas</w:t>
      </w:r>
      <w:r w:rsidRPr="00954343">
        <w:rPr>
          <w:rFonts w:eastAsia="Arial"/>
          <w:b/>
          <w:sz w:val="22"/>
          <w:szCs w:val="22"/>
        </w:rPr>
        <w:t>)</w:t>
      </w:r>
      <w:r w:rsidRPr="00954343">
        <w:rPr>
          <w:rFonts w:eastAsia="Arial"/>
          <w:sz w:val="22"/>
          <w:szCs w:val="22"/>
        </w:rPr>
        <w:t>: são aqueles que, não tendo participado na época oportuna, informando suas estimativas de consumo, requererem, posteriormente, ao órgão gerenciador, o uso da Ata de Registro de Preços.</w:t>
      </w:r>
    </w:p>
    <w:p w14:paraId="6E8117C2" w14:textId="77777777" w:rsidR="00A05915" w:rsidRPr="00954343" w:rsidRDefault="00A05915" w:rsidP="00954343">
      <w:pPr>
        <w:spacing w:line="276" w:lineRule="auto"/>
        <w:ind w:firstLine="709"/>
        <w:contextualSpacing/>
        <w:jc w:val="both"/>
        <w:rPr>
          <w:rFonts w:eastAsia="Arial"/>
          <w:sz w:val="22"/>
          <w:szCs w:val="22"/>
        </w:rPr>
      </w:pPr>
    </w:p>
    <w:p w14:paraId="697972FF"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A natureza jurídica do procedimento carona é a extensão da proposta mais vantajosa a todos os que necessitam de objetos semelhantes, em quantidades iguais ou menores do que o máximo registrado.</w:t>
      </w:r>
    </w:p>
    <w:p w14:paraId="733D94D9" w14:textId="77777777" w:rsidR="00A05915" w:rsidRPr="00954343" w:rsidRDefault="00A05915" w:rsidP="00954343">
      <w:pPr>
        <w:spacing w:line="276" w:lineRule="auto"/>
        <w:ind w:firstLine="709"/>
        <w:contextualSpacing/>
        <w:jc w:val="both"/>
        <w:rPr>
          <w:rFonts w:eastAsia="Arial"/>
          <w:sz w:val="22"/>
          <w:szCs w:val="22"/>
        </w:rPr>
      </w:pPr>
    </w:p>
    <w:p w14:paraId="1C843E79"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 xml:space="preserve">O </w:t>
      </w:r>
      <w:r w:rsidRPr="00954343">
        <w:rPr>
          <w:rFonts w:eastAsia="Arial"/>
          <w:b/>
          <w:i/>
          <w:sz w:val="22"/>
          <w:szCs w:val="22"/>
        </w:rPr>
        <w:t>carona</w:t>
      </w:r>
      <w:r w:rsidRPr="00954343">
        <w:rPr>
          <w:rFonts w:eastAsia="Arial"/>
          <w:sz w:val="22"/>
          <w:szCs w:val="22"/>
        </w:rPr>
        <w:t xml:space="preserve"> no processo de licitação é um órgão que antes de proceder à contratação direta sem licitação ou a licitação verifica já possuir, em outro órgão público, da mesma esfera, o produto desejado em condições de vantagens de oferta sobre o mercado já comprovadas. Permite-se ao </w:t>
      </w:r>
      <w:r w:rsidRPr="00954343">
        <w:rPr>
          <w:rFonts w:eastAsia="Arial"/>
          <w:b/>
          <w:i/>
          <w:sz w:val="22"/>
          <w:szCs w:val="22"/>
        </w:rPr>
        <w:t>carona</w:t>
      </w:r>
      <w:r w:rsidRPr="00954343">
        <w:rPr>
          <w:rFonts w:eastAsia="Arial"/>
          <w:sz w:val="22"/>
          <w:szCs w:val="22"/>
        </w:rPr>
        <w:t xml:space="preserve"> que diante da prévia licitação do objeto semelhante por outros órgãos, com acatamento das mesmas regras que aplicaria em seu procedimento, reduzir os custos operacionais de uma ação seletiva.</w:t>
      </w:r>
    </w:p>
    <w:p w14:paraId="185D6254" w14:textId="77777777" w:rsidR="00A05915" w:rsidRPr="00954343" w:rsidRDefault="00A05915" w:rsidP="00954343">
      <w:pPr>
        <w:spacing w:line="276" w:lineRule="auto"/>
        <w:ind w:firstLine="709"/>
        <w:contextualSpacing/>
        <w:jc w:val="both"/>
        <w:rPr>
          <w:rFonts w:eastAsia="Arial"/>
          <w:sz w:val="22"/>
          <w:szCs w:val="22"/>
        </w:rPr>
      </w:pPr>
    </w:p>
    <w:p w14:paraId="5191F719"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É precisamente nesse ponto que são olvidados pressupostos fundamentais da licitação enquanto processo: a finalidade não é servir aos licitantes, mas ao interesse público; a observância da isonomia não é para distribuir demandas uniformemente entre os fornecedores, mas para ampliar a competição visando a busca de proposta mais vantajosa.</w:t>
      </w:r>
    </w:p>
    <w:p w14:paraId="67C157F7" w14:textId="77777777" w:rsidR="00A05915" w:rsidRPr="00954343" w:rsidRDefault="00A05915" w:rsidP="00954343">
      <w:pPr>
        <w:spacing w:line="276" w:lineRule="auto"/>
        <w:ind w:firstLine="709"/>
        <w:contextualSpacing/>
        <w:jc w:val="both"/>
        <w:rPr>
          <w:rFonts w:eastAsia="Arial"/>
          <w:sz w:val="22"/>
          <w:szCs w:val="22"/>
        </w:rPr>
      </w:pPr>
    </w:p>
    <w:p w14:paraId="7F588F6B"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 xml:space="preserve">Uma das vigas mestras da possibilidade de ser </w:t>
      </w:r>
      <w:r w:rsidRPr="00954343">
        <w:rPr>
          <w:rFonts w:eastAsia="Arial"/>
          <w:b/>
          <w:i/>
          <w:sz w:val="22"/>
          <w:szCs w:val="22"/>
        </w:rPr>
        <w:t>carona</w:t>
      </w:r>
      <w:r w:rsidRPr="00954343">
        <w:rPr>
          <w:rFonts w:eastAsia="Arial"/>
          <w:sz w:val="22"/>
          <w:szCs w:val="22"/>
        </w:rPr>
        <w:t xml:space="preserve"> em outro processo licitatório é o dever do órgão interessado em demonstrar a vantagem da adesão sobre o sistema convencional, logo, aderir como </w:t>
      </w:r>
      <w:r w:rsidRPr="00954343">
        <w:rPr>
          <w:rFonts w:eastAsia="Arial"/>
          <w:b/>
          <w:i/>
          <w:sz w:val="22"/>
          <w:szCs w:val="22"/>
        </w:rPr>
        <w:t>carona</w:t>
      </w:r>
      <w:r w:rsidRPr="00954343">
        <w:rPr>
          <w:rFonts w:eastAsia="Arial"/>
          <w:sz w:val="22"/>
          <w:szCs w:val="22"/>
        </w:rPr>
        <w:t xml:space="preserve"> implica necessariamente em uma vantagem ainda superior a um novo processo, que se confirmaria por pesquisa e pode até mesmo ser considerada, quando em igualdade de condições entre o preço registrado e o de mercado, pelo custo indireto da licitação.</w:t>
      </w:r>
    </w:p>
    <w:p w14:paraId="03830345" w14:textId="77777777" w:rsidR="00A05915" w:rsidRPr="00954343" w:rsidRDefault="00A05915" w:rsidP="00954343">
      <w:pPr>
        <w:spacing w:line="276" w:lineRule="auto"/>
        <w:ind w:firstLine="709"/>
        <w:contextualSpacing/>
        <w:jc w:val="both"/>
        <w:rPr>
          <w:rFonts w:eastAsia="Arial"/>
          <w:sz w:val="22"/>
          <w:szCs w:val="22"/>
        </w:rPr>
      </w:pPr>
    </w:p>
    <w:p w14:paraId="54212A3C"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 xml:space="preserve">Os fundamentos de lógica que sustentam a validade da figura do </w:t>
      </w:r>
      <w:r w:rsidRPr="00954343">
        <w:rPr>
          <w:rFonts w:eastAsia="Arial"/>
          <w:b/>
          <w:i/>
          <w:sz w:val="22"/>
          <w:szCs w:val="22"/>
        </w:rPr>
        <w:t>carona</w:t>
      </w:r>
      <w:r w:rsidRPr="00954343">
        <w:rPr>
          <w:rFonts w:eastAsia="Arial"/>
          <w:sz w:val="22"/>
          <w:szCs w:val="22"/>
        </w:rPr>
        <w:t xml:space="preserve"> consistem na desnecessidade de repetição de um processo oneroso, lento e desgastante quando já alcançada à proposta mais vantajosa, sendo que o órgão gerenciador tem informações adequadas sobre o desempenho do contratado na execução.</w:t>
      </w:r>
    </w:p>
    <w:p w14:paraId="175E142B" w14:textId="77777777" w:rsidR="00A05915" w:rsidRPr="00954343" w:rsidRDefault="00A05915" w:rsidP="00954343">
      <w:pPr>
        <w:spacing w:line="276" w:lineRule="auto"/>
        <w:ind w:firstLine="709"/>
        <w:contextualSpacing/>
        <w:jc w:val="both"/>
        <w:rPr>
          <w:rFonts w:eastAsia="Arial"/>
          <w:sz w:val="22"/>
          <w:szCs w:val="22"/>
        </w:rPr>
      </w:pPr>
    </w:p>
    <w:p w14:paraId="0F387D55"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É importante não perder de vista que a licitação é um procedimento prévio a um contrato e quanto menos tempo e custo consumir mais eficiente é o processo.</w:t>
      </w:r>
    </w:p>
    <w:p w14:paraId="052CD2D7" w14:textId="77777777" w:rsidR="00A05915" w:rsidRPr="00954343" w:rsidRDefault="00A05915" w:rsidP="00954343">
      <w:pPr>
        <w:spacing w:line="276" w:lineRule="auto"/>
        <w:ind w:firstLine="709"/>
        <w:contextualSpacing/>
        <w:jc w:val="both"/>
        <w:rPr>
          <w:rFonts w:eastAsia="Arial"/>
          <w:sz w:val="22"/>
          <w:szCs w:val="22"/>
          <w:highlight w:val="yellow"/>
        </w:rPr>
      </w:pPr>
    </w:p>
    <w:p w14:paraId="7A7A67D5" w14:textId="42B3952A" w:rsidR="00A05915" w:rsidRPr="00F203E7" w:rsidRDefault="000532CC" w:rsidP="00F203E7">
      <w:pPr>
        <w:numPr>
          <w:ilvl w:val="0"/>
          <w:numId w:val="4"/>
        </w:numPr>
        <w:spacing w:line="276" w:lineRule="auto"/>
        <w:contextualSpacing/>
        <w:jc w:val="both"/>
        <w:rPr>
          <w:rFonts w:eastAsia="Arial"/>
          <w:sz w:val="22"/>
          <w:szCs w:val="22"/>
        </w:rPr>
      </w:pPr>
      <w:r w:rsidRPr="00F203E7">
        <w:rPr>
          <w:rFonts w:eastAsia="Arial"/>
          <w:sz w:val="22"/>
          <w:szCs w:val="22"/>
        </w:rPr>
        <w:t>Ainda, obedecemos à Orientação Normativa da AGU:</w:t>
      </w:r>
    </w:p>
    <w:p w14:paraId="44EE50BD" w14:textId="77777777" w:rsidR="00A05915" w:rsidRPr="00954343" w:rsidRDefault="00A05915" w:rsidP="00954343">
      <w:pPr>
        <w:widowControl/>
        <w:pBdr>
          <w:top w:val="nil"/>
          <w:left w:val="nil"/>
          <w:bottom w:val="nil"/>
          <w:right w:val="nil"/>
          <w:between w:val="nil"/>
        </w:pBdr>
        <w:spacing w:line="276" w:lineRule="auto"/>
        <w:contextualSpacing/>
        <w:jc w:val="both"/>
        <w:rPr>
          <w:rFonts w:eastAsia="Arial"/>
          <w:i/>
          <w:sz w:val="22"/>
          <w:szCs w:val="22"/>
        </w:rPr>
      </w:pPr>
    </w:p>
    <w:p w14:paraId="059C2DF8" w14:textId="77777777" w:rsidR="00A05915" w:rsidRPr="00954343" w:rsidRDefault="000532CC" w:rsidP="00F203E7">
      <w:pPr>
        <w:widowControl/>
        <w:pBdr>
          <w:top w:val="nil"/>
          <w:left w:val="nil"/>
          <w:bottom w:val="nil"/>
          <w:right w:val="nil"/>
          <w:between w:val="nil"/>
        </w:pBdr>
        <w:spacing w:line="276" w:lineRule="auto"/>
        <w:ind w:left="2268"/>
        <w:contextualSpacing/>
        <w:jc w:val="both"/>
        <w:rPr>
          <w:rFonts w:eastAsia="Arial"/>
          <w:sz w:val="22"/>
          <w:szCs w:val="22"/>
        </w:rPr>
      </w:pPr>
      <w:r w:rsidRPr="00954343">
        <w:rPr>
          <w:rFonts w:eastAsia="Arial"/>
          <w:b/>
          <w:i/>
          <w:sz w:val="22"/>
          <w:szCs w:val="22"/>
        </w:rPr>
        <w:t>Orientação Normativa/AGU n° 21,</w:t>
      </w:r>
      <w:r w:rsidRPr="00954343">
        <w:rPr>
          <w:rFonts w:eastAsia="Arial"/>
          <w:i/>
          <w:sz w:val="22"/>
          <w:szCs w:val="22"/>
        </w:rPr>
        <w:t xml:space="preserve"> de 01.04.2009 (D.O.U de 07.04.2009, S. 1, P.15) - “ É vedada aos órgãos públicos federais a adesão à Ata de Registro de Preços, quando a licitação tiver sido realizada pela Administração Pública Estadual, Municipal ou do Distrito Federal.</w:t>
      </w:r>
    </w:p>
    <w:p w14:paraId="539C2543" w14:textId="77777777" w:rsidR="00A05915" w:rsidRPr="00954343" w:rsidRDefault="00A05915" w:rsidP="00954343">
      <w:pPr>
        <w:widowControl/>
        <w:pBdr>
          <w:top w:val="nil"/>
          <w:left w:val="nil"/>
          <w:bottom w:val="nil"/>
          <w:right w:val="nil"/>
          <w:between w:val="nil"/>
        </w:pBdr>
        <w:spacing w:line="276" w:lineRule="auto"/>
        <w:ind w:left="4757"/>
        <w:contextualSpacing/>
        <w:jc w:val="both"/>
        <w:rPr>
          <w:rFonts w:eastAsia="Arial"/>
          <w:sz w:val="22"/>
          <w:szCs w:val="22"/>
        </w:rPr>
      </w:pPr>
    </w:p>
    <w:p w14:paraId="284E4E96" w14:textId="457DD580" w:rsidR="00A05915" w:rsidRPr="00954343" w:rsidRDefault="00F203E7" w:rsidP="00954343">
      <w:pPr>
        <w:widowControl/>
        <w:pBdr>
          <w:top w:val="nil"/>
          <w:left w:val="nil"/>
          <w:bottom w:val="nil"/>
          <w:right w:val="nil"/>
          <w:between w:val="nil"/>
        </w:pBdr>
        <w:spacing w:line="276" w:lineRule="auto"/>
        <w:ind w:firstLine="709"/>
        <w:contextualSpacing/>
        <w:jc w:val="both"/>
        <w:rPr>
          <w:rFonts w:eastAsia="Arial"/>
          <w:sz w:val="22"/>
          <w:szCs w:val="22"/>
        </w:rPr>
      </w:pPr>
      <w:r>
        <w:rPr>
          <w:rFonts w:eastAsia="Arial"/>
          <w:sz w:val="22"/>
          <w:szCs w:val="22"/>
        </w:rPr>
        <w:t xml:space="preserve">Bem como </w:t>
      </w:r>
      <w:r w:rsidR="000532CC" w:rsidRPr="00954343">
        <w:rPr>
          <w:rFonts w:eastAsia="Arial"/>
          <w:sz w:val="22"/>
          <w:szCs w:val="22"/>
        </w:rPr>
        <w:t xml:space="preserve">o Acordão 1793/2011 – TCU – PLENÁRIO, que diz: </w:t>
      </w:r>
    </w:p>
    <w:p w14:paraId="5F29A2C3" w14:textId="77777777" w:rsidR="00A05915" w:rsidRPr="00954343" w:rsidRDefault="00A05915" w:rsidP="00954343">
      <w:pPr>
        <w:widowControl/>
        <w:pBdr>
          <w:top w:val="nil"/>
          <w:left w:val="nil"/>
          <w:bottom w:val="nil"/>
          <w:right w:val="nil"/>
          <w:between w:val="nil"/>
        </w:pBdr>
        <w:spacing w:line="276" w:lineRule="auto"/>
        <w:ind w:firstLine="709"/>
        <w:contextualSpacing/>
        <w:jc w:val="both"/>
        <w:rPr>
          <w:rFonts w:eastAsia="Arial"/>
          <w:sz w:val="22"/>
          <w:szCs w:val="22"/>
        </w:rPr>
      </w:pPr>
    </w:p>
    <w:p w14:paraId="5B55FD9C" w14:textId="77777777" w:rsidR="00A05915" w:rsidRPr="00954343" w:rsidRDefault="000532CC" w:rsidP="00F203E7">
      <w:pPr>
        <w:widowControl/>
        <w:pBdr>
          <w:top w:val="nil"/>
          <w:left w:val="nil"/>
          <w:bottom w:val="nil"/>
          <w:right w:val="nil"/>
          <w:between w:val="nil"/>
        </w:pBdr>
        <w:spacing w:line="276" w:lineRule="auto"/>
        <w:ind w:left="2268"/>
        <w:contextualSpacing/>
        <w:jc w:val="both"/>
        <w:rPr>
          <w:rFonts w:eastAsia="Arial"/>
          <w:sz w:val="22"/>
          <w:szCs w:val="22"/>
        </w:rPr>
      </w:pPr>
      <w:r w:rsidRPr="00954343">
        <w:rPr>
          <w:rFonts w:eastAsia="Arial"/>
          <w:i/>
          <w:sz w:val="22"/>
          <w:szCs w:val="22"/>
        </w:rPr>
        <w:t>b) A respeitarem os limites previstos no ART. 8°, CAPUT e parágrafo 3°.</w:t>
      </w:r>
    </w:p>
    <w:p w14:paraId="0CEF43A9" w14:textId="77777777" w:rsidR="00A05915" w:rsidRPr="00954343" w:rsidRDefault="000532CC" w:rsidP="00F203E7">
      <w:pPr>
        <w:widowControl/>
        <w:numPr>
          <w:ilvl w:val="0"/>
          <w:numId w:val="1"/>
        </w:numPr>
        <w:pBdr>
          <w:top w:val="nil"/>
          <w:left w:val="nil"/>
          <w:bottom w:val="nil"/>
          <w:right w:val="nil"/>
          <w:between w:val="nil"/>
        </w:pBdr>
        <w:spacing w:line="276" w:lineRule="auto"/>
        <w:ind w:left="2268" w:firstLine="0"/>
        <w:contextualSpacing/>
        <w:jc w:val="both"/>
        <w:rPr>
          <w:rFonts w:eastAsia="Arial"/>
          <w:sz w:val="22"/>
          <w:szCs w:val="22"/>
        </w:rPr>
      </w:pPr>
      <w:r w:rsidRPr="00954343">
        <w:rPr>
          <w:rFonts w:eastAsia="Arial"/>
          <w:i/>
          <w:sz w:val="22"/>
          <w:szCs w:val="22"/>
        </w:rPr>
        <w:t>Quando se tratar de contratação mediante Adesão a ata de registro preços, a realizarem ampla pesquisa de mercado, visando caracterizar sua vantajosidade sob os aspectos técnicos, econômicos e temporais, sem prejuízo de outras etapas do planejamento, conforme previsto no ART. 15, parágrafo primeiro , da Lei Federal 8.666/93 C/C os Arts. 3° e 8°, caput, do Decreto Federal n° 3.931/2001 e no item 9.2.2 do Acordão n° 2.764/2010 TCU – PLENÁRIO.</w:t>
      </w:r>
    </w:p>
    <w:p w14:paraId="520352C8" w14:textId="77777777" w:rsidR="00A05915" w:rsidRPr="00954343" w:rsidRDefault="00A05915" w:rsidP="00954343">
      <w:pPr>
        <w:widowControl/>
        <w:pBdr>
          <w:top w:val="nil"/>
          <w:left w:val="nil"/>
          <w:bottom w:val="nil"/>
          <w:right w:val="nil"/>
          <w:between w:val="nil"/>
        </w:pBdr>
        <w:spacing w:line="276" w:lineRule="auto"/>
        <w:ind w:left="3886" w:hanging="56"/>
        <w:contextualSpacing/>
        <w:jc w:val="both"/>
        <w:rPr>
          <w:rFonts w:eastAsia="Arial"/>
          <w:i/>
          <w:sz w:val="22"/>
          <w:szCs w:val="22"/>
        </w:rPr>
      </w:pPr>
    </w:p>
    <w:p w14:paraId="648B98D2" w14:textId="77777777" w:rsidR="00A05915" w:rsidRPr="00954343" w:rsidRDefault="000532CC" w:rsidP="00954343">
      <w:pPr>
        <w:widowControl/>
        <w:pBdr>
          <w:top w:val="nil"/>
          <w:left w:val="nil"/>
          <w:bottom w:val="nil"/>
          <w:right w:val="nil"/>
          <w:between w:val="nil"/>
        </w:pBdr>
        <w:spacing w:line="276" w:lineRule="auto"/>
        <w:contextualSpacing/>
        <w:jc w:val="both"/>
        <w:rPr>
          <w:rFonts w:eastAsia="Arial"/>
          <w:sz w:val="22"/>
          <w:szCs w:val="22"/>
        </w:rPr>
      </w:pPr>
      <w:r w:rsidRPr="00954343">
        <w:rPr>
          <w:rFonts w:eastAsia="Arial"/>
          <w:i/>
          <w:sz w:val="22"/>
          <w:szCs w:val="22"/>
        </w:rPr>
        <w:tab/>
        <w:t>Ao evitar o fracionamento, atende também a várias deliberações do Tribunal de Contas da União. Vide Acórdão TCU nº 668/2005 – Plenário; Acórdão TCU nº 653/2003 – Primeira Câmara e Decisão TCU nº 472/1999 – Plenário.</w:t>
      </w:r>
    </w:p>
    <w:p w14:paraId="5A72AC25" w14:textId="77777777" w:rsidR="00A05915" w:rsidRPr="00954343" w:rsidRDefault="00A05915" w:rsidP="00954343">
      <w:pPr>
        <w:widowControl/>
        <w:pBdr>
          <w:top w:val="nil"/>
          <w:left w:val="nil"/>
          <w:bottom w:val="nil"/>
          <w:right w:val="nil"/>
          <w:between w:val="nil"/>
        </w:pBdr>
        <w:spacing w:line="276" w:lineRule="auto"/>
        <w:ind w:firstLine="709"/>
        <w:contextualSpacing/>
        <w:jc w:val="both"/>
        <w:rPr>
          <w:rFonts w:eastAsia="Arial"/>
          <w:sz w:val="22"/>
          <w:szCs w:val="22"/>
        </w:rPr>
      </w:pPr>
    </w:p>
    <w:p w14:paraId="7C42EAF1" w14:textId="77777777" w:rsidR="00A05915" w:rsidRPr="00954343" w:rsidRDefault="000532CC" w:rsidP="00954343">
      <w:pPr>
        <w:spacing w:line="276" w:lineRule="auto"/>
        <w:ind w:firstLine="709"/>
        <w:contextualSpacing/>
        <w:jc w:val="both"/>
        <w:rPr>
          <w:rFonts w:eastAsia="Arial"/>
          <w:sz w:val="22"/>
          <w:szCs w:val="22"/>
        </w:rPr>
      </w:pPr>
      <w:r w:rsidRPr="00954343">
        <w:rPr>
          <w:rFonts w:eastAsia="Arial"/>
          <w:sz w:val="22"/>
          <w:szCs w:val="22"/>
        </w:rPr>
        <w:t>Portanto, demonstramos nos autos que o(a) campus/Reitoria do IF Sertão PE comprovou a similaridade e economicidade, e escolheu a proposta mais vantajosa para administração, cumprindo os ditames legais que norteiam as licitações e os contratos administrativos.</w:t>
      </w:r>
    </w:p>
    <w:p w14:paraId="2E3C2825" w14:textId="77777777" w:rsidR="00A05915" w:rsidRPr="00954343" w:rsidRDefault="00A05915" w:rsidP="00954343">
      <w:pPr>
        <w:spacing w:line="276" w:lineRule="auto"/>
        <w:ind w:firstLine="709"/>
        <w:contextualSpacing/>
        <w:jc w:val="both"/>
        <w:rPr>
          <w:rFonts w:eastAsia="Arial"/>
          <w:sz w:val="22"/>
          <w:szCs w:val="22"/>
        </w:rPr>
      </w:pPr>
    </w:p>
    <w:p w14:paraId="54DCF260" w14:textId="77777777" w:rsidR="00A05915" w:rsidRPr="00954343" w:rsidRDefault="00A05915" w:rsidP="00954343">
      <w:pPr>
        <w:widowControl/>
        <w:pBdr>
          <w:top w:val="nil"/>
          <w:left w:val="nil"/>
          <w:bottom w:val="nil"/>
          <w:right w:val="nil"/>
          <w:between w:val="nil"/>
        </w:pBdr>
        <w:spacing w:line="276" w:lineRule="auto"/>
        <w:ind w:firstLine="709"/>
        <w:contextualSpacing/>
        <w:jc w:val="both"/>
        <w:rPr>
          <w:rFonts w:eastAsia="Arial"/>
          <w:color w:val="000000"/>
          <w:sz w:val="22"/>
          <w:szCs w:val="22"/>
        </w:rPr>
      </w:pPr>
    </w:p>
    <w:p w14:paraId="3B4B2C09" w14:textId="77777777" w:rsidR="00A05915" w:rsidRPr="00954343" w:rsidRDefault="000532CC" w:rsidP="00954343">
      <w:pPr>
        <w:widowControl/>
        <w:numPr>
          <w:ilvl w:val="0"/>
          <w:numId w:val="2"/>
        </w:numPr>
        <w:pBdr>
          <w:top w:val="nil"/>
          <w:left w:val="nil"/>
          <w:bottom w:val="nil"/>
          <w:right w:val="nil"/>
          <w:between w:val="nil"/>
        </w:pBdr>
        <w:spacing w:line="276" w:lineRule="auto"/>
        <w:contextualSpacing/>
        <w:jc w:val="both"/>
        <w:rPr>
          <w:rFonts w:eastAsia="Arial"/>
          <w:color w:val="000000"/>
          <w:sz w:val="22"/>
          <w:szCs w:val="22"/>
        </w:rPr>
      </w:pPr>
      <w:r w:rsidRPr="00954343">
        <w:rPr>
          <w:rFonts w:eastAsia="Arial"/>
          <w:b/>
          <w:color w:val="000000"/>
          <w:sz w:val="22"/>
          <w:szCs w:val="22"/>
          <w:highlight w:val="yellow"/>
        </w:rPr>
        <w:t>Da disponibilidade Orçamentária</w:t>
      </w:r>
      <w:r w:rsidRPr="00954343">
        <w:rPr>
          <w:rFonts w:eastAsia="Arial"/>
          <w:b/>
          <w:color w:val="000000"/>
          <w:sz w:val="22"/>
          <w:szCs w:val="22"/>
        </w:rPr>
        <w:t xml:space="preserve"> </w:t>
      </w:r>
    </w:p>
    <w:p w14:paraId="4DE522F8" w14:textId="77777777" w:rsidR="00A05915" w:rsidRPr="00954343" w:rsidRDefault="00A05915" w:rsidP="00954343">
      <w:pPr>
        <w:widowControl/>
        <w:pBdr>
          <w:top w:val="nil"/>
          <w:left w:val="nil"/>
          <w:bottom w:val="nil"/>
          <w:right w:val="nil"/>
          <w:between w:val="nil"/>
        </w:pBdr>
        <w:spacing w:line="276" w:lineRule="auto"/>
        <w:contextualSpacing/>
        <w:jc w:val="both"/>
        <w:rPr>
          <w:rFonts w:eastAsia="Arial"/>
          <w:color w:val="000000"/>
          <w:sz w:val="22"/>
          <w:szCs w:val="22"/>
        </w:rPr>
      </w:pPr>
    </w:p>
    <w:p w14:paraId="6A7B6BCB" w14:textId="676D7932" w:rsidR="00A05915" w:rsidRPr="00954343" w:rsidRDefault="000532CC" w:rsidP="00954343">
      <w:pPr>
        <w:spacing w:line="276" w:lineRule="auto"/>
        <w:ind w:left="360"/>
        <w:contextualSpacing/>
        <w:jc w:val="both"/>
        <w:rPr>
          <w:rFonts w:eastAsia="Arial"/>
          <w:sz w:val="22"/>
          <w:szCs w:val="22"/>
        </w:rPr>
      </w:pPr>
      <w:r w:rsidRPr="00954343">
        <w:rPr>
          <w:rFonts w:eastAsia="Arial"/>
          <w:sz w:val="22"/>
          <w:szCs w:val="22"/>
        </w:rPr>
        <w:t xml:space="preserve">6.1 Nos autos do Processo constam ainda a consulta ao </w:t>
      </w:r>
      <w:r w:rsidRPr="00954343">
        <w:rPr>
          <w:rFonts w:eastAsia="Arial"/>
          <w:b/>
          <w:sz w:val="22"/>
          <w:szCs w:val="22"/>
          <w:u w:val="single"/>
        </w:rPr>
        <w:t xml:space="preserve">SICAF </w:t>
      </w:r>
      <w:r w:rsidRPr="00954343">
        <w:rPr>
          <w:rFonts w:eastAsia="Arial"/>
          <w:b/>
          <w:sz w:val="22"/>
          <w:szCs w:val="22"/>
        </w:rPr>
        <w:t xml:space="preserve">– (Sistema de Cadastramento dos Fornecedores) </w:t>
      </w:r>
      <w:r w:rsidRPr="00954343">
        <w:rPr>
          <w:rFonts w:eastAsia="Arial"/>
          <w:sz w:val="22"/>
          <w:szCs w:val="22"/>
        </w:rPr>
        <w:t>da empresa com as</w:t>
      </w:r>
      <w:r w:rsidRPr="00954343">
        <w:rPr>
          <w:rFonts w:eastAsia="Arial"/>
          <w:b/>
          <w:sz w:val="22"/>
          <w:szCs w:val="22"/>
        </w:rPr>
        <w:t xml:space="preserve"> </w:t>
      </w:r>
      <w:r w:rsidRPr="00954343">
        <w:rPr>
          <w:rFonts w:eastAsia="Arial"/>
          <w:sz w:val="22"/>
          <w:szCs w:val="22"/>
        </w:rPr>
        <w:t xml:space="preserve">provas de regularidades relativas à Seguridade Social (CND) e FGTS para com a Secretaria de Receita Federal e Fazenda Estadual e Municipal; constam ainda </w:t>
      </w:r>
      <w:r w:rsidRPr="00954343">
        <w:rPr>
          <w:rFonts w:eastAsia="Arial"/>
          <w:b/>
          <w:sz w:val="22"/>
          <w:szCs w:val="22"/>
          <w:u w:val="single"/>
        </w:rPr>
        <w:t>CONRAZÃO</w:t>
      </w:r>
      <w:r w:rsidRPr="00954343">
        <w:rPr>
          <w:rFonts w:eastAsia="Arial"/>
          <w:b/>
          <w:sz w:val="22"/>
          <w:szCs w:val="22"/>
        </w:rPr>
        <w:t xml:space="preserve"> </w:t>
      </w:r>
      <w:r w:rsidRPr="00954343">
        <w:rPr>
          <w:rFonts w:eastAsia="Arial"/>
          <w:sz w:val="22"/>
          <w:szCs w:val="22"/>
        </w:rPr>
        <w:t xml:space="preserve">e a </w:t>
      </w:r>
      <w:r w:rsidRPr="00954343">
        <w:rPr>
          <w:rFonts w:eastAsia="Arial"/>
          <w:b/>
          <w:sz w:val="22"/>
          <w:szCs w:val="22"/>
          <w:u w:val="single"/>
        </w:rPr>
        <w:t>Declaração de Disponibilidade Orçamentária</w:t>
      </w:r>
      <w:r w:rsidRPr="00954343">
        <w:rPr>
          <w:rFonts w:eastAsia="Arial"/>
          <w:b/>
          <w:sz w:val="22"/>
          <w:szCs w:val="22"/>
        </w:rPr>
        <w:t>.</w:t>
      </w:r>
    </w:p>
    <w:p w14:paraId="1BE33393" w14:textId="77777777" w:rsidR="00A05915" w:rsidRPr="00954343" w:rsidRDefault="00A05915" w:rsidP="00954343">
      <w:pPr>
        <w:pBdr>
          <w:top w:val="nil"/>
          <w:left w:val="nil"/>
          <w:bottom w:val="nil"/>
          <w:right w:val="nil"/>
          <w:between w:val="nil"/>
        </w:pBdr>
        <w:spacing w:line="276" w:lineRule="auto"/>
        <w:ind w:left="720"/>
        <w:contextualSpacing/>
        <w:jc w:val="both"/>
        <w:rPr>
          <w:rFonts w:eastAsia="Arial"/>
          <w:sz w:val="22"/>
          <w:szCs w:val="22"/>
        </w:rPr>
      </w:pPr>
    </w:p>
    <w:p w14:paraId="763E464C" w14:textId="77777777" w:rsidR="00A05915" w:rsidRPr="00954343" w:rsidRDefault="000532CC" w:rsidP="00954343">
      <w:pPr>
        <w:numPr>
          <w:ilvl w:val="0"/>
          <w:numId w:val="2"/>
        </w:numPr>
        <w:pBdr>
          <w:top w:val="nil"/>
          <w:left w:val="nil"/>
          <w:bottom w:val="nil"/>
          <w:right w:val="nil"/>
          <w:between w:val="nil"/>
        </w:pBdr>
        <w:spacing w:line="276" w:lineRule="auto"/>
        <w:contextualSpacing/>
        <w:jc w:val="both"/>
        <w:rPr>
          <w:rFonts w:eastAsia="Arial"/>
          <w:sz w:val="22"/>
          <w:szCs w:val="22"/>
        </w:rPr>
      </w:pPr>
      <w:r w:rsidRPr="00954343">
        <w:rPr>
          <w:rFonts w:eastAsia="Arial"/>
          <w:b/>
          <w:sz w:val="22"/>
          <w:szCs w:val="22"/>
        </w:rPr>
        <w:t>Conclusão</w:t>
      </w:r>
    </w:p>
    <w:p w14:paraId="4E1BBEC8" w14:textId="77777777" w:rsidR="00A05915" w:rsidRPr="00954343" w:rsidRDefault="00A05915" w:rsidP="00954343">
      <w:pPr>
        <w:spacing w:line="276" w:lineRule="auto"/>
        <w:ind w:firstLine="709"/>
        <w:contextualSpacing/>
        <w:jc w:val="both"/>
        <w:rPr>
          <w:rFonts w:eastAsia="Arial"/>
          <w:sz w:val="22"/>
          <w:szCs w:val="22"/>
        </w:rPr>
      </w:pPr>
    </w:p>
    <w:p w14:paraId="1972CB29" w14:textId="059D40A7" w:rsidR="00A05915" w:rsidRPr="00954343" w:rsidRDefault="000532CC" w:rsidP="00954343">
      <w:pPr>
        <w:widowControl/>
        <w:pBdr>
          <w:top w:val="nil"/>
          <w:left w:val="nil"/>
          <w:bottom w:val="nil"/>
          <w:right w:val="nil"/>
          <w:between w:val="nil"/>
        </w:pBdr>
        <w:spacing w:line="276" w:lineRule="auto"/>
        <w:ind w:left="360"/>
        <w:contextualSpacing/>
        <w:jc w:val="both"/>
        <w:rPr>
          <w:rFonts w:eastAsia="Arial"/>
          <w:sz w:val="22"/>
          <w:szCs w:val="22"/>
        </w:rPr>
      </w:pPr>
      <w:r w:rsidRPr="00F203E7">
        <w:rPr>
          <w:rFonts w:eastAsia="Arial"/>
          <w:iCs/>
          <w:sz w:val="22"/>
          <w:szCs w:val="22"/>
        </w:rPr>
        <w:t>7.</w:t>
      </w:r>
      <w:r w:rsidR="00F203E7" w:rsidRPr="00F203E7">
        <w:rPr>
          <w:rFonts w:eastAsia="Arial"/>
          <w:iCs/>
          <w:sz w:val="22"/>
          <w:szCs w:val="22"/>
        </w:rPr>
        <w:t>1</w:t>
      </w:r>
      <w:r w:rsidRPr="00954343">
        <w:rPr>
          <w:rFonts w:eastAsia="Arial"/>
          <w:i/>
          <w:sz w:val="22"/>
          <w:szCs w:val="22"/>
        </w:rPr>
        <w:t xml:space="preserve"> </w:t>
      </w:r>
      <w:r w:rsidRPr="00954343">
        <w:rPr>
          <w:rFonts w:eastAsia="Arial"/>
          <w:sz w:val="22"/>
          <w:szCs w:val="22"/>
        </w:rPr>
        <w:t xml:space="preserve">Por força do </w:t>
      </w:r>
      <w:r w:rsidRPr="00954343">
        <w:rPr>
          <w:rFonts w:eastAsia="Arial"/>
          <w:b/>
          <w:sz w:val="22"/>
          <w:szCs w:val="22"/>
        </w:rPr>
        <w:t>Parecer</w:t>
      </w:r>
      <w:r w:rsidRPr="00954343">
        <w:rPr>
          <w:rFonts w:eastAsia="Arial"/>
          <w:b/>
          <w:color w:val="000000"/>
          <w:sz w:val="22"/>
          <w:szCs w:val="22"/>
        </w:rPr>
        <w:t xml:space="preserve"> n. 00007/2018/CPLC/PGF/AGU</w:t>
      </w:r>
      <w:r w:rsidRPr="00954343">
        <w:rPr>
          <w:rFonts w:eastAsia="Arial"/>
          <w:i/>
          <w:sz w:val="22"/>
          <w:szCs w:val="22"/>
        </w:rPr>
        <w:t xml:space="preserve"> </w:t>
      </w:r>
      <w:r w:rsidRPr="00954343">
        <w:rPr>
          <w:rFonts w:eastAsia="Arial"/>
          <w:sz w:val="22"/>
          <w:szCs w:val="22"/>
        </w:rPr>
        <w:t xml:space="preserve">os autos da possibilidade de adesão à ata de registro de preços não serão obrigados a ser remetidos à Assessoria Jurídica  para análise e parecer jurídico, ressalvando-se a necessidade de análise nos casos em que a Administração formular dúvidas jurídicas específicas acerca do processo de adesão, em razão do art. 9º, § 4º, do Decreto nº 7.892, de 2013. </w:t>
      </w:r>
    </w:p>
    <w:p w14:paraId="6FA1AB0C" w14:textId="2C5AE042" w:rsidR="00A05915" w:rsidRPr="00F203E7" w:rsidRDefault="000532CC" w:rsidP="00F203E7">
      <w:pPr>
        <w:widowControl/>
        <w:pBdr>
          <w:top w:val="nil"/>
          <w:left w:val="nil"/>
          <w:bottom w:val="nil"/>
          <w:right w:val="nil"/>
          <w:between w:val="nil"/>
        </w:pBdr>
        <w:spacing w:line="276" w:lineRule="auto"/>
        <w:contextualSpacing/>
        <w:jc w:val="both"/>
        <w:rPr>
          <w:rFonts w:eastAsia="Arial"/>
          <w:iCs/>
          <w:sz w:val="22"/>
          <w:szCs w:val="22"/>
        </w:rPr>
      </w:pPr>
      <w:r w:rsidRPr="00954343">
        <w:rPr>
          <w:rFonts w:eastAsia="Arial"/>
          <w:i/>
          <w:sz w:val="22"/>
          <w:szCs w:val="22"/>
        </w:rPr>
        <w:t xml:space="preserve">  </w:t>
      </w:r>
    </w:p>
    <w:p w14:paraId="282BE9FD" w14:textId="4CDDBA22" w:rsidR="00A05915" w:rsidRPr="00954343" w:rsidRDefault="00F203E7" w:rsidP="00954343">
      <w:pPr>
        <w:spacing w:line="276" w:lineRule="auto"/>
        <w:contextualSpacing/>
        <w:jc w:val="both"/>
        <w:rPr>
          <w:rFonts w:eastAsia="Arial"/>
          <w:sz w:val="22"/>
          <w:szCs w:val="22"/>
        </w:rPr>
      </w:pPr>
      <w:r>
        <w:rPr>
          <w:rFonts w:eastAsia="Arial"/>
          <w:b/>
          <w:sz w:val="22"/>
          <w:szCs w:val="22"/>
        </w:rPr>
        <w:t>Petrolina-PE</w:t>
      </w:r>
      <w:r w:rsidR="000532CC" w:rsidRPr="00954343">
        <w:rPr>
          <w:rFonts w:eastAsia="Arial"/>
          <w:b/>
          <w:sz w:val="22"/>
          <w:szCs w:val="22"/>
          <w:highlight w:val="yellow"/>
        </w:rPr>
        <w:t xml:space="preserve">, ______ de </w:t>
      </w:r>
      <w:r>
        <w:rPr>
          <w:rFonts w:eastAsia="Arial"/>
          <w:b/>
          <w:sz w:val="22"/>
          <w:szCs w:val="22"/>
        </w:rPr>
        <w:t>maio de 2022.</w:t>
      </w:r>
    </w:p>
    <w:p w14:paraId="37BC67DA" w14:textId="77777777" w:rsidR="00A05915" w:rsidRPr="00954343" w:rsidRDefault="00A05915" w:rsidP="00954343">
      <w:pPr>
        <w:spacing w:line="276" w:lineRule="auto"/>
        <w:contextualSpacing/>
        <w:jc w:val="both"/>
        <w:rPr>
          <w:rFonts w:eastAsia="Arial"/>
          <w:b/>
          <w:sz w:val="22"/>
          <w:szCs w:val="22"/>
        </w:rPr>
      </w:pPr>
    </w:p>
    <w:p w14:paraId="6E0B94EF" w14:textId="77777777" w:rsidR="00A05915" w:rsidRPr="00954343" w:rsidRDefault="00A05915" w:rsidP="00954343">
      <w:pPr>
        <w:spacing w:line="276" w:lineRule="auto"/>
        <w:contextualSpacing/>
        <w:jc w:val="both"/>
        <w:rPr>
          <w:rFonts w:eastAsia="Arial"/>
          <w:b/>
          <w:sz w:val="22"/>
          <w:szCs w:val="22"/>
        </w:rPr>
      </w:pPr>
    </w:p>
    <w:p w14:paraId="36534445" w14:textId="77777777" w:rsidR="00584E71" w:rsidRPr="00584E71" w:rsidRDefault="00584E71" w:rsidP="00584E71">
      <w:pPr>
        <w:widowControl/>
        <w:spacing w:line="276" w:lineRule="auto"/>
        <w:contextualSpacing/>
        <w:jc w:val="center"/>
        <w:rPr>
          <w:b/>
          <w:bCs/>
          <w:color w:val="auto"/>
          <w:sz w:val="22"/>
          <w:szCs w:val="22"/>
        </w:rPr>
      </w:pPr>
      <w:r w:rsidRPr="00584E71">
        <w:rPr>
          <w:b/>
          <w:bCs/>
          <w:color w:val="auto"/>
          <w:sz w:val="22"/>
          <w:szCs w:val="22"/>
        </w:rPr>
        <w:t>Reinaldo de Souza Dantas</w:t>
      </w:r>
    </w:p>
    <w:p w14:paraId="336ED852" w14:textId="77777777" w:rsidR="00584E71" w:rsidRPr="00584E71" w:rsidRDefault="00584E71" w:rsidP="00584E71">
      <w:pPr>
        <w:widowControl/>
        <w:spacing w:line="276" w:lineRule="auto"/>
        <w:contextualSpacing/>
        <w:jc w:val="center"/>
        <w:rPr>
          <w:b/>
          <w:bCs/>
          <w:color w:val="auto"/>
          <w:sz w:val="22"/>
          <w:szCs w:val="22"/>
        </w:rPr>
      </w:pPr>
      <w:r w:rsidRPr="00584E71">
        <w:rPr>
          <w:b/>
          <w:bCs/>
          <w:color w:val="auto"/>
          <w:sz w:val="22"/>
          <w:szCs w:val="22"/>
        </w:rPr>
        <w:t>Diretor de Administração e Planejamento</w:t>
      </w:r>
    </w:p>
    <w:p w14:paraId="5B505211" w14:textId="46E7AA17" w:rsidR="00584E71" w:rsidRPr="00584E71" w:rsidRDefault="00584E71" w:rsidP="00584E71">
      <w:pPr>
        <w:widowControl/>
        <w:spacing w:line="276" w:lineRule="auto"/>
        <w:contextualSpacing/>
        <w:jc w:val="center"/>
        <w:rPr>
          <w:b/>
          <w:bCs/>
          <w:color w:val="auto"/>
          <w:sz w:val="22"/>
          <w:szCs w:val="22"/>
        </w:rPr>
      </w:pPr>
      <w:r w:rsidRPr="00584E71">
        <w:rPr>
          <w:b/>
          <w:bCs/>
          <w:color w:val="auto"/>
          <w:sz w:val="22"/>
          <w:szCs w:val="22"/>
        </w:rPr>
        <w:t>IFSertãoPE – Campus Petrolina</w:t>
      </w:r>
    </w:p>
    <w:sectPr w:rsidR="00584E71" w:rsidRPr="00584E71">
      <w:headerReference w:type="default" r:id="rId7"/>
      <w:pgSz w:w="11906" w:h="16838"/>
      <w:pgMar w:top="1701" w:right="1418" w:bottom="1701" w:left="1418"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6E16" w14:textId="77777777" w:rsidR="00E51954" w:rsidRDefault="00E51954">
      <w:r>
        <w:separator/>
      </w:r>
    </w:p>
  </w:endnote>
  <w:endnote w:type="continuationSeparator" w:id="0">
    <w:p w14:paraId="2D9DFD0D" w14:textId="77777777" w:rsidR="00E51954" w:rsidRDefault="00E5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A9F0" w14:textId="77777777" w:rsidR="00E51954" w:rsidRDefault="00E51954">
      <w:r>
        <w:separator/>
      </w:r>
    </w:p>
  </w:footnote>
  <w:footnote w:type="continuationSeparator" w:id="0">
    <w:p w14:paraId="66EEDFC3" w14:textId="77777777" w:rsidR="00E51954" w:rsidRDefault="00E5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8D3" w14:textId="77777777" w:rsidR="00A05915" w:rsidRDefault="000532CC">
    <w:pPr>
      <w:jc w:val="center"/>
      <w:rPr>
        <w:b/>
        <w:sz w:val="14"/>
        <w:szCs w:val="14"/>
      </w:rPr>
    </w:pPr>
    <w:r>
      <w:rPr>
        <w:noProof/>
      </w:rPr>
      <w:drawing>
        <wp:anchor distT="0" distB="0" distL="0" distR="0" simplePos="0" relativeHeight="251658240" behindDoc="0" locked="0" layoutInCell="1" hidden="0" allowOverlap="1" wp14:anchorId="660EF302" wp14:editId="668D9041">
          <wp:simplePos x="0" y="0"/>
          <wp:positionH relativeFrom="column">
            <wp:posOffset>2505075</wp:posOffset>
          </wp:positionH>
          <wp:positionV relativeFrom="paragraph">
            <wp:posOffset>-571499</wp:posOffset>
          </wp:positionV>
          <wp:extent cx="906780" cy="9112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6780" cy="911225"/>
                  </a:xfrm>
                  <a:prstGeom prst="rect">
                    <a:avLst/>
                  </a:prstGeom>
                  <a:ln/>
                </pic:spPr>
              </pic:pic>
            </a:graphicData>
          </a:graphic>
        </wp:anchor>
      </w:drawing>
    </w:r>
  </w:p>
  <w:p w14:paraId="5874B495" w14:textId="77777777" w:rsidR="00A05915" w:rsidRDefault="00A05915">
    <w:pPr>
      <w:jc w:val="center"/>
      <w:rPr>
        <w:b/>
        <w:sz w:val="14"/>
        <w:szCs w:val="14"/>
      </w:rPr>
    </w:pPr>
  </w:p>
  <w:p w14:paraId="10409F3C" w14:textId="77777777" w:rsidR="00A05915" w:rsidRDefault="00A05915">
    <w:pPr>
      <w:jc w:val="center"/>
      <w:rPr>
        <w:b/>
        <w:sz w:val="14"/>
        <w:szCs w:val="14"/>
      </w:rPr>
    </w:pPr>
  </w:p>
  <w:p w14:paraId="1A2971E1" w14:textId="77777777" w:rsidR="00A05915" w:rsidRDefault="00A05915">
    <w:pPr>
      <w:jc w:val="center"/>
      <w:rPr>
        <w:b/>
        <w:sz w:val="14"/>
        <w:szCs w:val="14"/>
      </w:rPr>
    </w:pPr>
  </w:p>
  <w:p w14:paraId="4302773D" w14:textId="77777777" w:rsidR="00A05915" w:rsidRDefault="00A05915">
    <w:pPr>
      <w:jc w:val="center"/>
      <w:rPr>
        <w:b/>
        <w:sz w:val="14"/>
        <w:szCs w:val="14"/>
      </w:rPr>
    </w:pPr>
  </w:p>
  <w:p w14:paraId="50A54955" w14:textId="77777777" w:rsidR="00A05915" w:rsidRDefault="000532CC">
    <w:pPr>
      <w:jc w:val="center"/>
      <w:rPr>
        <w:rFonts w:ascii="Calibri" w:eastAsia="Calibri" w:hAnsi="Calibri" w:cs="Calibri"/>
        <w:color w:val="000000"/>
      </w:rPr>
    </w:pPr>
    <w:r>
      <w:rPr>
        <w:b/>
        <w:sz w:val="20"/>
        <w:szCs w:val="20"/>
      </w:rPr>
      <w:t>MINISTÉRIO DA EDUCAÇÃO</w:t>
    </w:r>
  </w:p>
  <w:p w14:paraId="6FFB2A7A" w14:textId="77777777" w:rsidR="00A05915" w:rsidRDefault="000532CC">
    <w:pPr>
      <w:jc w:val="center"/>
      <w:rPr>
        <w:rFonts w:ascii="Calibri" w:eastAsia="Calibri" w:hAnsi="Calibri" w:cs="Calibri"/>
        <w:color w:val="000000"/>
      </w:rPr>
    </w:pPr>
    <w:r>
      <w:rPr>
        <w:b/>
        <w:sz w:val="14"/>
        <w:szCs w:val="14"/>
      </w:rPr>
      <w:t>SECRETARIA DE EDUCAÇÃO PROFISSIONAL E TECNOLÓGICA</w:t>
    </w:r>
  </w:p>
  <w:p w14:paraId="11997A0B" w14:textId="77777777" w:rsidR="00A05915" w:rsidRDefault="000532CC">
    <w:pPr>
      <w:jc w:val="center"/>
      <w:rPr>
        <w:rFonts w:ascii="Calibri" w:eastAsia="Calibri" w:hAnsi="Calibri" w:cs="Calibri"/>
        <w:color w:val="000000"/>
      </w:rPr>
    </w:pPr>
    <w:r>
      <w:rPr>
        <w:b/>
        <w:sz w:val="14"/>
        <w:szCs w:val="14"/>
      </w:rPr>
      <w:t>INSTITUTO FEDERAL DE EDUCAÇÃO, CIÊNCIA E TECNOLOGIA DO SERTÃO PERNAMBUCANO</w:t>
    </w:r>
  </w:p>
  <w:p w14:paraId="47EBA4E1" w14:textId="1FA96CB7" w:rsidR="00A05915" w:rsidRDefault="0092272E">
    <w:pPr>
      <w:spacing w:line="288" w:lineRule="auto"/>
      <w:jc w:val="center"/>
      <w:rPr>
        <w:rFonts w:ascii="Calibri" w:eastAsia="Calibri" w:hAnsi="Calibri" w:cs="Calibri"/>
        <w:color w:val="000000"/>
      </w:rPr>
    </w:pPr>
    <w:r>
      <w:rPr>
        <w:b/>
        <w:color w:val="000000"/>
        <w:sz w:val="14"/>
        <w:szCs w:val="14"/>
      </w:rPr>
      <w:t>CAMPUS PETROLINA</w:t>
    </w:r>
  </w:p>
  <w:p w14:paraId="36211E03" w14:textId="6E5CCA25" w:rsidR="00A05915" w:rsidRDefault="000532CC">
    <w:pPr>
      <w:spacing w:line="288" w:lineRule="auto"/>
      <w:jc w:val="center"/>
    </w:pPr>
    <w:r>
      <w:rPr>
        <w:b/>
        <w:color w:val="000000"/>
        <w:sz w:val="14"/>
        <w:szCs w:val="14"/>
      </w:rPr>
      <w:t>DIRE</w:t>
    </w:r>
    <w:r w:rsidR="0092272E">
      <w:rPr>
        <w:b/>
        <w:color w:val="000000"/>
        <w:sz w:val="14"/>
        <w:szCs w:val="14"/>
      </w:rPr>
      <w:t>ÇÃO</w:t>
    </w:r>
    <w:r>
      <w:rPr>
        <w:b/>
        <w:color w:val="000000"/>
        <w:sz w:val="14"/>
        <w:szCs w:val="14"/>
      </w:rPr>
      <w:t xml:space="preserve"> DE </w:t>
    </w:r>
    <w:r w:rsidR="0092272E">
      <w:rPr>
        <w:b/>
        <w:color w:val="000000"/>
        <w:sz w:val="14"/>
        <w:szCs w:val="14"/>
      </w:rPr>
      <w:t>ADMINISTRAÇÃO E PLANEJAMENTO - DAP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E8C"/>
    <w:multiLevelType w:val="multilevel"/>
    <w:tmpl w:val="45D6B128"/>
    <w:lvl w:ilvl="0">
      <w:start w:val="1"/>
      <w:numFmt w:val="upperRoman"/>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2CD0DC6"/>
    <w:multiLevelType w:val="multilevel"/>
    <w:tmpl w:val="106C6384"/>
    <w:lvl w:ilvl="0">
      <w:start w:val="1"/>
      <w:numFmt w:val="bullet"/>
      <w:lvlText w:val="●"/>
      <w:lvlJc w:val="left"/>
      <w:pPr>
        <w:ind w:left="1429"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621410C"/>
    <w:multiLevelType w:val="multilevel"/>
    <w:tmpl w:val="7A2ECCF4"/>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8F82F1D"/>
    <w:multiLevelType w:val="multilevel"/>
    <w:tmpl w:val="4B8EDF88"/>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4634EB5"/>
    <w:multiLevelType w:val="multilevel"/>
    <w:tmpl w:val="5D3A0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2750651">
    <w:abstractNumId w:val="3"/>
  </w:num>
  <w:num w:numId="2" w16cid:durableId="822814427">
    <w:abstractNumId w:val="4"/>
  </w:num>
  <w:num w:numId="3" w16cid:durableId="400176782">
    <w:abstractNumId w:val="2"/>
  </w:num>
  <w:num w:numId="4" w16cid:durableId="1980987981">
    <w:abstractNumId w:val="0"/>
  </w:num>
  <w:num w:numId="5" w16cid:durableId="5894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15"/>
    <w:rsid w:val="000532CC"/>
    <w:rsid w:val="002B3BF4"/>
    <w:rsid w:val="00584E71"/>
    <w:rsid w:val="00644F50"/>
    <w:rsid w:val="0092272E"/>
    <w:rsid w:val="00954343"/>
    <w:rsid w:val="00A05915"/>
    <w:rsid w:val="00A75B28"/>
    <w:rsid w:val="00DA6AC9"/>
    <w:rsid w:val="00E51954"/>
    <w:rsid w:val="00E578AB"/>
    <w:rsid w:val="00F203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2419"/>
  <w15:docId w15:val="{D770E307-CD59-41F5-8D81-AEA8A1F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0"/>
      </w:tabs>
      <w:ind w:left="432" w:hanging="432"/>
      <w:jc w:val="both"/>
      <w:outlineLvl w:val="0"/>
    </w:pPr>
    <w:rPr>
      <w:b/>
    </w:rPr>
  </w:style>
  <w:style w:type="paragraph" w:styleId="Ttulo2">
    <w:name w:val="heading 2"/>
    <w:basedOn w:val="Normal"/>
    <w:next w:val="Normal"/>
    <w:uiPriority w:val="9"/>
    <w:semiHidden/>
    <w:unhideWhenUsed/>
    <w:qFormat/>
    <w:pPr>
      <w:keepNext/>
      <w:tabs>
        <w:tab w:val="left" w:pos="0"/>
      </w:tabs>
      <w:ind w:left="576" w:hanging="576"/>
      <w:jc w:val="center"/>
      <w:outlineLvl w:val="1"/>
    </w:pPr>
    <w:rPr>
      <w:b/>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2272E"/>
    <w:pPr>
      <w:tabs>
        <w:tab w:val="center" w:pos="4252"/>
        <w:tab w:val="right" w:pos="8504"/>
      </w:tabs>
    </w:pPr>
  </w:style>
  <w:style w:type="character" w:customStyle="1" w:styleId="CabealhoChar">
    <w:name w:val="Cabeçalho Char"/>
    <w:basedOn w:val="Fontepargpadro"/>
    <w:link w:val="Cabealho"/>
    <w:uiPriority w:val="99"/>
    <w:rsid w:val="0092272E"/>
  </w:style>
  <w:style w:type="paragraph" w:styleId="Rodap">
    <w:name w:val="footer"/>
    <w:basedOn w:val="Normal"/>
    <w:link w:val="RodapChar"/>
    <w:uiPriority w:val="99"/>
    <w:unhideWhenUsed/>
    <w:rsid w:val="0092272E"/>
    <w:pPr>
      <w:tabs>
        <w:tab w:val="center" w:pos="4252"/>
        <w:tab w:val="right" w:pos="8504"/>
      </w:tabs>
    </w:pPr>
  </w:style>
  <w:style w:type="character" w:customStyle="1" w:styleId="RodapChar">
    <w:name w:val="Rodapé Char"/>
    <w:basedOn w:val="Fontepargpadro"/>
    <w:link w:val="Rodap"/>
    <w:uiPriority w:val="99"/>
    <w:rsid w:val="0092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2205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Adv. Paulo Tavares</cp:lastModifiedBy>
  <cp:revision>8</cp:revision>
  <dcterms:created xsi:type="dcterms:W3CDTF">2022-05-19T00:51:00Z</dcterms:created>
  <dcterms:modified xsi:type="dcterms:W3CDTF">2022-05-19T01:36:00Z</dcterms:modified>
</cp:coreProperties>
</file>