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192A" w14:textId="5C877244" w:rsidR="00BF0F2E" w:rsidRPr="00BD68B3" w:rsidRDefault="000B5807" w:rsidP="00BD68B3">
      <w:pPr>
        <w:ind w:left="227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  <w:b/>
        </w:rPr>
        <w:t>Unidade Demandante:</w:t>
      </w:r>
      <w:r w:rsidR="00AE1908" w:rsidRPr="00BD68B3">
        <w:rPr>
          <w:rFonts w:ascii="Times New Roman" w:hAnsi="Times New Roman" w:cs="Times New Roman"/>
          <w:b/>
        </w:rPr>
        <w:t xml:space="preserve"> Campus Petrolina</w:t>
      </w:r>
      <w:r w:rsidR="00AE1908" w:rsidRPr="00BD68B3">
        <w:rPr>
          <w:rFonts w:ascii="Times New Roman" w:hAnsi="Times New Roman" w:cs="Times New Roman"/>
          <w:color w:val="000000"/>
        </w:rPr>
        <w:t xml:space="preserve"> do</w:t>
      </w:r>
      <w:r w:rsidRPr="00BD68B3">
        <w:rPr>
          <w:rFonts w:ascii="Times New Roman" w:hAnsi="Times New Roman" w:cs="Times New Roman"/>
          <w:color w:val="000000"/>
        </w:rPr>
        <w:t xml:space="preserve"> IF Sertão PE</w:t>
      </w:r>
    </w:p>
    <w:p w14:paraId="03B42067" w14:textId="2213118D" w:rsidR="00BF0F2E" w:rsidRPr="00BD68B3" w:rsidRDefault="000B5807" w:rsidP="00BD68B3">
      <w:pPr>
        <w:ind w:left="227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  <w:b/>
        </w:rPr>
        <w:t>Objeto</w:t>
      </w:r>
      <w:r w:rsidRPr="00BD68B3">
        <w:rPr>
          <w:rFonts w:ascii="Times New Roman" w:hAnsi="Times New Roman" w:cs="Times New Roman"/>
          <w:color w:val="00000A"/>
          <w:highlight w:val="white"/>
        </w:rPr>
        <w:t xml:space="preserve">: </w:t>
      </w:r>
      <w:r w:rsidR="00BD68B3" w:rsidRPr="00BD68B3">
        <w:rPr>
          <w:rFonts w:ascii="Times New Roman" w:hAnsi="Times New Roman" w:cs="Times New Roman"/>
        </w:rPr>
        <w:t xml:space="preserve">Aquisição de MEIOS DE CULTURA (REAGENTES) para atender o </w:t>
      </w:r>
      <w:r w:rsidR="00BD68B3" w:rsidRPr="00BD68B3">
        <w:rPr>
          <w:rFonts w:ascii="Times New Roman" w:hAnsi="Times New Roman" w:cs="Times New Roman"/>
        </w:rPr>
        <w:t>c</w:t>
      </w:r>
      <w:r w:rsidR="00BD68B3" w:rsidRPr="00BD68B3">
        <w:rPr>
          <w:rFonts w:ascii="Times New Roman" w:hAnsi="Times New Roman" w:cs="Times New Roman"/>
        </w:rPr>
        <w:t xml:space="preserve">ampus Petrolina </w:t>
      </w:r>
      <w:r w:rsidRPr="00BD68B3">
        <w:rPr>
          <w:rFonts w:ascii="Times New Roman" w:hAnsi="Times New Roman" w:cs="Times New Roman"/>
          <w:color w:val="00000A"/>
          <w:highlight w:val="white"/>
        </w:rPr>
        <w:t>do Instituto Federal do Sertão Pernambucano – IF SERTÃO-PE</w:t>
      </w:r>
    </w:p>
    <w:p w14:paraId="304BAF1D" w14:textId="77777777" w:rsidR="00BF0F2E" w:rsidRPr="00BD68B3" w:rsidRDefault="00BF0F2E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6289BF01" w14:textId="10CD0C07" w:rsidR="00BF0F2E" w:rsidRPr="00BD68B3" w:rsidRDefault="000B5807">
      <w:pPr>
        <w:spacing w:line="360" w:lineRule="auto"/>
        <w:jc w:val="center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  <w:b/>
        </w:rPr>
        <w:t>Análise Administrativa e Institucional</w:t>
      </w:r>
      <w:r w:rsidRPr="00BD68B3">
        <w:rPr>
          <w:rFonts w:ascii="Times New Roman" w:hAnsi="Times New Roman" w:cs="Times New Roman"/>
          <w:b/>
          <w:color w:val="000000"/>
        </w:rPr>
        <w:t xml:space="preserve"> nº </w:t>
      </w:r>
      <w:proofErr w:type="spellStart"/>
      <w:r w:rsidRPr="00BD68B3">
        <w:rPr>
          <w:rFonts w:ascii="Times New Roman" w:hAnsi="Times New Roman" w:cs="Times New Roman"/>
          <w:b/>
          <w:color w:val="000000"/>
          <w:highlight w:val="yellow"/>
        </w:rPr>
        <w:t>xx</w:t>
      </w:r>
      <w:proofErr w:type="spellEnd"/>
      <w:r w:rsidRPr="00BD68B3">
        <w:rPr>
          <w:rFonts w:ascii="Times New Roman" w:hAnsi="Times New Roman" w:cs="Times New Roman"/>
          <w:b/>
          <w:color w:val="000000"/>
        </w:rPr>
        <w:t>/20</w:t>
      </w:r>
      <w:r w:rsidR="00BD68B3" w:rsidRPr="00BD68B3">
        <w:rPr>
          <w:rFonts w:ascii="Times New Roman" w:hAnsi="Times New Roman" w:cs="Times New Roman"/>
          <w:b/>
          <w:color w:val="000000"/>
        </w:rPr>
        <w:t>22</w:t>
      </w:r>
      <w:r w:rsidRPr="00BD68B3">
        <w:rPr>
          <w:rFonts w:ascii="Times New Roman" w:hAnsi="Times New Roman" w:cs="Times New Roman"/>
          <w:b/>
          <w:color w:val="000000"/>
        </w:rPr>
        <w:t>/</w:t>
      </w:r>
      <w:r w:rsidR="00BD68B3" w:rsidRPr="00BD68B3">
        <w:rPr>
          <w:rFonts w:ascii="Times New Roman" w:hAnsi="Times New Roman" w:cs="Times New Roman"/>
          <w:b/>
          <w:color w:val="000000"/>
        </w:rPr>
        <w:t>DAP</w:t>
      </w:r>
      <w:r w:rsidRPr="00BD68B3">
        <w:rPr>
          <w:rFonts w:ascii="Times New Roman" w:hAnsi="Times New Roman" w:cs="Times New Roman"/>
          <w:b/>
          <w:color w:val="000000"/>
        </w:rPr>
        <w:t>/</w:t>
      </w:r>
      <w:r w:rsidR="00BD68B3" w:rsidRPr="00BD68B3">
        <w:rPr>
          <w:rFonts w:ascii="Times New Roman" w:hAnsi="Times New Roman" w:cs="Times New Roman"/>
          <w:b/>
          <w:color w:val="000000"/>
        </w:rPr>
        <w:t>CPET</w:t>
      </w:r>
      <w:r w:rsidRPr="00BD68B3">
        <w:rPr>
          <w:rFonts w:ascii="Times New Roman" w:hAnsi="Times New Roman" w:cs="Times New Roman"/>
          <w:b/>
          <w:color w:val="000000"/>
        </w:rPr>
        <w:t>/</w:t>
      </w:r>
      <w:proofErr w:type="spellStart"/>
      <w:r w:rsidRPr="00BD68B3">
        <w:rPr>
          <w:rFonts w:ascii="Times New Roman" w:hAnsi="Times New Roman" w:cs="Times New Roman"/>
          <w:b/>
          <w:color w:val="000000"/>
        </w:rPr>
        <w:t>IF</w:t>
      </w:r>
      <w:r w:rsidRPr="00BD68B3">
        <w:rPr>
          <w:rFonts w:ascii="Times New Roman" w:hAnsi="Times New Roman" w:cs="Times New Roman"/>
          <w:b/>
          <w:color w:val="000000"/>
        </w:rPr>
        <w:t>Sert</w:t>
      </w:r>
      <w:r w:rsidR="00BD68B3" w:rsidRPr="00BD68B3">
        <w:rPr>
          <w:rFonts w:ascii="Times New Roman" w:hAnsi="Times New Roman" w:cs="Times New Roman"/>
          <w:b/>
          <w:color w:val="000000"/>
        </w:rPr>
        <w:t>ã</w:t>
      </w:r>
      <w:r w:rsidRPr="00BD68B3">
        <w:rPr>
          <w:rFonts w:ascii="Times New Roman" w:hAnsi="Times New Roman" w:cs="Times New Roman"/>
          <w:b/>
          <w:color w:val="000000"/>
        </w:rPr>
        <w:t>o</w:t>
      </w:r>
      <w:r w:rsidRPr="00BD68B3">
        <w:rPr>
          <w:rFonts w:ascii="Times New Roman" w:hAnsi="Times New Roman" w:cs="Times New Roman"/>
          <w:b/>
          <w:color w:val="000000"/>
        </w:rPr>
        <w:t>PE</w:t>
      </w:r>
      <w:proofErr w:type="spellEnd"/>
    </w:p>
    <w:p w14:paraId="5971708A" w14:textId="77777777" w:rsidR="00BF0F2E" w:rsidRPr="00BD68B3" w:rsidRDefault="00BF0F2E">
      <w:pPr>
        <w:spacing w:line="36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5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5"/>
      </w:tblGrid>
      <w:tr w:rsidR="00BF0F2E" w:rsidRPr="00BD68B3" w14:paraId="7ADA753D" w14:textId="77777777"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66"/>
          </w:tcPr>
          <w:p w14:paraId="6FF73C8A" w14:textId="77777777" w:rsidR="00BF0F2E" w:rsidRPr="00BD68B3" w:rsidRDefault="000B5807">
            <w:pPr>
              <w:spacing w:before="113" w:line="360" w:lineRule="auto"/>
              <w:rPr>
                <w:rFonts w:ascii="Times New Roman" w:hAnsi="Times New Roman" w:cs="Times New Roman"/>
              </w:rPr>
            </w:pPr>
            <w:r w:rsidRPr="00BD68B3">
              <w:rPr>
                <w:rFonts w:ascii="Times New Roman" w:hAnsi="Times New Roman" w:cs="Times New Roman"/>
                <w:b/>
              </w:rPr>
              <w:t>I – RELATÓRIO</w:t>
            </w:r>
          </w:p>
        </w:tc>
      </w:tr>
    </w:tbl>
    <w:p w14:paraId="29D08FC9" w14:textId="77777777" w:rsidR="00BF0F2E" w:rsidRPr="00BD68B3" w:rsidRDefault="000B5807">
      <w:pPr>
        <w:widowControl/>
        <w:spacing w:before="284" w:after="228"/>
        <w:ind w:left="227"/>
        <w:jc w:val="both"/>
        <w:rPr>
          <w:rFonts w:ascii="Times New Roman" w:hAnsi="Times New Roman" w:cs="Times New Roman"/>
        </w:rPr>
      </w:pPr>
      <w:r w:rsidRPr="00BD68B3">
        <w:rPr>
          <w:rFonts w:ascii="Times New Roman" w:eastAsia="Times New Roman" w:hAnsi="Times New Roman" w:cs="Times New Roman"/>
          <w:color w:val="000000"/>
        </w:rPr>
        <w:t>1. Trata-se da análise da viabilidade a</w:t>
      </w:r>
      <w:r w:rsidRPr="00BD68B3">
        <w:rPr>
          <w:rFonts w:ascii="Times New Roman" w:eastAsia="Times New Roman" w:hAnsi="Times New Roman" w:cs="Times New Roman"/>
          <w:color w:val="000000"/>
        </w:rPr>
        <w:t>dministrativa e institucional a ser realizada sob a perspectiva de probabilidade e impacto de ocorrência da aquisição pretendida, considerando os elementos essenciais que servirão para compor o termo de referência ou projeto básico com base na oficializaçã</w:t>
      </w:r>
      <w:r w:rsidRPr="00BD68B3">
        <w:rPr>
          <w:rFonts w:ascii="Times New Roman" w:eastAsia="Times New Roman" w:hAnsi="Times New Roman" w:cs="Times New Roman"/>
          <w:color w:val="000000"/>
        </w:rPr>
        <w:t>o da demanda e estudo técnico preliminar.</w:t>
      </w:r>
    </w:p>
    <w:p w14:paraId="4128D7C7" w14:textId="2553283C" w:rsidR="00BF0F2E" w:rsidRPr="00BD68B3" w:rsidRDefault="000B5807">
      <w:pPr>
        <w:ind w:left="227"/>
        <w:jc w:val="both"/>
        <w:rPr>
          <w:rFonts w:ascii="Times New Roman" w:eastAsia="Times New Roman" w:hAnsi="Times New Roman" w:cs="Times New Roman"/>
          <w:b/>
          <w:color w:val="FF0000"/>
          <w:highlight w:val="yellow"/>
        </w:rPr>
      </w:pPr>
      <w:r w:rsidRPr="00BD68B3">
        <w:rPr>
          <w:rFonts w:ascii="Times New Roman" w:hAnsi="Times New Roman" w:cs="Times New Roman"/>
          <w:color w:val="000000"/>
        </w:rPr>
        <w:t xml:space="preserve">2. Para análise da viabilidade da aquisição serão considerados dentre outros elementos que compõem o planejamento inicial da aquisição a </w:t>
      </w:r>
      <w:r w:rsidRPr="00BD68B3">
        <w:rPr>
          <w:rFonts w:ascii="Times New Roman" w:hAnsi="Times New Roman" w:cs="Times New Roman"/>
          <w:b/>
          <w:color w:val="000000"/>
        </w:rPr>
        <w:t>justificativa da necessidade, estimativa da quantidade com a respectiva memór</w:t>
      </w:r>
      <w:r w:rsidRPr="00BD68B3">
        <w:rPr>
          <w:rFonts w:ascii="Times New Roman" w:hAnsi="Times New Roman" w:cs="Times New Roman"/>
          <w:b/>
          <w:color w:val="000000"/>
        </w:rPr>
        <w:t>ia de cálculo e a estimativa de preços (preços referenciais)</w:t>
      </w:r>
      <w:r w:rsidRPr="00BD68B3">
        <w:rPr>
          <w:rFonts w:ascii="Times New Roman" w:hAnsi="Times New Roman" w:cs="Times New Roman"/>
          <w:b/>
        </w:rPr>
        <w:t xml:space="preserve">, </w:t>
      </w:r>
      <w:r w:rsidRPr="00BD68B3">
        <w:rPr>
          <w:rFonts w:ascii="Times New Roman" w:eastAsia="Times New Roman" w:hAnsi="Times New Roman" w:cs="Times New Roman"/>
        </w:rPr>
        <w:t>sendo viável a contratação e com base nas info</w:t>
      </w:r>
      <w:r w:rsidRPr="00BD68B3">
        <w:rPr>
          <w:rFonts w:ascii="Times New Roman" w:eastAsia="Times New Roman" w:hAnsi="Times New Roman" w:cs="Times New Roman"/>
          <w:color w:val="00000A"/>
        </w:rPr>
        <w:t xml:space="preserve">rmações do ETP e termo de referência </w:t>
      </w:r>
      <w:r w:rsidRPr="00BD68B3">
        <w:rPr>
          <w:rFonts w:ascii="Times New Roman" w:eastAsia="Times New Roman" w:hAnsi="Times New Roman" w:cs="Times New Roman"/>
          <w:color w:val="00000A"/>
        </w:rPr>
        <w:t>definir a modalidade/</w:t>
      </w:r>
      <w:r w:rsidRPr="00BD68B3">
        <w:rPr>
          <w:rFonts w:ascii="Times New Roman" w:eastAsia="Times New Roman" w:hAnsi="Times New Roman" w:cs="Times New Roman"/>
          <w:b/>
          <w:color w:val="00000A"/>
        </w:rPr>
        <w:t>adesão da ata.</w:t>
      </w:r>
    </w:p>
    <w:p w14:paraId="56EACB41" w14:textId="77777777" w:rsidR="00BF0F2E" w:rsidRPr="00BD68B3" w:rsidRDefault="00BF0F2E">
      <w:pPr>
        <w:ind w:left="227"/>
        <w:jc w:val="both"/>
        <w:rPr>
          <w:rFonts w:ascii="Times New Roman" w:hAnsi="Times New Roman" w:cs="Times New Roman"/>
          <w:b/>
        </w:rPr>
      </w:pPr>
    </w:p>
    <w:p w14:paraId="08844DEA" w14:textId="77777777" w:rsidR="00BF0F2E" w:rsidRPr="00BD68B3" w:rsidRDefault="000B5807">
      <w:pPr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  <w:b/>
          <w:color w:val="FF3333"/>
        </w:rPr>
        <w:t xml:space="preserve"> </w:t>
      </w:r>
    </w:p>
    <w:tbl>
      <w:tblPr>
        <w:tblStyle w:val="a0"/>
        <w:tblW w:w="95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5"/>
      </w:tblGrid>
      <w:tr w:rsidR="00BF0F2E" w:rsidRPr="00BD68B3" w14:paraId="62C0EA6A" w14:textId="77777777"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66"/>
          </w:tcPr>
          <w:p w14:paraId="56ADC08E" w14:textId="77777777" w:rsidR="00BF0F2E" w:rsidRPr="00BD68B3" w:rsidRDefault="000B5807">
            <w:pPr>
              <w:spacing w:before="57" w:after="57" w:line="360" w:lineRule="auto"/>
              <w:rPr>
                <w:rFonts w:ascii="Times New Roman" w:hAnsi="Times New Roman" w:cs="Times New Roman"/>
              </w:rPr>
            </w:pPr>
            <w:r w:rsidRPr="00BD68B3">
              <w:rPr>
                <w:rFonts w:ascii="Times New Roman" w:hAnsi="Times New Roman" w:cs="Times New Roman"/>
                <w:b/>
                <w:color w:val="000000"/>
              </w:rPr>
              <w:t>II – DA ANÁLISE</w:t>
            </w:r>
          </w:p>
        </w:tc>
      </w:tr>
    </w:tbl>
    <w:p w14:paraId="1DEDD4C1" w14:textId="77777777" w:rsidR="00BF0F2E" w:rsidRPr="00BD68B3" w:rsidRDefault="000B5807">
      <w:pPr>
        <w:spacing w:before="57" w:after="57" w:line="360" w:lineRule="auto"/>
        <w:ind w:left="227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  <w:b/>
        </w:rPr>
        <w:t>II.1 Justificativa da Necessidade</w:t>
      </w:r>
    </w:p>
    <w:p w14:paraId="4807A756" w14:textId="77777777" w:rsidR="00BF0F2E" w:rsidRPr="00BD68B3" w:rsidRDefault="000B5807">
      <w:pPr>
        <w:widowControl/>
        <w:ind w:left="227"/>
        <w:jc w:val="both"/>
        <w:rPr>
          <w:rFonts w:ascii="Times New Roman" w:hAnsi="Times New Roman" w:cs="Times New Roman"/>
        </w:rPr>
      </w:pPr>
      <w:r w:rsidRPr="00BD68B3">
        <w:rPr>
          <w:rFonts w:ascii="Times New Roman" w:eastAsia="Times New Roman" w:hAnsi="Times New Roman" w:cs="Times New Roman"/>
          <w:color w:val="000000"/>
        </w:rPr>
        <w:t xml:space="preserve">3. Especificamente no que toca ao procedimento licitatório na </w:t>
      </w:r>
      <w:r w:rsidRPr="00BD68B3">
        <w:rPr>
          <w:rFonts w:ascii="Times New Roman" w:eastAsia="Times New Roman" w:hAnsi="Times New Roman" w:cs="Times New Roman"/>
          <w:b/>
          <w:color w:val="000000"/>
          <w:u w:val="single"/>
        </w:rPr>
        <w:t>modalidade de pregão</w:t>
      </w:r>
      <w:r w:rsidRPr="00BD68B3">
        <w:rPr>
          <w:rFonts w:ascii="Times New Roman" w:eastAsia="Times New Roman" w:hAnsi="Times New Roman" w:cs="Times New Roman"/>
          <w:color w:val="000000"/>
        </w:rPr>
        <w:t>, o</w:t>
      </w:r>
      <w:r w:rsidRPr="00BD68B3">
        <w:rPr>
          <w:rFonts w:ascii="Times New Roman" w:hAnsi="Times New Roman" w:cs="Times New Roman"/>
        </w:rPr>
        <w:t xml:space="preserve"> 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art. 3º, inciso I, da Lei nº 10.520/02 </w:t>
      </w:r>
      <w:r w:rsidRPr="00BD68B3">
        <w:rPr>
          <w:rFonts w:ascii="Times New Roman" w:hAnsi="Times New Roman" w:cs="Times New Roman"/>
        </w:rPr>
        <w:t>impõe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 expressamente a obrigatoriedade de justificar a necessidade da contratação/aquisição, assim como a </w:t>
      </w:r>
      <w:r w:rsidRPr="00BD68B3">
        <w:rPr>
          <w:rFonts w:ascii="Times New Roman" w:eastAsia="Times New Roman" w:hAnsi="Times New Roman" w:cs="Times New Roman"/>
          <w:b/>
          <w:color w:val="000000"/>
        </w:rPr>
        <w:t>IN nº 5, de 26 de maio de 2017 – SEGES/MPDG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, que dispõe sobre a contratação de serviços por órgãos ou entidades integrantes do Sistema de Serviços Gerais – </w:t>
      </w:r>
      <w:r w:rsidRPr="00BD68B3">
        <w:rPr>
          <w:rFonts w:ascii="Times New Roman" w:eastAsia="Times New Roman" w:hAnsi="Times New Roman" w:cs="Times New Roman"/>
          <w:color w:val="000000"/>
        </w:rPr>
        <w:t>SISG, estabelece diretrizes para a justificativa da necessidade da contratação de serviços.</w:t>
      </w:r>
    </w:p>
    <w:p w14:paraId="68AB630F" w14:textId="77777777" w:rsidR="00BF0F2E" w:rsidRPr="00BD68B3" w:rsidRDefault="00BF0F2E">
      <w:pPr>
        <w:widowControl/>
        <w:ind w:left="227"/>
        <w:jc w:val="both"/>
        <w:rPr>
          <w:rFonts w:ascii="Times New Roman" w:eastAsia="Times New Roman" w:hAnsi="Times New Roman" w:cs="Times New Roman"/>
          <w:color w:val="000000"/>
        </w:rPr>
      </w:pPr>
    </w:p>
    <w:p w14:paraId="120427F8" w14:textId="77777777" w:rsidR="00BF0F2E" w:rsidRPr="00BD68B3" w:rsidRDefault="000B5807">
      <w:pPr>
        <w:widowControl/>
        <w:spacing w:before="57" w:after="57"/>
        <w:ind w:left="227"/>
        <w:jc w:val="both"/>
        <w:rPr>
          <w:rFonts w:ascii="Times New Roman" w:hAnsi="Times New Roman" w:cs="Times New Roman"/>
        </w:rPr>
      </w:pPr>
      <w:r w:rsidRPr="00BD68B3">
        <w:rPr>
          <w:rFonts w:ascii="Times New Roman" w:eastAsia="Times New Roman" w:hAnsi="Times New Roman" w:cs="Times New Roman"/>
          <w:color w:val="000000"/>
        </w:rPr>
        <w:t xml:space="preserve">4. A justificativa, em regra, deve ser apresentada pelo setor demandante. Quando o objeto possuir características técnicas especializadas, deve o setor demandante 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solicitar </w:t>
      </w:r>
      <w:r w:rsidRPr="00BD68B3">
        <w:rPr>
          <w:rFonts w:ascii="Times New Roman" w:eastAsia="Times New Roman" w:hAnsi="Times New Roman" w:cs="Times New Roman"/>
        </w:rPr>
        <w:t>à unidade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 técnica competente (Diretoria de Obras ou de TI, por exemplo) a definição das suas especificações, e, se for o caso, do quantitativo a ser adquirido.</w:t>
      </w:r>
    </w:p>
    <w:p w14:paraId="447E0FB0" w14:textId="4F5BD942" w:rsidR="00BF0F2E" w:rsidRPr="00BD68B3" w:rsidRDefault="000B5807">
      <w:pPr>
        <w:widowControl/>
        <w:spacing w:before="114" w:after="114"/>
        <w:ind w:left="227"/>
        <w:jc w:val="both"/>
        <w:rPr>
          <w:rFonts w:ascii="Times New Roman" w:hAnsi="Times New Roman" w:cs="Times New Roman"/>
        </w:rPr>
      </w:pPr>
      <w:r w:rsidRPr="00BD68B3">
        <w:rPr>
          <w:rFonts w:ascii="Times New Roman" w:eastAsia="Times New Roman" w:hAnsi="Times New Roman" w:cs="Times New Roman"/>
        </w:rPr>
        <w:t xml:space="preserve">5. No presente caso, </w:t>
      </w:r>
      <w:r w:rsidR="00BD68B3" w:rsidRPr="00BD68B3">
        <w:rPr>
          <w:rFonts w:ascii="Times New Roman" w:eastAsia="Times New Roman" w:hAnsi="Times New Roman" w:cs="Times New Roman"/>
        </w:rPr>
        <w:t xml:space="preserve">o Campus Petrolina justificou </w:t>
      </w:r>
      <w:r w:rsidRPr="00BD68B3">
        <w:rPr>
          <w:rFonts w:ascii="Times New Roman" w:eastAsia="Times New Roman" w:hAnsi="Times New Roman" w:cs="Times New Roman"/>
        </w:rPr>
        <w:t>a necessidade da aquisição</w:t>
      </w:r>
      <w:r w:rsidRPr="00BD68B3">
        <w:rPr>
          <w:rFonts w:ascii="Times New Roman" w:eastAsia="Times New Roman" w:hAnsi="Times New Roman" w:cs="Times New Roman"/>
        </w:rPr>
        <w:t xml:space="preserve">, conforme   constam em Tópico específico dos Estudos Técnicos Preliminares ou no Item </w:t>
      </w:r>
      <w:r w:rsidR="00BD68B3" w:rsidRPr="00BD68B3">
        <w:rPr>
          <w:rFonts w:ascii="Times New Roman" w:eastAsia="Times New Roman" w:hAnsi="Times New Roman" w:cs="Times New Roman"/>
        </w:rPr>
        <w:t>2</w:t>
      </w:r>
      <w:r w:rsidRPr="00BD68B3">
        <w:rPr>
          <w:rFonts w:ascii="Times New Roman" w:eastAsia="Times New Roman" w:hAnsi="Times New Roman" w:cs="Times New Roman"/>
        </w:rPr>
        <w:t xml:space="preserve"> do Termo de Referência</w:t>
      </w:r>
      <w:r w:rsidR="00BD68B3" w:rsidRPr="00BD68B3">
        <w:rPr>
          <w:rFonts w:ascii="Times New Roman" w:eastAsia="Times New Roman" w:hAnsi="Times New Roman" w:cs="Times New Roman"/>
        </w:rPr>
        <w:t>.</w:t>
      </w:r>
    </w:p>
    <w:p w14:paraId="1783F049" w14:textId="251EDCE7" w:rsidR="00BF0F2E" w:rsidRPr="00BD68B3" w:rsidRDefault="000B5807" w:rsidP="00BD68B3">
      <w:pPr>
        <w:widowControl/>
        <w:spacing w:before="114" w:after="114"/>
        <w:ind w:left="720"/>
        <w:jc w:val="both"/>
        <w:rPr>
          <w:rFonts w:ascii="Times New Roman" w:eastAsia="Times New Roman" w:hAnsi="Times New Roman" w:cs="Times New Roman"/>
        </w:rPr>
      </w:pPr>
      <w:r w:rsidRPr="00BD68B3">
        <w:rPr>
          <w:rFonts w:ascii="Times New Roman" w:eastAsia="Times New Roman" w:hAnsi="Times New Roman" w:cs="Times New Roman"/>
        </w:rPr>
        <w:t>5.1 Na identificação da necessidade, a justificativa da contratação com exposição da sua motivação e dos benefícios dela resultantes, foi</w:t>
      </w:r>
      <w:r w:rsidRPr="00BD68B3">
        <w:rPr>
          <w:rFonts w:ascii="Times New Roman" w:eastAsia="Times New Roman" w:hAnsi="Times New Roman" w:cs="Times New Roman"/>
        </w:rPr>
        <w:t xml:space="preserve"> retratada especificamente</w:t>
      </w:r>
      <w:r w:rsidR="00BD68B3" w:rsidRPr="00BD68B3">
        <w:rPr>
          <w:rFonts w:ascii="Times New Roman" w:eastAsia="Times New Roman" w:hAnsi="Times New Roman" w:cs="Times New Roman"/>
        </w:rPr>
        <w:t xml:space="preserve"> pelo Campus Petrolina, </w:t>
      </w:r>
      <w:r w:rsidRPr="00BD68B3">
        <w:rPr>
          <w:rFonts w:ascii="Times New Roman" w:eastAsia="Times New Roman" w:hAnsi="Times New Roman" w:cs="Times New Roman"/>
        </w:rPr>
        <w:t>de acordo com a obrigatoriedade imposta pela legislação em vigor.</w:t>
      </w:r>
    </w:p>
    <w:p w14:paraId="2C0D487C" w14:textId="14A28A3A" w:rsidR="00BD68B3" w:rsidRPr="00BD68B3" w:rsidRDefault="00BD68B3" w:rsidP="00BD68B3">
      <w:pPr>
        <w:widowControl/>
        <w:spacing w:before="114" w:after="114"/>
        <w:ind w:left="720"/>
        <w:jc w:val="both"/>
        <w:rPr>
          <w:rFonts w:ascii="Times New Roman" w:eastAsia="Times New Roman" w:hAnsi="Times New Roman" w:cs="Times New Roman"/>
          <w:color w:val="FF3333"/>
        </w:rPr>
      </w:pPr>
    </w:p>
    <w:p w14:paraId="3A9D89FE" w14:textId="77777777" w:rsidR="00BD68B3" w:rsidRPr="00BD68B3" w:rsidRDefault="00BD68B3" w:rsidP="00BD68B3">
      <w:pPr>
        <w:widowControl/>
        <w:spacing w:before="114" w:after="114"/>
        <w:ind w:left="720"/>
        <w:jc w:val="both"/>
        <w:rPr>
          <w:rFonts w:ascii="Times New Roman" w:eastAsia="Times New Roman" w:hAnsi="Times New Roman" w:cs="Times New Roman"/>
          <w:color w:val="FF3333"/>
        </w:rPr>
      </w:pPr>
    </w:p>
    <w:p w14:paraId="3BA5CD2D" w14:textId="77777777" w:rsidR="00BF0F2E" w:rsidRPr="00BD68B3" w:rsidRDefault="000B5807">
      <w:pPr>
        <w:spacing w:line="360" w:lineRule="auto"/>
        <w:ind w:left="283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  <w:b/>
        </w:rPr>
        <w:lastRenderedPageBreak/>
        <w:t>II.2.</w:t>
      </w:r>
      <w:r w:rsidRPr="00BD68B3">
        <w:rPr>
          <w:rFonts w:ascii="Times New Roman" w:hAnsi="Times New Roman" w:cs="Times New Roman"/>
        </w:rPr>
        <w:t xml:space="preserve"> </w:t>
      </w:r>
      <w:r w:rsidRPr="00BD68B3">
        <w:rPr>
          <w:rFonts w:ascii="Times New Roman" w:hAnsi="Times New Roman" w:cs="Times New Roman"/>
          <w:b/>
        </w:rPr>
        <w:t>Estimativa da Quantidade (Memória de Cálculo)</w:t>
      </w:r>
    </w:p>
    <w:p w14:paraId="62BD1B13" w14:textId="77777777" w:rsidR="00BF0F2E" w:rsidRPr="00BD68B3" w:rsidRDefault="000B5807">
      <w:pPr>
        <w:ind w:left="283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  <w:color w:val="000000"/>
        </w:rPr>
        <w:t>6. A Administração deverá observar o disposto no art. 15, §7º, II, da Lei nº 8.666/93, justificando as quantidades a serem adquiridas em função do consumo do órgão e provável utilização, devendo a estimativa ser obtida, a partir de fatos concretos (</w:t>
      </w:r>
      <w:proofErr w:type="spellStart"/>
      <w:r w:rsidRPr="00BD68B3">
        <w:rPr>
          <w:rFonts w:ascii="Times New Roman" w:hAnsi="Times New Roman" w:cs="Times New Roman"/>
          <w:color w:val="000000"/>
        </w:rPr>
        <w:t>Ex</w:t>
      </w:r>
      <w:proofErr w:type="spellEnd"/>
      <w:r w:rsidRPr="00BD68B3">
        <w:rPr>
          <w:rFonts w:ascii="Times New Roman" w:hAnsi="Times New Roman" w:cs="Times New Roman"/>
          <w:color w:val="000000"/>
        </w:rPr>
        <w:t>: con</w:t>
      </w:r>
      <w:r w:rsidRPr="00BD68B3">
        <w:rPr>
          <w:rFonts w:ascii="Times New Roman" w:hAnsi="Times New Roman" w:cs="Times New Roman"/>
          <w:color w:val="000000"/>
        </w:rPr>
        <w:t xml:space="preserve">sumo do exercício anterior, necessidade de substituição dos bens atualmente disponíveis, implantação de setor, acréscimo de atividades, </w:t>
      </w:r>
      <w:proofErr w:type="spellStart"/>
      <w:r w:rsidRPr="00BD68B3">
        <w:rPr>
          <w:rFonts w:ascii="Times New Roman" w:hAnsi="Times New Roman" w:cs="Times New Roman"/>
          <w:color w:val="000000"/>
        </w:rPr>
        <w:t>etc</w:t>
      </w:r>
      <w:proofErr w:type="spellEnd"/>
      <w:r w:rsidRPr="00BD68B3">
        <w:rPr>
          <w:rFonts w:ascii="Times New Roman" w:hAnsi="Times New Roman" w:cs="Times New Roman"/>
          <w:color w:val="000000"/>
        </w:rPr>
        <w:t>).</w:t>
      </w:r>
    </w:p>
    <w:p w14:paraId="0BC49F0B" w14:textId="77777777" w:rsidR="00BF0F2E" w:rsidRPr="00BD68B3" w:rsidRDefault="000B5807">
      <w:pPr>
        <w:spacing w:line="360" w:lineRule="auto"/>
        <w:ind w:left="283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  <w:color w:val="000000"/>
        </w:rPr>
        <w:t xml:space="preserve"> </w:t>
      </w:r>
    </w:p>
    <w:p w14:paraId="11161522" w14:textId="77777777" w:rsidR="00BF0F2E" w:rsidRPr="00BD68B3" w:rsidRDefault="000B5807">
      <w:pPr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  <w:color w:val="000000"/>
        </w:rPr>
        <w:t>7. Para se justificar a quantidade que se pretende adquirir/contratar é necessário estabelecer parâmetros que vã</w:t>
      </w:r>
      <w:r w:rsidRPr="00BD68B3">
        <w:rPr>
          <w:rFonts w:ascii="Times New Roman" w:hAnsi="Times New Roman" w:cs="Times New Roman"/>
          <w:color w:val="000000"/>
        </w:rPr>
        <w:t>o demonstrar previamente, de maneira metódica e didática, através de memória de cálculo detalhada, a demanda que tendam o órgão.</w:t>
      </w:r>
    </w:p>
    <w:p w14:paraId="17356C4E" w14:textId="77777777" w:rsidR="00BF0F2E" w:rsidRPr="00BD68B3" w:rsidRDefault="00BF0F2E">
      <w:pPr>
        <w:spacing w:line="276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7BA24845" w14:textId="68E0DDE4" w:rsidR="00BF0F2E" w:rsidRPr="00BD68B3" w:rsidRDefault="000B5807" w:rsidP="0040621F">
      <w:pPr>
        <w:widowControl/>
        <w:ind w:left="283"/>
        <w:jc w:val="both"/>
        <w:rPr>
          <w:rFonts w:ascii="Times New Roman" w:eastAsia="Times New Roman" w:hAnsi="Times New Roman" w:cs="Times New Roman"/>
          <w:color w:val="FF3333"/>
        </w:rPr>
      </w:pPr>
      <w:r w:rsidRPr="0040621F">
        <w:rPr>
          <w:rFonts w:ascii="Times New Roman" w:eastAsia="Times New Roman" w:hAnsi="Times New Roman" w:cs="Times New Roman"/>
        </w:rPr>
        <w:t>8. No presente caso, os quantitativos foram estabelecidos na Memória de Cálculo emitida por Setor das Unidades do IF Sertão-PE</w:t>
      </w:r>
      <w:r w:rsidR="0040621F" w:rsidRPr="0040621F">
        <w:rPr>
          <w:rFonts w:ascii="Times New Roman" w:eastAsia="Times New Roman" w:hAnsi="Times New Roman" w:cs="Times New Roman"/>
        </w:rPr>
        <w:t>/Campus Petrolina</w:t>
      </w:r>
      <w:r w:rsidRPr="0040621F">
        <w:rPr>
          <w:rFonts w:ascii="Times New Roman" w:eastAsia="Times New Roman" w:hAnsi="Times New Roman" w:cs="Times New Roman"/>
        </w:rPr>
        <w:t xml:space="preserve">, fazendo constar no </w:t>
      </w:r>
      <w:r w:rsidRPr="0040621F">
        <w:rPr>
          <w:rFonts w:ascii="Times New Roman" w:eastAsia="Times New Roman" w:hAnsi="Times New Roman" w:cs="Times New Roman"/>
          <w:u w:val="single"/>
        </w:rPr>
        <w:t>Sistema de Controle de Aquisição de Bens e Serviços – SICABS</w:t>
      </w:r>
      <w:r w:rsidRPr="0040621F">
        <w:rPr>
          <w:rFonts w:ascii="Times New Roman" w:eastAsia="Times New Roman" w:hAnsi="Times New Roman" w:cs="Times New Roman"/>
        </w:rPr>
        <w:t xml:space="preserve"> </w:t>
      </w:r>
      <w:r w:rsidR="0040621F" w:rsidRPr="0040621F">
        <w:rPr>
          <w:rFonts w:ascii="Times New Roman" w:eastAsia="Times New Roman" w:hAnsi="Times New Roman" w:cs="Times New Roman"/>
        </w:rPr>
        <w:t>e/</w:t>
      </w:r>
      <w:r w:rsidRPr="0040621F">
        <w:rPr>
          <w:rFonts w:ascii="Times New Roman" w:eastAsia="Times New Roman" w:hAnsi="Times New Roman" w:cs="Times New Roman"/>
        </w:rPr>
        <w:t xml:space="preserve">ou no </w:t>
      </w:r>
      <w:r w:rsidRPr="0040621F">
        <w:rPr>
          <w:rFonts w:ascii="Times New Roman" w:eastAsia="Times New Roman" w:hAnsi="Times New Roman" w:cs="Times New Roman"/>
          <w:u w:val="single"/>
        </w:rPr>
        <w:t>Documento de Formalização da Demanda</w:t>
      </w:r>
      <w:r w:rsidRPr="0040621F">
        <w:rPr>
          <w:rFonts w:ascii="Times New Roman" w:eastAsia="Times New Roman" w:hAnsi="Times New Roman" w:cs="Times New Roman"/>
        </w:rPr>
        <w:t xml:space="preserve">. Os quantitativos estimados, segundo a memória de cálculo, foram baseados no </w:t>
      </w:r>
      <w:r w:rsidRPr="0040621F">
        <w:rPr>
          <w:rFonts w:ascii="Times New Roman" w:eastAsia="Times New Roman" w:hAnsi="Times New Roman" w:cs="Times New Roman"/>
        </w:rPr>
        <w:t xml:space="preserve">consumo </w:t>
      </w:r>
      <w:r w:rsidR="0040621F" w:rsidRPr="0040621F">
        <w:rPr>
          <w:rFonts w:ascii="Times New Roman" w:eastAsia="Times New Roman" w:hAnsi="Times New Roman" w:cs="Times New Roman"/>
        </w:rPr>
        <w:t xml:space="preserve">conforme as aulas práticas </w:t>
      </w:r>
      <w:r w:rsidRPr="0040621F">
        <w:rPr>
          <w:rFonts w:ascii="Times New Roman" w:eastAsia="Times New Roman" w:hAnsi="Times New Roman" w:cs="Times New Roman"/>
        </w:rPr>
        <w:t>do</w:t>
      </w:r>
      <w:r w:rsidR="0040621F" w:rsidRPr="0040621F">
        <w:rPr>
          <w:rFonts w:ascii="Times New Roman" w:eastAsia="Times New Roman" w:hAnsi="Times New Roman" w:cs="Times New Roman"/>
        </w:rPr>
        <w:t>s</w:t>
      </w:r>
      <w:r w:rsidRPr="0040621F">
        <w:rPr>
          <w:rFonts w:ascii="Times New Roman" w:eastAsia="Times New Roman" w:hAnsi="Times New Roman" w:cs="Times New Roman"/>
        </w:rPr>
        <w:t xml:space="preserve"> exercício</w:t>
      </w:r>
      <w:r w:rsidR="0040621F" w:rsidRPr="0040621F">
        <w:rPr>
          <w:rFonts w:ascii="Times New Roman" w:eastAsia="Times New Roman" w:hAnsi="Times New Roman" w:cs="Times New Roman"/>
        </w:rPr>
        <w:t>s</w:t>
      </w:r>
      <w:r w:rsidRPr="0040621F">
        <w:rPr>
          <w:rFonts w:ascii="Times New Roman" w:eastAsia="Times New Roman" w:hAnsi="Times New Roman" w:cs="Times New Roman"/>
        </w:rPr>
        <w:t xml:space="preserve"> anterior</w:t>
      </w:r>
      <w:r w:rsidR="0040621F" w:rsidRPr="0040621F">
        <w:rPr>
          <w:rFonts w:ascii="Times New Roman" w:eastAsia="Times New Roman" w:hAnsi="Times New Roman" w:cs="Times New Roman"/>
        </w:rPr>
        <w:t>es</w:t>
      </w:r>
      <w:r w:rsidRPr="0040621F">
        <w:rPr>
          <w:rFonts w:ascii="Times New Roman" w:eastAsia="Times New Roman" w:hAnsi="Times New Roman" w:cs="Times New Roman"/>
        </w:rPr>
        <w:t>,</w:t>
      </w:r>
      <w:r w:rsidRPr="0040621F">
        <w:rPr>
          <w:rFonts w:ascii="Times New Roman" w:eastAsia="Times New Roman" w:hAnsi="Times New Roman" w:cs="Times New Roman"/>
        </w:rPr>
        <w:t xml:space="preserve"> visando atender </w:t>
      </w:r>
      <w:r w:rsidR="0040621F" w:rsidRPr="0040621F">
        <w:rPr>
          <w:rFonts w:ascii="Times New Roman" w:hAnsi="Times New Roman" w:cs="Times New Roman"/>
        </w:rPr>
        <w:t>à</w:t>
      </w:r>
      <w:r w:rsidR="0040621F" w:rsidRPr="0040621F">
        <w:rPr>
          <w:rFonts w:ascii="Times New Roman" w:hAnsi="Times New Roman" w:cs="Times New Roman"/>
        </w:rPr>
        <w:t xml:space="preserve">s demandas da Coordenação de Tecnologia em Alimentos no LEA - Laboratório de Experimental de Alimentos </w:t>
      </w:r>
      <w:r w:rsidR="0040621F" w:rsidRPr="00F2689A">
        <w:rPr>
          <w:rFonts w:ascii="Times New Roman" w:hAnsi="Times New Roman" w:cs="Times New Roman"/>
        </w:rPr>
        <w:t>do Campus Petrolina para o exercício 2022</w:t>
      </w:r>
      <w:r w:rsidR="0040621F">
        <w:rPr>
          <w:rFonts w:ascii="Times New Roman" w:hAnsi="Times New Roman" w:cs="Times New Roman"/>
        </w:rPr>
        <w:t>0</w:t>
      </w:r>
      <w:r w:rsidR="0040621F" w:rsidRPr="00F2689A">
        <w:rPr>
          <w:rFonts w:ascii="Times New Roman" w:hAnsi="Times New Roman" w:cs="Times New Roman"/>
        </w:rPr>
        <w:t xml:space="preserve"> conforme PGC 2022</w:t>
      </w:r>
      <w:r w:rsidRPr="00BD68B3">
        <w:rPr>
          <w:rFonts w:ascii="Times New Roman" w:eastAsia="Times New Roman" w:hAnsi="Times New Roman" w:cs="Times New Roman"/>
          <w:color w:val="FF3333"/>
        </w:rPr>
        <w:t>.</w:t>
      </w:r>
    </w:p>
    <w:p w14:paraId="1BBB7B13" w14:textId="77777777" w:rsidR="00BF0F2E" w:rsidRPr="00BD68B3" w:rsidRDefault="00BF0F2E">
      <w:pPr>
        <w:widowControl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u w:val="single"/>
        </w:rPr>
      </w:pPr>
    </w:p>
    <w:p w14:paraId="026D530F" w14:textId="77777777" w:rsidR="00BF0F2E" w:rsidRPr="00BD68B3" w:rsidRDefault="000B5807">
      <w:pPr>
        <w:widowControl/>
        <w:spacing w:before="57" w:after="57" w:line="360" w:lineRule="auto"/>
        <w:ind w:left="227"/>
        <w:jc w:val="both"/>
        <w:rPr>
          <w:rFonts w:ascii="Times New Roman" w:hAnsi="Times New Roman" w:cs="Times New Roman"/>
        </w:rPr>
      </w:pPr>
      <w:r w:rsidRPr="00BD68B3">
        <w:rPr>
          <w:rFonts w:ascii="Times New Roman" w:eastAsia="Times New Roman" w:hAnsi="Times New Roman" w:cs="Times New Roman"/>
          <w:b/>
          <w:color w:val="000000"/>
        </w:rPr>
        <w:t>II.3. Estimativa de Preços (Preços Referenciais/Pesquisa de Preço)</w:t>
      </w:r>
    </w:p>
    <w:p w14:paraId="3718210B" w14:textId="77777777" w:rsidR="00BF0F2E" w:rsidRPr="00BD68B3" w:rsidRDefault="000B5807">
      <w:pPr>
        <w:widowControl/>
        <w:spacing w:before="57" w:after="57"/>
        <w:ind w:left="227"/>
        <w:jc w:val="both"/>
        <w:rPr>
          <w:rFonts w:ascii="Times New Roman" w:hAnsi="Times New Roman" w:cs="Times New Roman"/>
        </w:rPr>
      </w:pPr>
      <w:r w:rsidRPr="00BD68B3">
        <w:rPr>
          <w:rFonts w:ascii="Times New Roman" w:eastAsia="Times New Roman" w:hAnsi="Times New Roman" w:cs="Times New Roman"/>
          <w:color w:val="000000"/>
        </w:rPr>
        <w:t>9. A ampla e adequada pesquisa de preços permite a correta estimativa do custo do objeto a ser adquirido/contratado em planilhas de quan</w:t>
      </w:r>
      <w:r w:rsidRPr="00BD68B3">
        <w:rPr>
          <w:rFonts w:ascii="Times New Roman" w:eastAsia="Times New Roman" w:hAnsi="Times New Roman" w:cs="Times New Roman"/>
          <w:color w:val="000000"/>
        </w:rPr>
        <w:t>titativos e preços unitários, define os recursos orçamentários suficientes para a cobertura das despesas e serve de balizamento para a análise das propostas dos licitantes, conforme dispõem o art. 7º, §2º, inciso II, o art. 15, inciso V, § 1º, o art. 40, §</w:t>
      </w:r>
      <w:r w:rsidRPr="00BD68B3">
        <w:rPr>
          <w:rFonts w:ascii="Times New Roman" w:eastAsia="Times New Roman" w:hAnsi="Times New Roman" w:cs="Times New Roman"/>
          <w:color w:val="000000"/>
        </w:rPr>
        <w:t>2º, inciso II, e o art. 43, incisos IV e V, todos da Lei nº 8.666/93.</w:t>
      </w:r>
    </w:p>
    <w:p w14:paraId="33B87E7D" w14:textId="77777777" w:rsidR="00BF0F2E" w:rsidRPr="00BD68B3" w:rsidRDefault="000B5807">
      <w:pPr>
        <w:widowControl/>
        <w:spacing w:before="57" w:after="57"/>
        <w:ind w:left="227"/>
        <w:jc w:val="both"/>
        <w:rPr>
          <w:rFonts w:ascii="Times New Roman" w:hAnsi="Times New Roman" w:cs="Times New Roman"/>
        </w:rPr>
      </w:pPr>
      <w:r w:rsidRPr="00BD68B3">
        <w:rPr>
          <w:rFonts w:ascii="Times New Roman" w:eastAsia="Times New Roman" w:hAnsi="Times New Roman" w:cs="Times New Roman"/>
          <w:color w:val="000000"/>
        </w:rPr>
        <w:t>10. Nesse ponto, destaca-se a INSTRUÇÃO NORMATIVA Nº 73, DE 5 DE AGOSTO DE 2020, que dispõe sobre novos procedimentos administrativos para a realização de pesquisa de preços para a aquis</w:t>
      </w:r>
      <w:r w:rsidRPr="00BD68B3">
        <w:rPr>
          <w:rFonts w:ascii="Times New Roman" w:eastAsia="Times New Roman" w:hAnsi="Times New Roman" w:cs="Times New Roman"/>
          <w:color w:val="000000"/>
        </w:rPr>
        <w:t>ição de bens e contratação de serviços em geral.</w:t>
      </w:r>
    </w:p>
    <w:p w14:paraId="47D94392" w14:textId="77777777" w:rsidR="00BF0F2E" w:rsidRPr="00BD68B3" w:rsidRDefault="000B5807">
      <w:pPr>
        <w:widowControl/>
        <w:spacing w:before="114" w:after="114"/>
        <w:ind w:left="227"/>
        <w:jc w:val="both"/>
        <w:rPr>
          <w:rFonts w:ascii="Times New Roman" w:hAnsi="Times New Roman" w:cs="Times New Roman"/>
        </w:rPr>
      </w:pPr>
      <w:r w:rsidRPr="00BD68B3">
        <w:rPr>
          <w:rFonts w:ascii="Times New Roman" w:eastAsia="Times New Roman" w:hAnsi="Times New Roman" w:cs="Times New Roman"/>
          <w:color w:val="000000"/>
        </w:rPr>
        <w:t>11. O TCU também se manifesta em relação ao assunto orientando que a Administração obtenha, no mínimo, três cotações válidas. Se não for possível, deve consignar a justificativa nos autos.</w:t>
      </w:r>
    </w:p>
    <w:p w14:paraId="750220C9" w14:textId="77777777" w:rsidR="00BF0F2E" w:rsidRPr="00BD68B3" w:rsidRDefault="000B5807">
      <w:pPr>
        <w:widowControl/>
        <w:spacing w:before="114" w:after="114"/>
        <w:ind w:left="283"/>
        <w:jc w:val="both"/>
        <w:rPr>
          <w:rFonts w:ascii="Times New Roman" w:hAnsi="Times New Roman" w:cs="Times New Roman"/>
        </w:rPr>
      </w:pPr>
      <w:r w:rsidRPr="00BD68B3">
        <w:rPr>
          <w:rFonts w:ascii="Times New Roman" w:eastAsia="Times New Roman" w:hAnsi="Times New Roman" w:cs="Times New Roman"/>
          <w:color w:val="000000"/>
        </w:rPr>
        <w:t>12. Insta destacar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 que as diligências concernentes à pesquisa de preços não se resumem à simples anexação de orçamentos das empresas nos autos, cabendo ao responsável a análise detida de cada proposta, não apenas sob seu aspecto formal (identificação da empresa, idoneidade,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 compatibilidade da sua finalidade social com o objeto da licitação, etc.), como do seu teor. É de bom alvitre alertar ao órgão para a importância da congruência entre os preços das propostas, considerando que eventuais valores desarrazoados ou evidentemen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te inexequíveis podem distorcer os resultados das pesquisas efetuadas, de maneira que cumprirá ao órgão o discernimento sobre os orçamentos efetivamente aptos a comporem a planilha de preços, podendo até serem excluídos aqueles demasiadamente discrepantes </w:t>
      </w:r>
      <w:r w:rsidRPr="00BD68B3">
        <w:rPr>
          <w:rFonts w:ascii="Times New Roman" w:eastAsia="Times New Roman" w:hAnsi="Times New Roman" w:cs="Times New Roman"/>
          <w:color w:val="000000"/>
        </w:rPr>
        <w:t>dos demais.</w:t>
      </w:r>
    </w:p>
    <w:p w14:paraId="6DB0BCAC" w14:textId="77777777" w:rsidR="00BF0F2E" w:rsidRPr="00BD68B3" w:rsidRDefault="000B5807">
      <w:pPr>
        <w:widowControl/>
        <w:spacing w:before="114" w:after="114"/>
        <w:ind w:left="283"/>
        <w:jc w:val="both"/>
        <w:rPr>
          <w:rFonts w:ascii="Times New Roman" w:hAnsi="Times New Roman" w:cs="Times New Roman"/>
        </w:rPr>
      </w:pPr>
      <w:r w:rsidRPr="00BD68B3">
        <w:rPr>
          <w:rFonts w:ascii="Times New Roman" w:eastAsia="Times New Roman" w:hAnsi="Times New Roman" w:cs="Times New Roman"/>
          <w:color w:val="000000"/>
        </w:rPr>
        <w:t xml:space="preserve">13. A Administração, quando da realização da pesquisa de preços deve considerar todas as variáveis correlacionadas, tais como as quantidades pretendidas, prazos e forma de entrega, </w:t>
      </w:r>
      <w:r w:rsidRPr="00BD68B3">
        <w:rPr>
          <w:rFonts w:ascii="Times New Roman" w:eastAsia="Times New Roman" w:hAnsi="Times New Roman" w:cs="Times New Roman"/>
          <w:color w:val="000000"/>
        </w:rPr>
        <w:lastRenderedPageBreak/>
        <w:t xml:space="preserve">propiciando que eventuais ganhos de escala advindos de grandes </w:t>
      </w:r>
      <w:r w:rsidRPr="00BD68B3">
        <w:rPr>
          <w:rFonts w:ascii="Times New Roman" w:eastAsia="Times New Roman" w:hAnsi="Times New Roman" w:cs="Times New Roman"/>
          <w:color w:val="000000"/>
        </w:rPr>
        <w:t>aquisições/contratações públicas, por exemplo, reflitam em</w:t>
      </w:r>
      <w:r w:rsidRPr="00BD68B3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BD68B3">
        <w:rPr>
          <w:rFonts w:ascii="Times New Roman" w:eastAsia="Times New Roman" w:hAnsi="Times New Roman" w:cs="Times New Roman"/>
          <w:color w:val="000000"/>
        </w:rPr>
        <w:t>redução nos preços obtidos pelas cotações prévias ao certame.</w:t>
      </w:r>
    </w:p>
    <w:p w14:paraId="304303DA" w14:textId="77777777" w:rsidR="00BF0F2E" w:rsidRPr="00BD68B3" w:rsidRDefault="000B5807">
      <w:pPr>
        <w:tabs>
          <w:tab w:val="left" w:pos="0"/>
        </w:tabs>
        <w:ind w:left="283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  <w:color w:val="000000"/>
        </w:rPr>
        <w:t xml:space="preserve">14. No presente caso, ficou demonstrado nos autos que o Setor de Compras e Formação de Preços /DLIC/Reitoria concluiu na data </w:t>
      </w:r>
      <w:r w:rsidRPr="0040621F">
        <w:rPr>
          <w:rFonts w:ascii="Times New Roman" w:hAnsi="Times New Roman" w:cs="Times New Roman"/>
          <w:color w:val="000000"/>
          <w:highlight w:val="yellow"/>
        </w:rPr>
        <w:t xml:space="preserve">de </w:t>
      </w:r>
      <w:proofErr w:type="spellStart"/>
      <w:r w:rsidRPr="0040621F">
        <w:rPr>
          <w:rFonts w:ascii="Times New Roman" w:hAnsi="Times New Roman" w:cs="Times New Roman"/>
          <w:b/>
          <w:color w:val="000000"/>
          <w:highlight w:val="yellow"/>
        </w:rPr>
        <w:t>xx</w:t>
      </w:r>
      <w:proofErr w:type="spellEnd"/>
      <w:r w:rsidRPr="0040621F">
        <w:rPr>
          <w:rFonts w:ascii="Times New Roman" w:hAnsi="Times New Roman" w:cs="Times New Roman"/>
          <w:b/>
          <w:color w:val="000000"/>
          <w:highlight w:val="yellow"/>
        </w:rPr>
        <w:t>/</w:t>
      </w:r>
      <w:proofErr w:type="spellStart"/>
      <w:r w:rsidRPr="0040621F">
        <w:rPr>
          <w:rFonts w:ascii="Times New Roman" w:hAnsi="Times New Roman" w:cs="Times New Roman"/>
          <w:b/>
          <w:color w:val="000000"/>
          <w:highlight w:val="yellow"/>
        </w:rPr>
        <w:t>xx</w:t>
      </w:r>
      <w:proofErr w:type="spellEnd"/>
      <w:r w:rsidRPr="0040621F">
        <w:rPr>
          <w:rFonts w:ascii="Times New Roman" w:hAnsi="Times New Roman" w:cs="Times New Roman"/>
          <w:b/>
          <w:color w:val="000000"/>
          <w:highlight w:val="yellow"/>
        </w:rPr>
        <w:t>/20xx</w:t>
      </w:r>
      <w:r w:rsidRPr="0040621F">
        <w:rPr>
          <w:rFonts w:ascii="Times New Roman" w:hAnsi="Times New Roman" w:cs="Times New Roman"/>
          <w:color w:val="000000"/>
          <w:highlight w:val="yellow"/>
        </w:rPr>
        <w:t xml:space="preserve"> as</w:t>
      </w:r>
      <w:r w:rsidRPr="00BD68B3">
        <w:rPr>
          <w:rFonts w:ascii="Times New Roman" w:hAnsi="Times New Roman" w:cs="Times New Roman"/>
          <w:color w:val="000000"/>
        </w:rPr>
        <w:t xml:space="preserve"> pesquisas de preços, que foram a realizadas da seguinte forma:</w:t>
      </w:r>
    </w:p>
    <w:p w14:paraId="15F7954B" w14:textId="77777777" w:rsidR="00BF0F2E" w:rsidRPr="00BD68B3" w:rsidRDefault="00BF0F2E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56272294" w14:textId="20F5E80D" w:rsidR="00BF0F2E" w:rsidRPr="00BD68B3" w:rsidRDefault="000B5807">
      <w:pPr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  <w:b/>
          <w:color w:val="000000"/>
        </w:rPr>
        <w:t xml:space="preserve">Preços de </w:t>
      </w:r>
      <w:r w:rsidR="00333975">
        <w:rPr>
          <w:rFonts w:ascii="Times New Roman" w:hAnsi="Times New Roman" w:cs="Times New Roman"/>
          <w:b/>
          <w:color w:val="000000"/>
        </w:rPr>
        <w:t>2</w:t>
      </w:r>
      <w:r w:rsidRPr="00BD68B3">
        <w:rPr>
          <w:rFonts w:ascii="Times New Roman" w:hAnsi="Times New Roman" w:cs="Times New Roman"/>
          <w:b/>
          <w:color w:val="000000"/>
        </w:rPr>
        <w:t xml:space="preserve"> a </w:t>
      </w:r>
      <w:r w:rsidR="00333975">
        <w:rPr>
          <w:rFonts w:ascii="Times New Roman" w:hAnsi="Times New Roman" w:cs="Times New Roman"/>
          <w:b/>
          <w:color w:val="000000"/>
        </w:rPr>
        <w:t>3</w:t>
      </w:r>
      <w:r w:rsidRPr="00BD68B3">
        <w:rPr>
          <w:rFonts w:ascii="Times New Roman" w:hAnsi="Times New Roman" w:cs="Times New Roman"/>
          <w:b/>
          <w:color w:val="000000"/>
        </w:rPr>
        <w:t>:</w:t>
      </w:r>
      <w:r w:rsidR="0040621F">
        <w:rPr>
          <w:rFonts w:ascii="Times New Roman" w:hAnsi="Times New Roman" w:cs="Times New Roman"/>
          <w:b/>
          <w:color w:val="000000"/>
        </w:rPr>
        <w:t xml:space="preserve"> </w:t>
      </w:r>
      <w:r w:rsidRPr="00BD68B3">
        <w:rPr>
          <w:rFonts w:ascii="Times New Roman" w:hAnsi="Times New Roman" w:cs="Times New Roman"/>
          <w:color w:val="000000"/>
        </w:rPr>
        <w:t>(</w:t>
      </w:r>
      <w:r w:rsidR="0040621F" w:rsidRPr="0040621F">
        <w:rPr>
          <w:rFonts w:ascii="Times New Roman" w:hAnsi="Times New Roman" w:cs="Times New Roman"/>
          <w:color w:val="000000"/>
        </w:rPr>
        <w:t>PREGÃO 52/2021</w:t>
      </w:r>
      <w:r w:rsidR="0040621F">
        <w:rPr>
          <w:rFonts w:ascii="Times New Roman" w:hAnsi="Times New Roman" w:cs="Times New Roman"/>
          <w:color w:val="000000"/>
        </w:rPr>
        <w:t xml:space="preserve"> </w:t>
      </w:r>
      <w:r w:rsidR="0040621F" w:rsidRPr="0040621F">
        <w:rPr>
          <w:rFonts w:ascii="Times New Roman" w:hAnsi="Times New Roman" w:cs="Times New Roman"/>
          <w:color w:val="000000"/>
        </w:rPr>
        <w:t>UASG</w:t>
      </w:r>
      <w:r w:rsidR="00333975">
        <w:rPr>
          <w:rFonts w:ascii="Times New Roman" w:hAnsi="Times New Roman" w:cs="Times New Roman"/>
          <w:color w:val="000000"/>
        </w:rPr>
        <w:t xml:space="preserve"> </w:t>
      </w:r>
      <w:r w:rsidR="0040621F" w:rsidRPr="0040621F">
        <w:rPr>
          <w:rFonts w:ascii="Times New Roman" w:hAnsi="Times New Roman" w:cs="Times New Roman"/>
          <w:color w:val="000000"/>
        </w:rPr>
        <w:t>155011</w:t>
      </w:r>
      <w:r w:rsidR="0040621F">
        <w:rPr>
          <w:rFonts w:ascii="Times New Roman" w:hAnsi="Times New Roman" w:cs="Times New Roman"/>
          <w:color w:val="000000"/>
        </w:rPr>
        <w:t xml:space="preserve">, </w:t>
      </w:r>
      <w:r w:rsidR="0040621F" w:rsidRPr="0040621F">
        <w:rPr>
          <w:rFonts w:ascii="Times New Roman" w:hAnsi="Times New Roman" w:cs="Times New Roman"/>
          <w:color w:val="000000"/>
        </w:rPr>
        <w:t>PREGÃO 01/2021 UASG 153286</w:t>
      </w:r>
      <w:r w:rsidR="0040621F">
        <w:rPr>
          <w:rFonts w:ascii="Times New Roman" w:hAnsi="Times New Roman" w:cs="Times New Roman"/>
          <w:color w:val="000000"/>
        </w:rPr>
        <w:t xml:space="preserve">, </w:t>
      </w:r>
      <w:r w:rsidR="00333975" w:rsidRPr="00333975">
        <w:rPr>
          <w:rFonts w:ascii="Times New Roman" w:hAnsi="Times New Roman" w:cs="Times New Roman"/>
          <w:color w:val="000000"/>
        </w:rPr>
        <w:t>PREGÃO 02/2021</w:t>
      </w:r>
      <w:r w:rsidR="00333975">
        <w:rPr>
          <w:rFonts w:ascii="Times New Roman" w:hAnsi="Times New Roman" w:cs="Times New Roman"/>
          <w:color w:val="000000"/>
        </w:rPr>
        <w:t xml:space="preserve"> </w:t>
      </w:r>
      <w:r w:rsidR="00333975" w:rsidRPr="00333975">
        <w:rPr>
          <w:rFonts w:ascii="Times New Roman" w:hAnsi="Times New Roman" w:cs="Times New Roman"/>
          <w:color w:val="000000"/>
        </w:rPr>
        <w:t>UASG</w:t>
      </w:r>
      <w:r w:rsidR="00333975">
        <w:rPr>
          <w:rFonts w:ascii="Times New Roman" w:hAnsi="Times New Roman" w:cs="Times New Roman"/>
          <w:color w:val="000000"/>
        </w:rPr>
        <w:t xml:space="preserve"> </w:t>
      </w:r>
      <w:r w:rsidR="00333975" w:rsidRPr="00333975">
        <w:rPr>
          <w:rFonts w:ascii="Times New Roman" w:hAnsi="Times New Roman" w:cs="Times New Roman"/>
          <w:color w:val="000000"/>
        </w:rPr>
        <w:t>158313</w:t>
      </w:r>
      <w:r w:rsidR="00333975">
        <w:rPr>
          <w:rFonts w:ascii="Times New Roman" w:hAnsi="Times New Roman" w:cs="Times New Roman"/>
          <w:color w:val="000000"/>
        </w:rPr>
        <w:t xml:space="preserve">, </w:t>
      </w:r>
      <w:r w:rsidR="00333975" w:rsidRPr="00333975">
        <w:rPr>
          <w:rFonts w:ascii="Times New Roman" w:hAnsi="Times New Roman" w:cs="Times New Roman"/>
          <w:color w:val="000000"/>
        </w:rPr>
        <w:t>PREGÃO 13/202</w:t>
      </w:r>
      <w:r w:rsidR="00333975">
        <w:rPr>
          <w:rFonts w:ascii="Times New Roman" w:hAnsi="Times New Roman" w:cs="Times New Roman"/>
          <w:color w:val="000000"/>
        </w:rPr>
        <w:t xml:space="preserve">1 </w:t>
      </w:r>
      <w:r w:rsidR="00333975" w:rsidRPr="00333975">
        <w:rPr>
          <w:rFonts w:ascii="Times New Roman" w:hAnsi="Times New Roman" w:cs="Times New Roman"/>
          <w:color w:val="000000"/>
        </w:rPr>
        <w:t>UASG</w:t>
      </w:r>
      <w:r w:rsidR="00333975">
        <w:rPr>
          <w:rFonts w:ascii="Times New Roman" w:hAnsi="Times New Roman" w:cs="Times New Roman"/>
          <w:color w:val="000000"/>
        </w:rPr>
        <w:t xml:space="preserve"> </w:t>
      </w:r>
      <w:r w:rsidR="00333975" w:rsidRPr="00333975">
        <w:rPr>
          <w:rFonts w:ascii="Times New Roman" w:hAnsi="Times New Roman" w:cs="Times New Roman"/>
          <w:color w:val="000000"/>
        </w:rPr>
        <w:t>150247</w:t>
      </w:r>
      <w:r w:rsidR="00333975">
        <w:rPr>
          <w:rFonts w:ascii="Times New Roman" w:hAnsi="Times New Roman" w:cs="Times New Roman"/>
          <w:color w:val="000000"/>
        </w:rPr>
        <w:t xml:space="preserve">, </w:t>
      </w:r>
      <w:r w:rsidR="00333975" w:rsidRPr="00333975">
        <w:rPr>
          <w:rFonts w:ascii="Times New Roman" w:hAnsi="Times New Roman" w:cs="Times New Roman"/>
          <w:color w:val="000000"/>
        </w:rPr>
        <w:t>PREGÃO 09/2021 UASG</w:t>
      </w:r>
      <w:r w:rsidR="00333975">
        <w:rPr>
          <w:rFonts w:ascii="Times New Roman" w:hAnsi="Times New Roman" w:cs="Times New Roman"/>
          <w:color w:val="000000"/>
        </w:rPr>
        <w:t xml:space="preserve"> </w:t>
      </w:r>
      <w:r w:rsidR="00333975" w:rsidRPr="00333975">
        <w:rPr>
          <w:rFonts w:ascii="Times New Roman" w:hAnsi="Times New Roman" w:cs="Times New Roman"/>
          <w:color w:val="000000"/>
        </w:rPr>
        <w:t>240114</w:t>
      </w:r>
      <w:r w:rsidR="00333975">
        <w:rPr>
          <w:rFonts w:ascii="Times New Roman" w:hAnsi="Times New Roman" w:cs="Times New Roman"/>
          <w:color w:val="000000"/>
        </w:rPr>
        <w:t xml:space="preserve">, </w:t>
      </w:r>
      <w:r w:rsidR="00333975" w:rsidRPr="00333975">
        <w:rPr>
          <w:rFonts w:ascii="Times New Roman" w:hAnsi="Times New Roman" w:cs="Times New Roman"/>
          <w:color w:val="000000"/>
        </w:rPr>
        <w:t>PREGÃO 65/2021</w:t>
      </w:r>
      <w:r w:rsidR="00333975">
        <w:rPr>
          <w:rFonts w:ascii="Times New Roman" w:hAnsi="Times New Roman" w:cs="Times New Roman"/>
          <w:color w:val="000000"/>
        </w:rPr>
        <w:t xml:space="preserve"> </w:t>
      </w:r>
      <w:r w:rsidR="00333975" w:rsidRPr="00333975">
        <w:rPr>
          <w:rFonts w:ascii="Times New Roman" w:hAnsi="Times New Roman" w:cs="Times New Roman"/>
          <w:color w:val="000000"/>
        </w:rPr>
        <w:t>UASG</w:t>
      </w:r>
      <w:r w:rsidR="00333975">
        <w:rPr>
          <w:rFonts w:ascii="Times New Roman" w:hAnsi="Times New Roman" w:cs="Times New Roman"/>
          <w:color w:val="000000"/>
        </w:rPr>
        <w:t xml:space="preserve"> </w:t>
      </w:r>
      <w:r w:rsidR="00333975" w:rsidRPr="00333975">
        <w:rPr>
          <w:rFonts w:ascii="Times New Roman" w:hAnsi="Times New Roman" w:cs="Times New Roman"/>
          <w:color w:val="000000"/>
        </w:rPr>
        <w:t>154359</w:t>
      </w:r>
      <w:r w:rsidR="00333975">
        <w:rPr>
          <w:rFonts w:ascii="Times New Roman" w:hAnsi="Times New Roman" w:cs="Times New Roman"/>
          <w:color w:val="000000"/>
        </w:rPr>
        <w:t xml:space="preserve">, </w:t>
      </w:r>
      <w:r w:rsidR="00333975" w:rsidRPr="00333975">
        <w:rPr>
          <w:rFonts w:ascii="Times New Roman" w:hAnsi="Times New Roman" w:cs="Times New Roman"/>
          <w:color w:val="000000"/>
        </w:rPr>
        <w:t>PREGÃO 18/2021</w:t>
      </w:r>
      <w:r w:rsidR="00333975">
        <w:rPr>
          <w:rFonts w:ascii="Times New Roman" w:hAnsi="Times New Roman" w:cs="Times New Roman"/>
          <w:color w:val="000000"/>
        </w:rPr>
        <w:t xml:space="preserve"> </w:t>
      </w:r>
      <w:r w:rsidR="00333975" w:rsidRPr="00333975">
        <w:rPr>
          <w:rFonts w:ascii="Times New Roman" w:hAnsi="Times New Roman" w:cs="Times New Roman"/>
          <w:color w:val="000000"/>
        </w:rPr>
        <w:t>UASG</w:t>
      </w:r>
      <w:r w:rsidR="00333975">
        <w:rPr>
          <w:rFonts w:ascii="Times New Roman" w:hAnsi="Times New Roman" w:cs="Times New Roman"/>
          <w:color w:val="000000"/>
        </w:rPr>
        <w:t xml:space="preserve"> </w:t>
      </w:r>
      <w:r w:rsidR="00333975" w:rsidRPr="00333975">
        <w:rPr>
          <w:rFonts w:ascii="Times New Roman" w:hAnsi="Times New Roman" w:cs="Times New Roman"/>
          <w:color w:val="000000"/>
        </w:rPr>
        <w:t>158296</w:t>
      </w:r>
      <w:r w:rsidR="00333975">
        <w:rPr>
          <w:rFonts w:ascii="Times New Roman" w:hAnsi="Times New Roman" w:cs="Times New Roman"/>
          <w:color w:val="000000"/>
        </w:rPr>
        <w:t xml:space="preserve">, </w:t>
      </w:r>
      <w:r w:rsidR="00333975" w:rsidRPr="00333975">
        <w:rPr>
          <w:rFonts w:ascii="Times New Roman" w:hAnsi="Times New Roman" w:cs="Times New Roman"/>
          <w:color w:val="000000"/>
        </w:rPr>
        <w:t>PREGÃO 38/2021</w:t>
      </w:r>
      <w:r w:rsidR="00333975">
        <w:rPr>
          <w:rFonts w:ascii="Times New Roman" w:hAnsi="Times New Roman" w:cs="Times New Roman"/>
          <w:color w:val="000000"/>
        </w:rPr>
        <w:t xml:space="preserve"> </w:t>
      </w:r>
      <w:r w:rsidR="00333975" w:rsidRPr="00333975">
        <w:rPr>
          <w:rFonts w:ascii="Times New Roman" w:hAnsi="Times New Roman" w:cs="Times New Roman"/>
          <w:color w:val="000000"/>
        </w:rPr>
        <w:t>UASG</w:t>
      </w:r>
      <w:r w:rsidR="00333975">
        <w:rPr>
          <w:rFonts w:ascii="Times New Roman" w:hAnsi="Times New Roman" w:cs="Times New Roman"/>
          <w:color w:val="000000"/>
        </w:rPr>
        <w:t xml:space="preserve"> </w:t>
      </w:r>
      <w:r w:rsidR="00333975" w:rsidRPr="00333975">
        <w:rPr>
          <w:rFonts w:ascii="Times New Roman" w:hAnsi="Times New Roman" w:cs="Times New Roman"/>
          <w:color w:val="000000"/>
        </w:rPr>
        <w:t>158125</w:t>
      </w:r>
      <w:r w:rsidR="00333975">
        <w:rPr>
          <w:rFonts w:ascii="Times New Roman" w:hAnsi="Times New Roman" w:cs="Times New Roman"/>
          <w:color w:val="000000"/>
        </w:rPr>
        <w:t xml:space="preserve">, </w:t>
      </w:r>
      <w:r w:rsidR="00333975" w:rsidRPr="00333975">
        <w:rPr>
          <w:rFonts w:ascii="Times New Roman" w:hAnsi="Times New Roman" w:cs="Times New Roman"/>
          <w:color w:val="000000"/>
        </w:rPr>
        <w:t>PREGÃO 50/2021        UASG             154043</w:t>
      </w:r>
      <w:r w:rsidR="00333975">
        <w:rPr>
          <w:rFonts w:ascii="Times New Roman" w:hAnsi="Times New Roman" w:cs="Times New Roman"/>
          <w:color w:val="000000"/>
        </w:rPr>
        <w:t xml:space="preserve">, </w:t>
      </w:r>
      <w:r w:rsidR="00333975" w:rsidRPr="00333975">
        <w:rPr>
          <w:rFonts w:ascii="Times New Roman" w:hAnsi="Times New Roman" w:cs="Times New Roman"/>
          <w:color w:val="000000"/>
        </w:rPr>
        <w:t>PREGÃO 12/2021        UASG             153029</w:t>
      </w:r>
      <w:r w:rsidR="00333975">
        <w:rPr>
          <w:rFonts w:ascii="Times New Roman" w:hAnsi="Times New Roman" w:cs="Times New Roman"/>
          <w:color w:val="000000"/>
        </w:rPr>
        <w:t xml:space="preserve">, </w:t>
      </w:r>
      <w:r w:rsidR="00333975" w:rsidRPr="00333975">
        <w:rPr>
          <w:rFonts w:ascii="Times New Roman" w:hAnsi="Times New Roman" w:cs="Times New Roman"/>
          <w:color w:val="000000"/>
        </w:rPr>
        <w:t>PREGÃO 16/2021        UASG             158304</w:t>
      </w:r>
      <w:r w:rsidR="00333975">
        <w:rPr>
          <w:rFonts w:ascii="Times New Roman" w:hAnsi="Times New Roman" w:cs="Times New Roman"/>
          <w:color w:val="000000"/>
        </w:rPr>
        <w:t xml:space="preserve">, </w:t>
      </w:r>
      <w:r w:rsidR="00333975" w:rsidRPr="00333975">
        <w:rPr>
          <w:rFonts w:ascii="Times New Roman" w:hAnsi="Times New Roman" w:cs="Times New Roman"/>
          <w:color w:val="000000"/>
        </w:rPr>
        <w:t>PREGÃO 45/2021        UASG             154047</w:t>
      </w:r>
      <w:r w:rsidR="00333975">
        <w:rPr>
          <w:rFonts w:ascii="Times New Roman" w:hAnsi="Times New Roman" w:cs="Times New Roman"/>
          <w:color w:val="000000"/>
        </w:rPr>
        <w:t xml:space="preserve">, </w:t>
      </w:r>
      <w:r w:rsidR="00333975" w:rsidRPr="00333975">
        <w:rPr>
          <w:rFonts w:ascii="Times New Roman" w:hAnsi="Times New Roman" w:cs="Times New Roman"/>
          <w:color w:val="000000"/>
        </w:rPr>
        <w:t>PREGÃO 61/2021        UASG             257003</w:t>
      </w:r>
      <w:r w:rsidR="00333975">
        <w:rPr>
          <w:rFonts w:ascii="Times New Roman" w:hAnsi="Times New Roman" w:cs="Times New Roman"/>
          <w:color w:val="000000"/>
        </w:rPr>
        <w:t xml:space="preserve">, </w:t>
      </w:r>
      <w:r w:rsidR="00333975" w:rsidRPr="00333975">
        <w:rPr>
          <w:rFonts w:ascii="Times New Roman" w:hAnsi="Times New Roman" w:cs="Times New Roman"/>
          <w:color w:val="000000"/>
        </w:rPr>
        <w:t>PREGÃO 42/2021        UASG             153061</w:t>
      </w:r>
      <w:r w:rsidRPr="00BD68B3">
        <w:rPr>
          <w:rFonts w:ascii="Times New Roman" w:hAnsi="Times New Roman" w:cs="Times New Roman"/>
          <w:color w:val="000000"/>
        </w:rPr>
        <w:t>)</w:t>
      </w:r>
    </w:p>
    <w:p w14:paraId="36667AC8" w14:textId="47F423DC" w:rsidR="00BF0F2E" w:rsidRPr="00333975" w:rsidRDefault="000B5807">
      <w:pPr>
        <w:numPr>
          <w:ilvl w:val="0"/>
          <w:numId w:val="1"/>
        </w:numPr>
        <w:tabs>
          <w:tab w:val="left" w:pos="0"/>
        </w:tabs>
        <w:spacing w:before="240"/>
        <w:jc w:val="both"/>
        <w:rPr>
          <w:rFonts w:ascii="Times New Roman" w:hAnsi="Times New Roman" w:cs="Times New Roman"/>
          <w:highlight w:val="yellow"/>
        </w:rPr>
      </w:pPr>
      <w:r w:rsidRPr="00BD68B3">
        <w:rPr>
          <w:rFonts w:ascii="Times New Roman" w:hAnsi="Times New Roman" w:cs="Times New Roman"/>
          <w:b/>
          <w:color w:val="000000"/>
        </w:rPr>
        <w:t xml:space="preserve">Preço </w:t>
      </w:r>
      <w:r w:rsidR="00333975">
        <w:rPr>
          <w:rFonts w:ascii="Times New Roman" w:hAnsi="Times New Roman" w:cs="Times New Roman"/>
          <w:b/>
          <w:color w:val="000000"/>
        </w:rPr>
        <w:t>1</w:t>
      </w:r>
      <w:r w:rsidRPr="00BD68B3">
        <w:rPr>
          <w:rFonts w:ascii="Times New Roman" w:hAnsi="Times New Roman" w:cs="Times New Roman"/>
          <w:b/>
          <w:color w:val="000000"/>
        </w:rPr>
        <w:t>:</w:t>
      </w:r>
      <w:r w:rsidRPr="00BD68B3">
        <w:rPr>
          <w:rFonts w:ascii="Times New Roman" w:hAnsi="Times New Roman" w:cs="Times New Roman"/>
          <w:b/>
          <w:color w:val="000000"/>
        </w:rPr>
        <w:t xml:space="preserve"> (</w:t>
      </w:r>
      <w:r w:rsidR="00333975" w:rsidRPr="0040621F">
        <w:rPr>
          <w:rFonts w:ascii="Times New Roman" w:hAnsi="Times New Roman" w:cs="Times New Roman"/>
          <w:color w:val="000000"/>
        </w:rPr>
        <w:t>PREGÃO 10/2021 UASG 153038</w:t>
      </w:r>
      <w:r w:rsidR="00333975">
        <w:rPr>
          <w:rFonts w:ascii="Times New Roman" w:hAnsi="Times New Roman" w:cs="Times New Roman"/>
          <w:color w:val="000000"/>
        </w:rPr>
        <w:t xml:space="preserve">, </w:t>
      </w:r>
      <w:r w:rsidRPr="00333975">
        <w:rPr>
          <w:rFonts w:ascii="Times New Roman" w:hAnsi="Times New Roman" w:cs="Times New Roman"/>
          <w:color w:val="FF3333"/>
          <w:highlight w:val="yellow"/>
        </w:rPr>
        <w:t xml:space="preserve">Nome e </w:t>
      </w:r>
      <w:proofErr w:type="gramStart"/>
      <w:r w:rsidRPr="00333975">
        <w:rPr>
          <w:rFonts w:ascii="Times New Roman" w:hAnsi="Times New Roman" w:cs="Times New Roman"/>
          <w:color w:val="FF3333"/>
          <w:highlight w:val="yellow"/>
        </w:rPr>
        <w:t>CNPJ  da</w:t>
      </w:r>
      <w:proofErr w:type="gramEnd"/>
      <w:r w:rsidRPr="00333975">
        <w:rPr>
          <w:rFonts w:ascii="Times New Roman" w:hAnsi="Times New Roman" w:cs="Times New Roman"/>
          <w:color w:val="FF3333"/>
          <w:highlight w:val="yellow"/>
        </w:rPr>
        <w:t>(s) empresa(s)</w:t>
      </w:r>
      <w:r w:rsidRPr="00333975">
        <w:rPr>
          <w:rFonts w:ascii="Times New Roman" w:hAnsi="Times New Roman" w:cs="Times New Roman"/>
          <w:color w:val="000000"/>
          <w:highlight w:val="yellow"/>
        </w:rPr>
        <w:t>).</w:t>
      </w:r>
    </w:p>
    <w:p w14:paraId="14811D88" w14:textId="77777777" w:rsidR="00BF0F2E" w:rsidRPr="00BD68B3" w:rsidRDefault="00BF0F2E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</w:p>
    <w:p w14:paraId="385699D6" w14:textId="156327EC" w:rsidR="00BF0F2E" w:rsidRPr="00BD68B3" w:rsidRDefault="000B5807">
      <w:pPr>
        <w:widowControl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BD68B3">
        <w:rPr>
          <w:rFonts w:ascii="Times New Roman" w:eastAsia="Times New Roman" w:hAnsi="Times New Roman" w:cs="Times New Roman"/>
          <w:b/>
          <w:color w:val="000000"/>
        </w:rPr>
        <w:t>15.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 Foi verificado que para a formação de preços foram utilizados os incisos </w:t>
      </w:r>
      <w:r w:rsidRPr="00BD68B3">
        <w:rPr>
          <w:rFonts w:ascii="Times New Roman" w:eastAsia="Times New Roman" w:hAnsi="Times New Roman" w:cs="Times New Roman"/>
          <w:color w:val="FF3333"/>
        </w:rPr>
        <w:t>I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 e </w:t>
      </w:r>
      <w:r w:rsidRPr="00BD68B3">
        <w:rPr>
          <w:rFonts w:ascii="Times New Roman" w:eastAsia="Times New Roman" w:hAnsi="Times New Roman" w:cs="Times New Roman"/>
          <w:color w:val="FF3333"/>
        </w:rPr>
        <w:t xml:space="preserve">IV 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do </w:t>
      </w:r>
      <w:proofErr w:type="spellStart"/>
      <w:r w:rsidRPr="00BD68B3">
        <w:rPr>
          <w:rFonts w:ascii="Times New Roman" w:eastAsia="Times New Roman" w:hAnsi="Times New Roman" w:cs="Times New Roman"/>
          <w:color w:val="000000"/>
        </w:rPr>
        <w:t>art</w:t>
      </w:r>
      <w:proofErr w:type="spellEnd"/>
      <w:r w:rsidRPr="00BD68B3">
        <w:rPr>
          <w:rFonts w:ascii="Times New Roman" w:eastAsia="Times New Roman" w:hAnsi="Times New Roman" w:cs="Times New Roman"/>
          <w:color w:val="000000"/>
        </w:rPr>
        <w:t xml:space="preserve"> 5</w:t>
      </w:r>
      <w:proofErr w:type="gramStart"/>
      <w:r w:rsidRPr="00BD68B3">
        <w:rPr>
          <w:rFonts w:ascii="Times New Roman" w:eastAsia="Times New Roman" w:hAnsi="Times New Roman" w:cs="Times New Roman"/>
          <w:color w:val="000000"/>
        </w:rPr>
        <w:t>º,  IN</w:t>
      </w:r>
      <w:proofErr w:type="gramEnd"/>
      <w:r w:rsidRPr="00BD68B3">
        <w:rPr>
          <w:rFonts w:ascii="Times New Roman" w:eastAsia="Times New Roman" w:hAnsi="Times New Roman" w:cs="Times New Roman"/>
          <w:color w:val="000000"/>
        </w:rPr>
        <w:t xml:space="preserve"> nº 073, de 05/08/2020. Para elaboração do Relatório de Cotação, utilizou-se a ferramenta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 “Banco de Preços” (https://www.bancodeprecos.com.br/</w:t>
      </w:r>
      <w:proofErr w:type="spellStart"/>
      <w:r w:rsidRPr="00BD68B3">
        <w:rPr>
          <w:rFonts w:ascii="Times New Roman" w:eastAsia="Times New Roman" w:hAnsi="Times New Roman" w:cs="Times New Roman"/>
          <w:color w:val="000000"/>
        </w:rPr>
        <w:t>Account</w:t>
      </w:r>
      <w:proofErr w:type="spellEnd"/>
      <w:r w:rsidRPr="00BD68B3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D68B3">
        <w:rPr>
          <w:rFonts w:ascii="Times New Roman" w:eastAsia="Times New Roman" w:hAnsi="Times New Roman" w:cs="Times New Roman"/>
          <w:color w:val="000000"/>
        </w:rPr>
        <w:t>LogIn?ReturnUrl</w:t>
      </w:r>
      <w:proofErr w:type="spellEnd"/>
      <w:r w:rsidRPr="00BD68B3">
        <w:rPr>
          <w:rFonts w:ascii="Times New Roman" w:eastAsia="Times New Roman" w:hAnsi="Times New Roman" w:cs="Times New Roman"/>
          <w:color w:val="000000"/>
        </w:rPr>
        <w:t>=%2f), adquirido pelo IF Sertão-PE como parâmetro inicial na fase de cotação</w:t>
      </w:r>
      <w:r w:rsidRPr="00BD68B3">
        <w:rPr>
          <w:rFonts w:ascii="Times New Roman" w:eastAsia="Times New Roman" w:hAnsi="Times New Roman" w:cs="Times New Roman"/>
          <w:color w:val="000000"/>
        </w:rPr>
        <w:t>. Desta forma, buscou-se uma composição de cesta de preços mais próxima possível do valor estimado que melhor atendesse a disputa de lances e competitividade entre os licitantes durante o certame licitatório.</w:t>
      </w:r>
    </w:p>
    <w:p w14:paraId="6D587FC1" w14:textId="77777777" w:rsidR="00BF0F2E" w:rsidRPr="00BD68B3" w:rsidRDefault="00BF0F2E">
      <w:pPr>
        <w:widowControl/>
        <w:ind w:left="340"/>
        <w:jc w:val="both"/>
        <w:rPr>
          <w:rFonts w:ascii="Times New Roman" w:eastAsia="Times New Roman" w:hAnsi="Times New Roman" w:cs="Times New Roman"/>
          <w:color w:val="000000"/>
        </w:rPr>
      </w:pPr>
    </w:p>
    <w:p w14:paraId="772A0738" w14:textId="38D7EB06" w:rsidR="00BF0F2E" w:rsidRPr="00BD68B3" w:rsidRDefault="000B5807">
      <w:pPr>
        <w:widowControl/>
        <w:ind w:left="340"/>
        <w:jc w:val="both"/>
        <w:rPr>
          <w:rFonts w:ascii="Times New Roman" w:hAnsi="Times New Roman" w:cs="Times New Roman"/>
        </w:rPr>
      </w:pPr>
      <w:r w:rsidRPr="00BD68B3">
        <w:rPr>
          <w:rFonts w:ascii="Times New Roman" w:eastAsia="Times New Roman" w:hAnsi="Times New Roman" w:cs="Times New Roman"/>
          <w:b/>
          <w:color w:val="000000"/>
        </w:rPr>
        <w:t>16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 Verificou-se também que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 foi adotad</w:t>
      </w:r>
      <w:r w:rsidRPr="00BD68B3">
        <w:rPr>
          <w:rFonts w:ascii="Times New Roman" w:eastAsia="Times New Roman" w:hAnsi="Times New Roman" w:cs="Times New Roman"/>
          <w:color w:val="000000"/>
        </w:rPr>
        <w:t>a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 </w:t>
      </w:r>
      <w:r w:rsidRPr="00BD68B3">
        <w:rPr>
          <w:rFonts w:ascii="Times New Roman" w:eastAsia="Times New Roman" w:hAnsi="Times New Roman" w:cs="Times New Roman"/>
          <w:color w:val="000000"/>
        </w:rPr>
        <w:t>a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 </w:t>
      </w:r>
      <w:r w:rsidRPr="00BD68B3">
        <w:rPr>
          <w:rFonts w:ascii="Times New Roman" w:eastAsia="Times New Roman" w:hAnsi="Times New Roman" w:cs="Times New Roman"/>
          <w:color w:val="C9211E"/>
        </w:rPr>
        <w:t>m</w:t>
      </w:r>
      <w:r w:rsidRPr="00BD68B3">
        <w:rPr>
          <w:rFonts w:ascii="Times New Roman" w:eastAsia="Times New Roman" w:hAnsi="Times New Roman" w:cs="Times New Roman"/>
          <w:color w:val="C9211E"/>
        </w:rPr>
        <w:t>é</w:t>
      </w:r>
      <w:r w:rsidRPr="00BD68B3">
        <w:rPr>
          <w:rFonts w:ascii="Times New Roman" w:eastAsia="Times New Roman" w:hAnsi="Times New Roman" w:cs="Times New Roman"/>
          <w:color w:val="C9211E"/>
        </w:rPr>
        <w:t>d</w:t>
      </w:r>
      <w:r w:rsidRPr="00BD68B3">
        <w:rPr>
          <w:rFonts w:ascii="Times New Roman" w:eastAsia="Times New Roman" w:hAnsi="Times New Roman" w:cs="Times New Roman"/>
          <w:color w:val="C9211E"/>
        </w:rPr>
        <w:t>i</w:t>
      </w:r>
      <w:r w:rsidRPr="00BD68B3">
        <w:rPr>
          <w:rFonts w:ascii="Times New Roman" w:eastAsia="Times New Roman" w:hAnsi="Times New Roman" w:cs="Times New Roman"/>
          <w:color w:val="C9211E"/>
        </w:rPr>
        <w:t>a</w:t>
      </w:r>
      <w:r w:rsidRPr="00BD68B3">
        <w:rPr>
          <w:rFonts w:ascii="Times New Roman" w:eastAsia="Times New Roman" w:hAnsi="Times New Roman" w:cs="Times New Roman"/>
          <w:color w:val="000000"/>
        </w:rPr>
        <w:t xml:space="preserve"> dos valores obtidos nas pesquisas de preços como metodologia para obtenção do preço de referência para a contratação, onde o cálculo incidiu sobre um conjunto de</w:t>
      </w:r>
      <w:r w:rsidR="008E693A">
        <w:rPr>
          <w:rFonts w:ascii="Times New Roman" w:eastAsia="Times New Roman" w:hAnsi="Times New Roman" w:cs="Times New Roman"/>
          <w:color w:val="000000"/>
        </w:rPr>
        <w:t xml:space="preserve"> três </w:t>
      </w:r>
      <w:r w:rsidRPr="00BD68B3">
        <w:rPr>
          <w:rFonts w:ascii="Times New Roman" w:eastAsia="Times New Roman" w:hAnsi="Times New Roman" w:cs="Times New Roman"/>
          <w:color w:val="000000"/>
        </w:rPr>
        <w:t>preços</w:t>
      </w:r>
      <w:r w:rsidRPr="00BD68B3">
        <w:rPr>
          <w:rFonts w:ascii="Times New Roman" w:eastAsia="Times New Roman" w:hAnsi="Times New Roman" w:cs="Times New Roman"/>
          <w:color w:val="000000"/>
        </w:rPr>
        <w:t>, ori</w:t>
      </w:r>
      <w:r w:rsidRPr="00BD68B3">
        <w:rPr>
          <w:rFonts w:ascii="Times New Roman" w:eastAsia="Times New Roman" w:hAnsi="Times New Roman" w:cs="Times New Roman"/>
          <w:color w:val="000000"/>
        </w:rPr>
        <w:t>undos dos parâmetros adotados</w:t>
      </w:r>
      <w:r w:rsidRPr="00BD68B3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2263F624" w14:textId="77777777" w:rsidR="00BF0F2E" w:rsidRPr="00BD68B3" w:rsidRDefault="00BF0F2E">
      <w:pPr>
        <w:widowControl/>
        <w:ind w:left="340"/>
        <w:jc w:val="both"/>
        <w:rPr>
          <w:rFonts w:ascii="Times New Roman" w:eastAsia="Times New Roman" w:hAnsi="Times New Roman" w:cs="Times New Roman"/>
          <w:color w:val="000000"/>
        </w:rPr>
      </w:pPr>
    </w:p>
    <w:p w14:paraId="6FE69439" w14:textId="77777777" w:rsidR="00BF0F2E" w:rsidRPr="00BD68B3" w:rsidRDefault="000B5807">
      <w:pPr>
        <w:widowControl/>
        <w:tabs>
          <w:tab w:val="left" w:pos="1418"/>
        </w:tabs>
        <w:ind w:left="340"/>
        <w:jc w:val="both"/>
        <w:rPr>
          <w:rFonts w:ascii="Times New Roman" w:hAnsi="Times New Roman" w:cs="Times New Roman"/>
          <w:color w:val="000000"/>
        </w:rPr>
      </w:pPr>
      <w:r w:rsidRPr="00BD68B3">
        <w:rPr>
          <w:rFonts w:ascii="Times New Roman" w:hAnsi="Times New Roman" w:cs="Times New Roman"/>
          <w:b/>
          <w:color w:val="000000"/>
        </w:rPr>
        <w:t xml:space="preserve">17. </w:t>
      </w:r>
      <w:r w:rsidRPr="00BD68B3">
        <w:rPr>
          <w:rFonts w:ascii="Times New Roman" w:hAnsi="Times New Roman" w:cs="Times New Roman"/>
          <w:color w:val="000000"/>
        </w:rPr>
        <w:t xml:space="preserve">A pesquisa de preços e o orçamento estimado atende ainda aos critérios exigidos, quanto aos seus aspectos formais identificação da empresa, idoneidade, compatibilidade da sua finalidade social com o objeto da licitação, </w:t>
      </w:r>
      <w:r w:rsidRPr="00BD68B3">
        <w:rPr>
          <w:rFonts w:ascii="Times New Roman" w:hAnsi="Times New Roman" w:cs="Times New Roman"/>
          <w:color w:val="000000"/>
        </w:rPr>
        <w:t>constatando ainda que as empresas pesquisadas são do ramo pertinente à contratação desejada e sem que haja vínculo societário entre as empresas pesquisadas, ou seja, de acordo com o imposto no Acórdão nº 4.561/2010-1ª Câmara – TCU.</w:t>
      </w:r>
    </w:p>
    <w:p w14:paraId="0A39DC08" w14:textId="77777777" w:rsidR="00BF0F2E" w:rsidRPr="00BD68B3" w:rsidRDefault="00BF0F2E">
      <w:pPr>
        <w:tabs>
          <w:tab w:val="left" w:pos="1418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68BAE842" w14:textId="77777777" w:rsidR="00BF0F2E" w:rsidRPr="00BD68B3" w:rsidRDefault="000B5807">
      <w:pPr>
        <w:tabs>
          <w:tab w:val="left" w:pos="1418"/>
        </w:tabs>
        <w:jc w:val="both"/>
        <w:rPr>
          <w:rFonts w:ascii="Times New Roman" w:hAnsi="Times New Roman" w:cs="Times New Roman"/>
          <w:b/>
          <w:color w:val="000000"/>
        </w:rPr>
      </w:pPr>
      <w:r w:rsidRPr="00BD68B3">
        <w:rPr>
          <w:rFonts w:ascii="Times New Roman" w:hAnsi="Times New Roman" w:cs="Times New Roman"/>
          <w:b/>
          <w:color w:val="000000"/>
        </w:rPr>
        <w:t xml:space="preserve">II.4 Da Modalidade de Licitação </w:t>
      </w:r>
    </w:p>
    <w:p w14:paraId="656D2582" w14:textId="77777777" w:rsidR="00BF0F2E" w:rsidRPr="00BD68B3" w:rsidRDefault="00BF0F2E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</w:p>
    <w:p w14:paraId="2744DDE5" w14:textId="58FA4FD5" w:rsidR="00BF0F2E" w:rsidRPr="00BD68B3" w:rsidRDefault="000B5807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</w:rPr>
        <w:t xml:space="preserve">18. Para a contratação através de adesão a </w:t>
      </w:r>
      <w:r w:rsidRPr="00BD68B3">
        <w:rPr>
          <w:rFonts w:ascii="Times New Roman" w:hAnsi="Times New Roman" w:cs="Times New Roman"/>
        </w:rPr>
        <w:t>ata de registro</w:t>
      </w:r>
      <w:r w:rsidRPr="00BD68B3">
        <w:rPr>
          <w:rFonts w:ascii="Times New Roman" w:hAnsi="Times New Roman" w:cs="Times New Roman"/>
        </w:rPr>
        <w:t xml:space="preserve"> de preços(carona) de outro órgão, alguns </w:t>
      </w:r>
      <w:r w:rsidRPr="00BD68B3">
        <w:rPr>
          <w:rFonts w:ascii="Times New Roman" w:hAnsi="Times New Roman" w:cs="Times New Roman"/>
        </w:rPr>
        <w:t>requisitos legais e regulamentares específicos devem ser cumpridos, bem como daqueles estabelecidos pelo TCU, tais como:</w:t>
      </w:r>
    </w:p>
    <w:p w14:paraId="180162BA" w14:textId="77777777" w:rsidR="00BF0F2E" w:rsidRPr="00BD68B3" w:rsidRDefault="00BF0F2E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14:paraId="08352675" w14:textId="5A0C60B8" w:rsidR="00BF0F2E" w:rsidRPr="00BD68B3" w:rsidRDefault="000B5807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</w:rPr>
        <w:t>a) prévia realização de todos os procedimentos internos de planejamento da contratação pelo</w:t>
      </w:r>
      <w:r w:rsidRPr="00BD68B3">
        <w:rPr>
          <w:rFonts w:ascii="Times New Roman" w:hAnsi="Times New Roman" w:cs="Times New Roman"/>
        </w:rPr>
        <w:t xml:space="preserve"> IF Sertão-PE</w:t>
      </w:r>
      <w:r w:rsidR="008E693A">
        <w:rPr>
          <w:rFonts w:ascii="Times New Roman" w:hAnsi="Times New Roman" w:cs="Times New Roman"/>
        </w:rPr>
        <w:t xml:space="preserve">/Campus Petrolina </w:t>
      </w:r>
      <w:r w:rsidRPr="00BD68B3">
        <w:rPr>
          <w:rFonts w:ascii="Times New Roman" w:hAnsi="Times New Roman" w:cs="Times New Roman"/>
        </w:rPr>
        <w:t xml:space="preserve">(órgão não participante), inclusive mediante detalhamento e justificativa das necessidades que pretende suprir por meio do contrato, caracterização do objeto que se pretende adquirir e demonstração da sua compatibilidade com o objeto </w:t>
      </w:r>
      <w:r w:rsidRPr="00BD68B3">
        <w:rPr>
          <w:rFonts w:ascii="Times New Roman" w:hAnsi="Times New Roman" w:cs="Times New Roman"/>
        </w:rPr>
        <w:lastRenderedPageBreak/>
        <w:t>discrimin</w:t>
      </w:r>
      <w:r w:rsidRPr="00BD68B3">
        <w:rPr>
          <w:rFonts w:ascii="Times New Roman" w:hAnsi="Times New Roman" w:cs="Times New Roman"/>
        </w:rPr>
        <w:t>ado na ata, não servindo a esse propósito a mera reprodução, parcial ou integral, do plano de trabalho, projeto básico ou termo de referência do órgão gerenciador (Acórdão 3137/2014-Plenário, Acórdão 509/2015-Plenário e Acórdão 2877/2017 – Plenário);</w:t>
      </w:r>
    </w:p>
    <w:p w14:paraId="7A110269" w14:textId="77777777" w:rsidR="00BF0F2E" w:rsidRPr="00BD68B3" w:rsidRDefault="00BF0F2E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14:paraId="799660EA" w14:textId="77777777" w:rsidR="00BF0F2E" w:rsidRPr="00BD68B3" w:rsidRDefault="000B5807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</w:rPr>
        <w:t>b) a</w:t>
      </w:r>
      <w:r w:rsidRPr="00BD68B3">
        <w:rPr>
          <w:rFonts w:ascii="Times New Roman" w:hAnsi="Times New Roman" w:cs="Times New Roman"/>
        </w:rPr>
        <w:t>presentação de justificativa sobre os quantitativos solicitados, não se admitindo a contratação baseada tão-somente na demanda originalmente estimada pelo órgão gerenciador (Acórdão 998/2016-Plenário);</w:t>
      </w:r>
    </w:p>
    <w:p w14:paraId="1910EB12" w14:textId="77777777" w:rsidR="00BF0F2E" w:rsidRPr="00BD68B3" w:rsidRDefault="00BF0F2E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14:paraId="3916C0F8" w14:textId="77777777" w:rsidR="00BF0F2E" w:rsidRPr="00BD68B3" w:rsidRDefault="000B5807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</w:rPr>
        <w:t xml:space="preserve"> c) Justificativa sobre a pertinência dos requisitos,</w:t>
      </w:r>
      <w:r w:rsidRPr="00BD68B3">
        <w:rPr>
          <w:rFonts w:ascii="Times New Roman" w:hAnsi="Times New Roman" w:cs="Times New Roman"/>
        </w:rPr>
        <w:t xml:space="preserve"> das restrições e das especificações dispostos no edital às suas necessidades e peculiaridades, em obediência ao art. 6º, caput, do Decreto 7.892, de 2013 c/c artigos 3º, caput, e 15, § 7º, incisos I e II, da Lei 8.666, de 1993 (Acórdão 248/2017 – Plenário</w:t>
      </w:r>
      <w:r w:rsidRPr="00BD68B3">
        <w:rPr>
          <w:rFonts w:ascii="Times New Roman" w:hAnsi="Times New Roman" w:cs="Times New Roman"/>
        </w:rPr>
        <w:t xml:space="preserve">); </w:t>
      </w:r>
    </w:p>
    <w:p w14:paraId="38F5C31C" w14:textId="77777777" w:rsidR="00BF0F2E" w:rsidRPr="00BD68B3" w:rsidRDefault="00BF0F2E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</w:p>
    <w:p w14:paraId="474ADAEB" w14:textId="27E760D7" w:rsidR="00BF0F2E" w:rsidRPr="00BD68B3" w:rsidRDefault="000B5807">
      <w:pPr>
        <w:tabs>
          <w:tab w:val="left" w:pos="1418"/>
        </w:tabs>
        <w:ind w:left="720"/>
        <w:jc w:val="both"/>
        <w:rPr>
          <w:rFonts w:ascii="Times New Roman" w:hAnsi="Times New Roman" w:cs="Times New Roman"/>
          <w:b/>
        </w:rPr>
      </w:pPr>
      <w:r w:rsidRPr="00BD68B3">
        <w:rPr>
          <w:rFonts w:ascii="Times New Roman" w:hAnsi="Times New Roman" w:cs="Times New Roman"/>
        </w:rPr>
        <w:t>d) Comprovação da vantagem da adesão, evidenciada pelo confronto entre os preços unitários dos bens e serviços constantes da ata de registro de preços e referenciais válidos de mercado, com a prévia pesquisa de preços, nos parâmetros exigidos pela Instruçã</w:t>
      </w:r>
      <w:r w:rsidRPr="00BD68B3">
        <w:rPr>
          <w:rFonts w:ascii="Times New Roman" w:hAnsi="Times New Roman" w:cs="Times New Roman"/>
        </w:rPr>
        <w:t>o Normativa</w:t>
      </w:r>
      <w:r w:rsidRPr="00BD68B3">
        <w:rPr>
          <w:rFonts w:ascii="Times New Roman" w:hAnsi="Times New Roman" w:cs="Times New Roman"/>
          <w:b/>
        </w:rPr>
        <w:t xml:space="preserve"> </w:t>
      </w:r>
      <w:r w:rsidRPr="00BD68B3">
        <w:rPr>
          <w:rFonts w:ascii="Times New Roman" w:hAnsi="Times New Roman" w:cs="Times New Roman"/>
          <w:b/>
          <w:u w:val="single"/>
        </w:rPr>
        <w:t>SED/MP n.º 73, de 2020</w:t>
      </w:r>
      <w:r w:rsidRPr="00BD68B3">
        <w:rPr>
          <w:rFonts w:ascii="Times New Roman" w:hAnsi="Times New Roman" w:cs="Times New Roman"/>
          <w:b/>
        </w:rPr>
        <w:t>,</w:t>
      </w:r>
      <w:r w:rsidRPr="00BD68B3">
        <w:rPr>
          <w:rFonts w:ascii="Times New Roman" w:hAnsi="Times New Roman" w:cs="Times New Roman"/>
        </w:rPr>
        <w:t xml:space="preserve"> com a redação conferida pela IN SEGES/MP n.º 03, de 2017 (Acórdão 509/2015-Plenário e Acórdão 2877/2017 – Plenário);</w:t>
      </w:r>
      <w:r w:rsidR="008E693A">
        <w:rPr>
          <w:rFonts w:ascii="Times New Roman" w:hAnsi="Times New Roman" w:cs="Times New Roman"/>
        </w:rPr>
        <w:t xml:space="preserve"> </w:t>
      </w:r>
      <w:r w:rsidRPr="00BD68B3">
        <w:rPr>
          <w:rFonts w:ascii="Times New Roman" w:hAnsi="Times New Roman" w:cs="Times New Roman"/>
          <w:b/>
        </w:rPr>
        <w:t>(</w:t>
      </w:r>
      <w:r w:rsidRPr="00BD68B3">
        <w:rPr>
          <w:rFonts w:ascii="Times New Roman" w:hAnsi="Times New Roman" w:cs="Times New Roman"/>
          <w:b/>
          <w:u w:val="single"/>
        </w:rPr>
        <w:t>alteração nossa</w:t>
      </w:r>
      <w:r w:rsidRPr="00BD68B3">
        <w:rPr>
          <w:rFonts w:ascii="Times New Roman" w:hAnsi="Times New Roman" w:cs="Times New Roman"/>
          <w:b/>
        </w:rPr>
        <w:t>)</w:t>
      </w:r>
    </w:p>
    <w:p w14:paraId="1DBD49BB" w14:textId="77777777" w:rsidR="00BF0F2E" w:rsidRPr="00BD68B3" w:rsidRDefault="00BF0F2E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</w:p>
    <w:p w14:paraId="01C2550B" w14:textId="77777777" w:rsidR="00BF0F2E" w:rsidRPr="00BD68B3" w:rsidRDefault="000B5807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</w:rPr>
        <w:t>e) Se as atas consultadas são gerenciadas por órgão ou entidade federal (art. 22, § 8</w:t>
      </w:r>
      <w:r w:rsidRPr="00BD68B3">
        <w:rPr>
          <w:rFonts w:ascii="Times New Roman" w:hAnsi="Times New Roman" w:cs="Times New Roman"/>
        </w:rPr>
        <w:t>º, do Decreto n.º 7.892, de 2013, e Orientação Normativa AGU n.º 21/2009);</w:t>
      </w:r>
    </w:p>
    <w:p w14:paraId="17452CC3" w14:textId="77777777" w:rsidR="00BF0F2E" w:rsidRPr="00BD68B3" w:rsidRDefault="00BF0F2E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</w:p>
    <w:p w14:paraId="53D2FD4C" w14:textId="77777777" w:rsidR="00BF0F2E" w:rsidRPr="00BD68B3" w:rsidRDefault="000B5807">
      <w:pPr>
        <w:tabs>
          <w:tab w:val="left" w:pos="1418"/>
        </w:tabs>
        <w:ind w:left="566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</w:rPr>
        <w:t xml:space="preserve"> f) A ata de registro de preços está em vigor (art. 22, caput, do Decreto n.º 7.892, de 2013); </w:t>
      </w:r>
    </w:p>
    <w:p w14:paraId="604C2FE3" w14:textId="77777777" w:rsidR="00BF0F2E" w:rsidRPr="00BD68B3" w:rsidRDefault="00BF0F2E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14:paraId="65D60B27" w14:textId="77777777" w:rsidR="00BF0F2E" w:rsidRPr="00BD68B3" w:rsidRDefault="000B5807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</w:rPr>
        <w:t>g) Se há permissão, no edital da licitação para SRP consultado, para a adesão à ata</w:t>
      </w:r>
      <w:r w:rsidRPr="00BD68B3">
        <w:rPr>
          <w:rFonts w:ascii="Times New Roman" w:hAnsi="Times New Roman" w:cs="Times New Roman"/>
        </w:rPr>
        <w:t xml:space="preserve"> (art. 9º, inciso III, do Decreto n.º 7.892, de 2013);</w:t>
      </w:r>
    </w:p>
    <w:p w14:paraId="5F76C264" w14:textId="77777777" w:rsidR="00BF0F2E" w:rsidRPr="00BD68B3" w:rsidRDefault="00BF0F2E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</w:p>
    <w:p w14:paraId="6A0C4D64" w14:textId="77777777" w:rsidR="00BF0F2E" w:rsidRPr="00BD68B3" w:rsidRDefault="000B5807">
      <w:pPr>
        <w:tabs>
          <w:tab w:val="left" w:pos="1418"/>
        </w:tabs>
        <w:ind w:left="720"/>
        <w:jc w:val="both"/>
        <w:rPr>
          <w:rFonts w:ascii="Times New Roman" w:hAnsi="Times New Roman" w:cs="Times New Roman"/>
          <w:b/>
        </w:rPr>
      </w:pPr>
      <w:r w:rsidRPr="00BD68B3">
        <w:rPr>
          <w:rFonts w:ascii="Times New Roman" w:hAnsi="Times New Roman" w:cs="Times New Roman"/>
        </w:rPr>
        <w:t>h) Se há previsão, no edital da licitação para SRP, da estimativa de quantidades a serem adquiridas pelos órgãos não participantes, observado o limite total de</w:t>
      </w:r>
      <w:r w:rsidRPr="00BD68B3">
        <w:rPr>
          <w:rFonts w:ascii="Times New Roman" w:hAnsi="Times New Roman" w:cs="Times New Roman"/>
          <w:b/>
        </w:rPr>
        <w:t xml:space="preserve"> </w:t>
      </w:r>
      <w:r w:rsidRPr="00BD68B3">
        <w:rPr>
          <w:rFonts w:ascii="Times New Roman" w:hAnsi="Times New Roman" w:cs="Times New Roman"/>
          <w:b/>
          <w:u w:val="single"/>
        </w:rPr>
        <w:t>o dobro do</w:t>
      </w:r>
      <w:r w:rsidRPr="00BD68B3">
        <w:rPr>
          <w:rFonts w:ascii="Times New Roman" w:hAnsi="Times New Roman" w:cs="Times New Roman"/>
          <w:b/>
        </w:rPr>
        <w:t xml:space="preserve"> </w:t>
      </w:r>
      <w:r w:rsidRPr="00BD68B3">
        <w:rPr>
          <w:rFonts w:ascii="Times New Roman" w:hAnsi="Times New Roman" w:cs="Times New Roman"/>
        </w:rPr>
        <w:t>quantitativo de cada item registrado na ata de registro de preços para o órgão gerenc</w:t>
      </w:r>
      <w:r w:rsidRPr="00BD68B3">
        <w:rPr>
          <w:rFonts w:ascii="Times New Roman" w:hAnsi="Times New Roman" w:cs="Times New Roman"/>
        </w:rPr>
        <w:t>iador e órgãos participantes, independentemente do número de órgãos não participantes que aderirem (art. 9º, inciso III, c/c o art. 22, § 4º, do Decreto n.º 7.892, de 2013);</w:t>
      </w:r>
      <w:r w:rsidRPr="00BD68B3">
        <w:rPr>
          <w:rFonts w:ascii="Times New Roman" w:hAnsi="Times New Roman" w:cs="Times New Roman"/>
          <w:b/>
        </w:rPr>
        <w:t xml:space="preserve"> </w:t>
      </w:r>
      <w:r w:rsidRPr="00BD68B3">
        <w:rPr>
          <w:rFonts w:ascii="Times New Roman" w:hAnsi="Times New Roman" w:cs="Times New Roman"/>
          <w:b/>
          <w:u w:val="single"/>
        </w:rPr>
        <w:t>(alteração nossa</w:t>
      </w:r>
      <w:r w:rsidRPr="00BD68B3">
        <w:rPr>
          <w:rFonts w:ascii="Times New Roman" w:hAnsi="Times New Roman" w:cs="Times New Roman"/>
          <w:b/>
        </w:rPr>
        <w:t>)</w:t>
      </w:r>
    </w:p>
    <w:p w14:paraId="7501F813" w14:textId="77777777" w:rsidR="00BF0F2E" w:rsidRPr="00BD68B3" w:rsidRDefault="00BF0F2E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</w:p>
    <w:p w14:paraId="6796EFAE" w14:textId="3C5B3876" w:rsidR="00BF0F2E" w:rsidRPr="008E693A" w:rsidRDefault="000B5807">
      <w:pPr>
        <w:jc w:val="both"/>
        <w:rPr>
          <w:rFonts w:ascii="Times New Roman" w:eastAsia="Arial" w:hAnsi="Times New Roman" w:cs="Times New Roman"/>
        </w:rPr>
      </w:pPr>
      <w:r w:rsidRPr="008E693A">
        <w:rPr>
          <w:rFonts w:ascii="Times New Roman" w:eastAsia="Arial" w:hAnsi="Times New Roman" w:cs="Times New Roman"/>
        </w:rPr>
        <w:t>19. Após consulta prévia feita pelo setor responsável e exposta</w:t>
      </w:r>
      <w:r w:rsidRPr="008E693A">
        <w:rPr>
          <w:rFonts w:ascii="Times New Roman" w:eastAsia="Arial" w:hAnsi="Times New Roman" w:cs="Times New Roman"/>
        </w:rPr>
        <w:t xml:space="preserve">s nos documentos do planejamento assim como Justificativa para Adesão ficou </w:t>
      </w:r>
      <w:r w:rsidRPr="008E693A">
        <w:rPr>
          <w:rFonts w:ascii="Times New Roman" w:eastAsia="Arial" w:hAnsi="Times New Roman" w:cs="Times New Roman"/>
        </w:rPr>
        <w:t xml:space="preserve">demonstrado o objeto presente na(s) ata(s) tem similaridade com o objeto pretendido pelo(a) </w:t>
      </w:r>
      <w:r w:rsidR="008E693A" w:rsidRPr="008E693A">
        <w:rPr>
          <w:rFonts w:ascii="Times New Roman" w:eastAsia="Arial" w:hAnsi="Times New Roman" w:cs="Times New Roman"/>
        </w:rPr>
        <w:t>C</w:t>
      </w:r>
      <w:r w:rsidRPr="008E693A">
        <w:rPr>
          <w:rFonts w:ascii="Times New Roman" w:eastAsia="Arial" w:hAnsi="Times New Roman" w:cs="Times New Roman"/>
        </w:rPr>
        <w:t>ampus</w:t>
      </w:r>
      <w:r w:rsidR="008E693A" w:rsidRPr="008E693A">
        <w:rPr>
          <w:rFonts w:ascii="Times New Roman" w:eastAsia="Arial" w:hAnsi="Times New Roman" w:cs="Times New Roman"/>
        </w:rPr>
        <w:t xml:space="preserve"> Petrolina</w:t>
      </w:r>
      <w:r w:rsidRPr="008E693A">
        <w:rPr>
          <w:rFonts w:ascii="Times New Roman" w:eastAsia="Arial" w:hAnsi="Times New Roman" w:cs="Times New Roman"/>
        </w:rPr>
        <w:t xml:space="preserve"> do IF Sertão-PE, como também se configura colacionados aos autos uma pe</w:t>
      </w:r>
      <w:r w:rsidRPr="008E693A">
        <w:rPr>
          <w:rFonts w:ascii="Times New Roman" w:eastAsia="Arial" w:hAnsi="Times New Roman" w:cs="Times New Roman"/>
        </w:rPr>
        <w:t xml:space="preserve">squisa de preço com </w:t>
      </w:r>
      <w:r w:rsidR="008E693A" w:rsidRPr="008E693A">
        <w:rPr>
          <w:rFonts w:ascii="Times New Roman" w:eastAsia="Arial" w:hAnsi="Times New Roman" w:cs="Times New Roman"/>
        </w:rPr>
        <w:t xml:space="preserve">pelo menos </w:t>
      </w:r>
      <w:r w:rsidRPr="008E693A">
        <w:rPr>
          <w:rFonts w:ascii="Times New Roman" w:eastAsia="Arial" w:hAnsi="Times New Roman" w:cs="Times New Roman"/>
        </w:rPr>
        <w:t xml:space="preserve">três </w:t>
      </w:r>
      <w:r w:rsidR="008E693A" w:rsidRPr="008E693A">
        <w:rPr>
          <w:rFonts w:ascii="Times New Roman" w:eastAsia="Arial" w:hAnsi="Times New Roman" w:cs="Times New Roman"/>
        </w:rPr>
        <w:t>preços</w:t>
      </w:r>
      <w:r w:rsidRPr="008E693A">
        <w:rPr>
          <w:rFonts w:ascii="Times New Roman" w:eastAsia="Arial" w:hAnsi="Times New Roman" w:cs="Times New Roman"/>
        </w:rPr>
        <w:t xml:space="preserve">, que se analisarmos do ponto de vista estatístico seja analisando  </w:t>
      </w:r>
      <w:r w:rsidRPr="008E693A">
        <w:rPr>
          <w:rFonts w:ascii="Times New Roman" w:eastAsia="Arial" w:hAnsi="Times New Roman" w:cs="Times New Roman"/>
          <w:highlight w:val="white"/>
        </w:rPr>
        <w:t>a média, a mediana ou o menor dos valores obtidos na pesquisa de preços,</w:t>
      </w:r>
      <w:r w:rsidRPr="008E693A">
        <w:rPr>
          <w:rFonts w:ascii="Times New Roman" w:eastAsia="Arial" w:hAnsi="Times New Roman" w:cs="Times New Roman"/>
        </w:rPr>
        <w:t xml:space="preserve"> verificaremos que os preços dispostos na referida ata compõe a melhor opçã</w:t>
      </w:r>
      <w:r w:rsidRPr="008E693A">
        <w:rPr>
          <w:rFonts w:ascii="Times New Roman" w:eastAsia="Arial" w:hAnsi="Times New Roman" w:cs="Times New Roman"/>
        </w:rPr>
        <w:t>o</w:t>
      </w:r>
      <w:r w:rsidRPr="008E693A">
        <w:rPr>
          <w:rFonts w:ascii="Times New Roman" w:eastAsia="Arial" w:hAnsi="Times New Roman" w:cs="Times New Roman"/>
        </w:rPr>
        <w:t xml:space="preserve">. </w:t>
      </w:r>
    </w:p>
    <w:p w14:paraId="2475CCF1" w14:textId="77777777" w:rsidR="00BF0F2E" w:rsidRPr="00BD68B3" w:rsidRDefault="00BF0F2E">
      <w:pPr>
        <w:jc w:val="both"/>
        <w:rPr>
          <w:rFonts w:ascii="Times New Roman" w:eastAsia="Arial" w:hAnsi="Times New Roman" w:cs="Times New Roman"/>
          <w:color w:val="00000A"/>
        </w:rPr>
      </w:pPr>
    </w:p>
    <w:p w14:paraId="5643EE26" w14:textId="135F5B6A" w:rsidR="00BF0F2E" w:rsidRPr="00BD68B3" w:rsidRDefault="000B5807">
      <w:pPr>
        <w:widowControl/>
        <w:jc w:val="both"/>
        <w:rPr>
          <w:rFonts w:ascii="Times New Roman" w:eastAsia="Arial" w:hAnsi="Times New Roman" w:cs="Times New Roman"/>
          <w:color w:val="00000A"/>
        </w:rPr>
      </w:pPr>
      <w:r w:rsidRPr="00BD68B3">
        <w:rPr>
          <w:rFonts w:ascii="Times New Roman" w:eastAsia="Arial" w:hAnsi="Times New Roman" w:cs="Times New Roman"/>
          <w:color w:val="00000A"/>
        </w:rPr>
        <w:t xml:space="preserve">20. Entretanto para que a contratação possa ocorrer por essa via reforçamos a obrigatoriedade de </w:t>
      </w:r>
      <w:r w:rsidRPr="00BD68B3">
        <w:rPr>
          <w:rFonts w:ascii="Times New Roman" w:eastAsia="Arial" w:hAnsi="Times New Roman" w:cs="Times New Roman"/>
          <w:color w:val="00000A"/>
        </w:rPr>
        <w:t>que sejam cumpridos outros requisitos por parte do IF Sertão-PE,</w:t>
      </w:r>
      <w:r w:rsidR="008E693A">
        <w:rPr>
          <w:rFonts w:ascii="Times New Roman" w:eastAsia="Arial" w:hAnsi="Times New Roman" w:cs="Times New Roman"/>
          <w:color w:val="00000A"/>
        </w:rPr>
        <w:t xml:space="preserve"> </w:t>
      </w:r>
      <w:r w:rsidRPr="00BD68B3">
        <w:rPr>
          <w:rFonts w:ascii="Times New Roman" w:eastAsia="Arial" w:hAnsi="Times New Roman" w:cs="Times New Roman"/>
          <w:color w:val="00000A"/>
        </w:rPr>
        <w:t>os quais estão descritos a seguir:</w:t>
      </w:r>
      <w:r w:rsidRPr="00BD68B3">
        <w:rPr>
          <w:rFonts w:ascii="Times New Roman" w:eastAsia="Arial" w:hAnsi="Times New Roman" w:cs="Times New Roman"/>
          <w:color w:val="00000A"/>
        </w:rPr>
        <w:t xml:space="preserve"> </w:t>
      </w:r>
    </w:p>
    <w:p w14:paraId="07141547" w14:textId="77777777" w:rsidR="00BF0F2E" w:rsidRPr="00BD68B3" w:rsidRDefault="00BF0F2E">
      <w:pPr>
        <w:widowControl/>
        <w:jc w:val="both"/>
        <w:rPr>
          <w:rFonts w:ascii="Times New Roman" w:eastAsia="Arial" w:hAnsi="Times New Roman" w:cs="Times New Roman"/>
          <w:color w:val="00000A"/>
        </w:rPr>
      </w:pPr>
    </w:p>
    <w:p w14:paraId="288106BB" w14:textId="77777777" w:rsidR="00BF0F2E" w:rsidRPr="00BD68B3" w:rsidRDefault="000B5807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</w:rPr>
        <w:t xml:space="preserve"> i) Formalização da consulta e anuência do órgão g</w:t>
      </w:r>
      <w:r w:rsidRPr="00BD68B3">
        <w:rPr>
          <w:rFonts w:ascii="Times New Roman" w:hAnsi="Times New Roman" w:cs="Times New Roman"/>
        </w:rPr>
        <w:t xml:space="preserve">erenciador acerca da adesão do órgão não participante à ata de registro de preços (art. 22, § 1º, do Decreto n.º 7.892, de 2013); </w:t>
      </w:r>
    </w:p>
    <w:p w14:paraId="78EC07C6" w14:textId="77777777" w:rsidR="00BF0F2E" w:rsidRPr="00BD68B3" w:rsidRDefault="00BF0F2E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</w:p>
    <w:p w14:paraId="11F340F3" w14:textId="77777777" w:rsidR="00BF0F2E" w:rsidRPr="00BD68B3" w:rsidRDefault="000B5807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</w:rPr>
        <w:t>j) indicação pelo órgão gerenciador do fornecedor ou prestador de serviço;</w:t>
      </w:r>
    </w:p>
    <w:p w14:paraId="3C0F743B" w14:textId="77777777" w:rsidR="00BF0F2E" w:rsidRPr="00BD68B3" w:rsidRDefault="00BF0F2E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</w:p>
    <w:p w14:paraId="37EADFFD" w14:textId="77777777" w:rsidR="00BF0F2E" w:rsidRPr="00BD68B3" w:rsidRDefault="000B5807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</w:rPr>
        <w:t>k) aceitação, pelo fornecedor, da contratação pr</w:t>
      </w:r>
      <w:r w:rsidRPr="00BD68B3">
        <w:rPr>
          <w:rFonts w:ascii="Times New Roman" w:hAnsi="Times New Roman" w:cs="Times New Roman"/>
        </w:rPr>
        <w:t>etendida, observadas as condições estabelecidas na ata de registro de preços, e desde que não prejudique as obrigações presentes e futuras decorrentes da ata, assumidas com o órgão gerenciador e órgãos participantes (art. 22, § 2º, do Decreto n.º 7.892, de</w:t>
      </w:r>
      <w:r w:rsidRPr="00BD68B3">
        <w:rPr>
          <w:rFonts w:ascii="Times New Roman" w:hAnsi="Times New Roman" w:cs="Times New Roman"/>
        </w:rPr>
        <w:t xml:space="preserve"> 2013);</w:t>
      </w:r>
    </w:p>
    <w:p w14:paraId="489FBD9C" w14:textId="77777777" w:rsidR="00BF0F2E" w:rsidRPr="00BD68B3" w:rsidRDefault="00BF0F2E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</w:p>
    <w:p w14:paraId="3339D533" w14:textId="77777777" w:rsidR="00BF0F2E" w:rsidRPr="00BD68B3" w:rsidRDefault="000B5807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</w:rPr>
        <w:t xml:space="preserve">l) observância do limite de 50% dos quantitativos dos itens do instrumento convocatório registrados na ata para o órgão gerenciador e órgãos participantes (art. 22, § 3º, do Decreto n.º 7.892, de 2013); </w:t>
      </w:r>
    </w:p>
    <w:p w14:paraId="4CB4E2F6" w14:textId="77777777" w:rsidR="00BF0F2E" w:rsidRPr="00BD68B3" w:rsidRDefault="00BF0F2E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</w:p>
    <w:p w14:paraId="5273E49D" w14:textId="77777777" w:rsidR="00BF0F2E" w:rsidRPr="00BD68B3" w:rsidRDefault="000B5807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</w:rPr>
        <w:t>m) Correspondência entre a minuta de contr</w:t>
      </w:r>
      <w:r w:rsidRPr="00BD68B3">
        <w:rPr>
          <w:rFonts w:ascii="Times New Roman" w:hAnsi="Times New Roman" w:cs="Times New Roman"/>
        </w:rPr>
        <w:t xml:space="preserve">ato a ser firmada e as cláusulas do termo de contrato decorrente da licitação, ressalvando-se condições peculiares do órgão não participante; </w:t>
      </w:r>
    </w:p>
    <w:p w14:paraId="43162E6E" w14:textId="77777777" w:rsidR="00BF0F2E" w:rsidRPr="00BD68B3" w:rsidRDefault="00BF0F2E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</w:p>
    <w:p w14:paraId="4500122B" w14:textId="77777777" w:rsidR="00BF0F2E" w:rsidRPr="00BD68B3" w:rsidRDefault="000B5807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</w:rPr>
        <w:t xml:space="preserve">n) observância do prazo de 90 (noventa) dias para aquisição ou contratação pelo órgão não participante, contado </w:t>
      </w:r>
      <w:r w:rsidRPr="00BD68B3">
        <w:rPr>
          <w:rFonts w:ascii="Times New Roman" w:hAnsi="Times New Roman" w:cs="Times New Roman"/>
        </w:rPr>
        <w:t xml:space="preserve">da data de autorização do órgão gerenciador (art. 22, § 6.º, do Decreto n.º 7.892, de 2013); </w:t>
      </w:r>
    </w:p>
    <w:p w14:paraId="2EC5DE27" w14:textId="77777777" w:rsidR="00BF0F2E" w:rsidRPr="00BD68B3" w:rsidRDefault="00BF0F2E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</w:p>
    <w:p w14:paraId="77E85289" w14:textId="77777777" w:rsidR="00BF0F2E" w:rsidRPr="00BD68B3" w:rsidRDefault="000B5807">
      <w:pPr>
        <w:tabs>
          <w:tab w:val="left" w:pos="1418"/>
        </w:tabs>
        <w:ind w:left="720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</w:rPr>
        <w:t>o) Não realizar a adesão a ata de registro de preços para aquisição separada de itens adjudicados por preço global para os quais o fornecedor registrado não tenh</w:t>
      </w:r>
      <w:r w:rsidRPr="00BD68B3">
        <w:rPr>
          <w:rFonts w:ascii="Times New Roman" w:hAnsi="Times New Roman" w:cs="Times New Roman"/>
        </w:rPr>
        <w:t>a apresentado o menor preço na licitação (Acórdão 7243/2017 - Segunda Câmara, Acórdão n.º 3985/2018 – Segunda Câmara).</w:t>
      </w:r>
    </w:p>
    <w:p w14:paraId="26B33FD7" w14:textId="77777777" w:rsidR="00BF0F2E" w:rsidRPr="00BD68B3" w:rsidRDefault="00BF0F2E">
      <w:pPr>
        <w:tabs>
          <w:tab w:val="left" w:pos="1418"/>
        </w:tabs>
        <w:spacing w:before="120" w:after="120" w:line="276" w:lineRule="auto"/>
        <w:ind w:left="283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95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5"/>
      </w:tblGrid>
      <w:tr w:rsidR="00BF0F2E" w:rsidRPr="00BD68B3" w14:paraId="635E84B5" w14:textId="77777777"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66"/>
          </w:tcPr>
          <w:p w14:paraId="45A4EE80" w14:textId="3771DEAC" w:rsidR="00BF0F2E" w:rsidRPr="00BD68B3" w:rsidRDefault="000B5807">
            <w:pPr>
              <w:spacing w:before="114" w:after="114" w:line="360" w:lineRule="auto"/>
              <w:rPr>
                <w:rFonts w:ascii="Times New Roman" w:hAnsi="Times New Roman" w:cs="Times New Roman"/>
              </w:rPr>
            </w:pPr>
            <w:r w:rsidRPr="00BD68B3">
              <w:rPr>
                <w:rFonts w:ascii="Times New Roman" w:hAnsi="Times New Roman" w:cs="Times New Roman"/>
                <w:b/>
                <w:color w:val="000000"/>
              </w:rPr>
              <w:t xml:space="preserve">III </w:t>
            </w:r>
            <w:r w:rsidR="008E693A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Pr="00BD68B3">
              <w:rPr>
                <w:rFonts w:ascii="Times New Roman" w:hAnsi="Times New Roman" w:cs="Times New Roman"/>
                <w:b/>
                <w:color w:val="000000"/>
              </w:rPr>
              <w:t xml:space="preserve"> CONCLUSÃO</w:t>
            </w:r>
          </w:p>
        </w:tc>
      </w:tr>
    </w:tbl>
    <w:p w14:paraId="3C15F649" w14:textId="77777777" w:rsidR="00BF0F2E" w:rsidRPr="00BD68B3" w:rsidRDefault="00BF0F2E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319622E4" w14:textId="5AFCC219" w:rsidR="00BF0F2E" w:rsidRPr="00BD68B3" w:rsidRDefault="000B5807">
      <w:pPr>
        <w:ind w:left="283"/>
        <w:jc w:val="both"/>
        <w:rPr>
          <w:rFonts w:ascii="Times New Roman" w:hAnsi="Times New Roman" w:cs="Times New Roman"/>
        </w:rPr>
      </w:pPr>
      <w:r w:rsidRPr="00BD68B3">
        <w:rPr>
          <w:rFonts w:ascii="Times New Roman" w:hAnsi="Times New Roman" w:cs="Times New Roman"/>
          <w:color w:val="000000"/>
        </w:rPr>
        <w:t>2</w:t>
      </w:r>
      <w:r w:rsidRPr="00BD68B3">
        <w:rPr>
          <w:rFonts w:ascii="Times New Roman" w:hAnsi="Times New Roman" w:cs="Times New Roman"/>
        </w:rPr>
        <w:t>1</w:t>
      </w:r>
      <w:r w:rsidRPr="00BD68B3">
        <w:rPr>
          <w:rFonts w:ascii="Times New Roman" w:hAnsi="Times New Roman" w:cs="Times New Roman"/>
          <w:color w:val="000000"/>
        </w:rPr>
        <w:t xml:space="preserve">. Ante o exposto, a proposição de </w:t>
      </w:r>
      <w:r w:rsidR="008E693A" w:rsidRPr="008E693A">
        <w:rPr>
          <w:rFonts w:ascii="Times New Roman" w:hAnsi="Times New Roman" w:cs="Times New Roman"/>
          <w:b/>
          <w:color w:val="00000A"/>
        </w:rPr>
        <w:t>Aquisição de MEIOS DE CULTURA (REAGENTES) para atender o campus Petrolina do Instituto Federal do Sertão Pernambucano – IF SERTÃO-PE</w:t>
      </w:r>
      <w:r w:rsidRPr="00BD68B3">
        <w:rPr>
          <w:rFonts w:ascii="Times New Roman" w:hAnsi="Times New Roman" w:cs="Times New Roman"/>
          <w:b/>
          <w:color w:val="00000A"/>
          <w:highlight w:val="white"/>
        </w:rPr>
        <w:t xml:space="preserve"> </w:t>
      </w:r>
      <w:r w:rsidRPr="00BD68B3">
        <w:rPr>
          <w:rFonts w:ascii="Times New Roman" w:hAnsi="Times New Roman" w:cs="Times New Roman"/>
          <w:b/>
          <w:color w:val="000000"/>
        </w:rPr>
        <w:t>é viável</w:t>
      </w:r>
      <w:r w:rsidRPr="00BD68B3">
        <w:rPr>
          <w:rFonts w:ascii="Times New Roman" w:hAnsi="Times New Roman" w:cs="Times New Roman"/>
          <w:color w:val="000000"/>
        </w:rPr>
        <w:t>, uma vez que foram observados todos os pontos dispostos no presente relatório.</w:t>
      </w:r>
    </w:p>
    <w:p w14:paraId="67C54C88" w14:textId="77777777" w:rsidR="00BF0F2E" w:rsidRPr="00BD68B3" w:rsidRDefault="00BF0F2E">
      <w:pPr>
        <w:spacing w:before="228" w:after="228"/>
        <w:ind w:left="283"/>
        <w:jc w:val="both"/>
        <w:rPr>
          <w:rFonts w:ascii="Times New Roman" w:eastAsia="Times New Roman" w:hAnsi="Times New Roman" w:cs="Times New Roman"/>
        </w:rPr>
      </w:pPr>
    </w:p>
    <w:p w14:paraId="5514D527" w14:textId="77777777" w:rsidR="008E693A" w:rsidRDefault="008E693A" w:rsidP="008E693A">
      <w:pPr>
        <w:spacing w:before="188"/>
        <w:ind w:right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Petrolina-PE, ____ de maio de 2022.</w:t>
      </w:r>
    </w:p>
    <w:p w14:paraId="1B421615" w14:textId="77777777" w:rsidR="008E693A" w:rsidRDefault="008E693A" w:rsidP="008E693A">
      <w:pPr>
        <w:spacing w:before="188"/>
        <w:ind w:right="560"/>
        <w:jc w:val="both"/>
        <w:rPr>
          <w:rFonts w:ascii="Times New Roman" w:hAnsi="Times New Roman" w:cs="Times New Roman"/>
        </w:rPr>
      </w:pPr>
    </w:p>
    <w:p w14:paraId="5155E018" w14:textId="77777777" w:rsidR="008E693A" w:rsidRDefault="008E693A" w:rsidP="008E693A">
      <w:pPr>
        <w:spacing w:before="188"/>
        <w:ind w:right="560"/>
        <w:jc w:val="both"/>
        <w:rPr>
          <w:rFonts w:ascii="Times New Roman" w:hAnsi="Times New Roman" w:cs="Times New Roman"/>
        </w:rPr>
      </w:pPr>
    </w:p>
    <w:p w14:paraId="6682E8F6" w14:textId="77777777" w:rsidR="008E693A" w:rsidRPr="00E36324" w:rsidRDefault="008E693A" w:rsidP="008E693A">
      <w:pPr>
        <w:ind w:right="561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73002F4" w14:textId="77777777" w:rsidR="008E693A" w:rsidRPr="00E36324" w:rsidRDefault="008E693A" w:rsidP="008E693A">
      <w:pPr>
        <w:ind w:right="561"/>
        <w:contextualSpacing/>
        <w:jc w:val="center"/>
        <w:rPr>
          <w:rFonts w:ascii="Times New Roman" w:hAnsi="Times New Roman" w:cs="Times New Roman"/>
          <w:b/>
          <w:bCs/>
        </w:rPr>
      </w:pPr>
      <w:r w:rsidRPr="00E36324">
        <w:rPr>
          <w:rFonts w:ascii="Times New Roman" w:hAnsi="Times New Roman" w:cs="Times New Roman"/>
          <w:b/>
          <w:bCs/>
        </w:rPr>
        <w:t>Reinaldo de Souza Dantas</w:t>
      </w:r>
    </w:p>
    <w:p w14:paraId="52F9AB18" w14:textId="69CBC3AB" w:rsidR="00BF0F2E" w:rsidRPr="008E693A" w:rsidRDefault="008E693A" w:rsidP="008E693A">
      <w:pPr>
        <w:ind w:right="561"/>
        <w:contextualSpacing/>
        <w:jc w:val="center"/>
        <w:rPr>
          <w:rFonts w:ascii="Times New Roman" w:hAnsi="Times New Roman" w:cs="Times New Roman"/>
          <w:b/>
          <w:bCs/>
        </w:rPr>
      </w:pPr>
      <w:r w:rsidRPr="00E36324">
        <w:rPr>
          <w:rFonts w:ascii="Times New Roman" w:hAnsi="Times New Roman" w:cs="Times New Roman"/>
          <w:b/>
          <w:bCs/>
        </w:rPr>
        <w:t>Diretor de Administração e Planejamento / Campus Petrolina</w:t>
      </w:r>
    </w:p>
    <w:sectPr w:rsidR="00BF0F2E" w:rsidRPr="008E693A">
      <w:headerReference w:type="default" r:id="rId7"/>
      <w:footerReference w:type="default" r:id="rId8"/>
      <w:pgSz w:w="11906" w:h="16838"/>
      <w:pgMar w:top="1134" w:right="1134" w:bottom="1134" w:left="122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D4A4" w14:textId="77777777" w:rsidR="000B5807" w:rsidRDefault="000B5807">
      <w:r>
        <w:separator/>
      </w:r>
    </w:p>
  </w:endnote>
  <w:endnote w:type="continuationSeparator" w:id="0">
    <w:p w14:paraId="6A32DA17" w14:textId="77777777" w:rsidR="000B5807" w:rsidRDefault="000B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D9E7" w14:textId="77777777" w:rsidR="00BF0F2E" w:rsidRDefault="00BF0F2E">
    <w:pPr>
      <w:jc w:val="center"/>
      <w:rPr>
        <w:rFonts w:ascii="Courier New" w:eastAsia="Courier New" w:hAnsi="Courier New" w:cs="Courier New"/>
        <w:sz w:val="12"/>
        <w:szCs w:val="12"/>
      </w:rPr>
    </w:pPr>
  </w:p>
  <w:p w14:paraId="112E25B9" w14:textId="77777777" w:rsidR="00BF0F2E" w:rsidRDefault="00BF0F2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C1CC" w14:textId="77777777" w:rsidR="000B5807" w:rsidRDefault="000B5807">
      <w:r>
        <w:separator/>
      </w:r>
    </w:p>
  </w:footnote>
  <w:footnote w:type="continuationSeparator" w:id="0">
    <w:p w14:paraId="0E2D2CCE" w14:textId="77777777" w:rsidR="000B5807" w:rsidRDefault="000B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E42B" w14:textId="77777777" w:rsidR="00BF0F2E" w:rsidRDefault="000B5807">
    <w:pPr>
      <w:ind w:right="49"/>
      <w:jc w:val="center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7DA311BF" wp14:editId="73ECB7D5">
          <wp:simplePos x="0" y="0"/>
          <wp:positionH relativeFrom="column">
            <wp:posOffset>2642870</wp:posOffset>
          </wp:positionH>
          <wp:positionV relativeFrom="paragraph">
            <wp:posOffset>-232408</wp:posOffset>
          </wp:positionV>
          <wp:extent cx="906780" cy="91122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780" cy="911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1F2C0C" w14:textId="77777777" w:rsidR="00BF0F2E" w:rsidRDefault="00BF0F2E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56E9ADD0" w14:textId="77777777" w:rsidR="00BF0F2E" w:rsidRDefault="00BF0F2E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5DBDDC27" w14:textId="77777777" w:rsidR="00BF0F2E" w:rsidRDefault="00BF0F2E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57B3AAF8" w14:textId="77777777" w:rsidR="00BF0F2E" w:rsidRDefault="00BF0F2E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22B2CE07" w14:textId="77777777" w:rsidR="00BF0F2E" w:rsidRDefault="00BF0F2E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4096A587" w14:textId="77777777" w:rsidR="00BF0F2E" w:rsidRDefault="000B5807">
    <w:pPr>
      <w:jc w:val="center"/>
    </w:pPr>
    <w:r>
      <w:rPr>
        <w:rFonts w:ascii="Times New Roman" w:eastAsia="Times New Roman" w:hAnsi="Times New Roman" w:cs="Times New Roman"/>
        <w:b/>
        <w:color w:val="00000A"/>
        <w:sz w:val="20"/>
        <w:szCs w:val="20"/>
      </w:rPr>
      <w:t>MINISTÉRIO DA EDUCAÇÃO</w:t>
    </w:r>
  </w:p>
  <w:p w14:paraId="6E5914B7" w14:textId="77777777" w:rsidR="00BF0F2E" w:rsidRDefault="000B5807">
    <w:pPr>
      <w:jc w:val="center"/>
    </w:pP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>SECRETARIA DE EDUCAÇÃO PROFISSIONAL E TECNOLÓGICA</w:t>
    </w:r>
  </w:p>
  <w:p w14:paraId="6A7CA72A" w14:textId="77777777" w:rsidR="00BF0F2E" w:rsidRDefault="000B5807">
    <w:pPr>
      <w:jc w:val="center"/>
    </w:pP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>INSTITUTO FEDERAL DE EDUCAÇÃO, CIÊNCIA E TECNOLOGIA DO SERTÃO PERNAMBUCANO</w:t>
    </w:r>
  </w:p>
  <w:p w14:paraId="06069D45" w14:textId="5AA68D53" w:rsidR="00BF0F2E" w:rsidRDefault="00AE1908">
    <w:pPr>
      <w:spacing w:line="288" w:lineRule="auto"/>
      <w:jc w:val="center"/>
      <w:rPr>
        <w:rFonts w:ascii="Times New Roman" w:eastAsia="Times New Roman" w:hAnsi="Times New Roman" w:cs="Times New Roman"/>
        <w:b/>
        <w:color w:val="000000"/>
        <w:sz w:val="14"/>
        <w:szCs w:val="14"/>
      </w:rPr>
    </w:pPr>
    <w:r>
      <w:rPr>
        <w:rFonts w:ascii="Times New Roman" w:eastAsia="Times New Roman" w:hAnsi="Times New Roman" w:cs="Times New Roman"/>
        <w:b/>
        <w:color w:val="000000"/>
        <w:sz w:val="14"/>
        <w:szCs w:val="14"/>
      </w:rPr>
      <w:t>CAMPUS PETROLINA</w:t>
    </w:r>
  </w:p>
  <w:p w14:paraId="42887D4C" w14:textId="023814F6" w:rsidR="00AE1908" w:rsidRDefault="00AE1908">
    <w:pPr>
      <w:spacing w:line="288" w:lineRule="auto"/>
      <w:jc w:val="center"/>
      <w:rPr>
        <w:rFonts w:ascii="Times New Roman" w:eastAsia="Times New Roman" w:hAnsi="Times New Roman" w:cs="Times New Roman"/>
        <w:b/>
        <w:color w:val="000000"/>
        <w:sz w:val="14"/>
        <w:szCs w:val="14"/>
      </w:rPr>
    </w:pPr>
    <w:r>
      <w:rPr>
        <w:rFonts w:ascii="Times New Roman" w:eastAsia="Times New Roman" w:hAnsi="Times New Roman" w:cs="Times New Roman"/>
        <w:b/>
        <w:color w:val="000000"/>
        <w:sz w:val="14"/>
        <w:szCs w:val="14"/>
      </w:rPr>
      <w:t>DIREÇÃO DE ADMINISTRAÇÃO E PLANEJAMENTO – DAP</w:t>
    </w:r>
  </w:p>
  <w:p w14:paraId="3C88CA34" w14:textId="77777777" w:rsidR="00AE1908" w:rsidRDefault="00AE1908">
    <w:pPr>
      <w:spacing w:line="288" w:lineRule="auto"/>
      <w:jc w:val="center"/>
      <w:rPr>
        <w:rFonts w:ascii="Times New Roman" w:eastAsia="Times New Roman" w:hAnsi="Times New Roman" w:cs="Times New Roman"/>
        <w:b/>
        <w:color w:val="FF3333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20259"/>
    <w:multiLevelType w:val="multilevel"/>
    <w:tmpl w:val="7968F0DC"/>
    <w:lvl w:ilvl="0">
      <w:start w:val="1"/>
      <w:numFmt w:val="bullet"/>
      <w:lvlText w:val="✔"/>
      <w:lvlJc w:val="left"/>
      <w:pPr>
        <w:ind w:left="720" w:hanging="360"/>
      </w:pPr>
    </w:lvl>
    <w:lvl w:ilvl="1">
      <w:start w:val="1"/>
      <w:numFmt w:val="bullet"/>
      <w:lvlText w:val="✔"/>
      <w:lvlJc w:val="left"/>
      <w:pPr>
        <w:ind w:left="1080" w:hanging="360"/>
      </w:pPr>
    </w:lvl>
    <w:lvl w:ilvl="2">
      <w:start w:val="1"/>
      <w:numFmt w:val="bullet"/>
      <w:lvlText w:val="✔"/>
      <w:lvlJc w:val="left"/>
      <w:pPr>
        <w:ind w:left="1440" w:hanging="360"/>
      </w:pPr>
    </w:lvl>
    <w:lvl w:ilvl="3">
      <w:start w:val="1"/>
      <w:numFmt w:val="bullet"/>
      <w:lvlText w:val="✔"/>
      <w:lvlJc w:val="left"/>
      <w:pPr>
        <w:ind w:left="1800" w:hanging="360"/>
      </w:pPr>
    </w:lvl>
    <w:lvl w:ilvl="4">
      <w:start w:val="1"/>
      <w:numFmt w:val="bullet"/>
      <w:lvlText w:val="✔"/>
      <w:lvlJc w:val="left"/>
      <w:pPr>
        <w:ind w:left="2160" w:hanging="360"/>
      </w:pPr>
    </w:lvl>
    <w:lvl w:ilvl="5">
      <w:start w:val="1"/>
      <w:numFmt w:val="bullet"/>
      <w:lvlText w:val="✔"/>
      <w:lvlJc w:val="left"/>
      <w:pPr>
        <w:ind w:left="2520" w:hanging="360"/>
      </w:pPr>
    </w:lvl>
    <w:lvl w:ilvl="6">
      <w:start w:val="1"/>
      <w:numFmt w:val="bullet"/>
      <w:lvlText w:val="✔"/>
      <w:lvlJc w:val="left"/>
      <w:pPr>
        <w:ind w:left="2880" w:hanging="360"/>
      </w:pPr>
    </w:lvl>
    <w:lvl w:ilvl="7">
      <w:start w:val="1"/>
      <w:numFmt w:val="bullet"/>
      <w:lvlText w:val="✔"/>
      <w:lvlJc w:val="left"/>
      <w:pPr>
        <w:ind w:left="3240" w:hanging="360"/>
      </w:pPr>
    </w:lvl>
    <w:lvl w:ilvl="8">
      <w:start w:val="1"/>
      <w:numFmt w:val="bullet"/>
      <w:lvlText w:val="✔"/>
      <w:lvlJc w:val="left"/>
      <w:pPr>
        <w:ind w:left="3600" w:hanging="360"/>
      </w:pPr>
    </w:lvl>
  </w:abstractNum>
  <w:num w:numId="1" w16cid:durableId="139670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E"/>
    <w:rsid w:val="000B5807"/>
    <w:rsid w:val="00333975"/>
    <w:rsid w:val="0040621F"/>
    <w:rsid w:val="008E693A"/>
    <w:rsid w:val="00AE1908"/>
    <w:rsid w:val="00BD68B3"/>
    <w:rsid w:val="00B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D688"/>
  <w15:docId w15:val="{9DB89632-D9BD-41ED-B61D-00BAB265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5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5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5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E19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908"/>
  </w:style>
  <w:style w:type="paragraph" w:styleId="Rodap">
    <w:name w:val="footer"/>
    <w:basedOn w:val="Normal"/>
    <w:link w:val="RodapChar"/>
    <w:uiPriority w:val="99"/>
    <w:unhideWhenUsed/>
    <w:rsid w:val="00AE19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2045</Words>
  <Characters>11043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Adv. Paulo Tavares</cp:lastModifiedBy>
  <cp:revision>3</cp:revision>
  <dcterms:created xsi:type="dcterms:W3CDTF">2022-05-19T01:35:00Z</dcterms:created>
  <dcterms:modified xsi:type="dcterms:W3CDTF">2022-05-19T01:57:00Z</dcterms:modified>
</cp:coreProperties>
</file>