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76" w:before="0" w:after="120"/>
        <w:ind w:right="-15" w:hanging="0"/>
        <w:jc w:val="center"/>
        <w:rPr>
          <w:rFonts w:ascii="Calibri" w:hAnsi="Calibri"/>
          <w:sz w:val="22"/>
          <w:szCs w:val="22"/>
        </w:rPr>
      </w:pPr>
      <w:r>
        <w:rPr>
          <w:rFonts w:cs="Arial" w:ascii="Calibri" w:hAnsi="Calibri"/>
          <w:b/>
          <w:bCs/>
          <w:color w:val="000000"/>
          <w:sz w:val="22"/>
          <w:szCs w:val="22"/>
        </w:rPr>
        <w:t>PROJETO BÁSICO</w:t>
      </w:r>
    </w:p>
    <w:p>
      <w:pPr>
        <w:pStyle w:val="Normal"/>
        <w:suppressAutoHyphens w:val="true"/>
        <w:spacing w:lineRule="auto" w:line="276" w:before="0" w:after="120"/>
        <w:ind w:right="-15" w:hanging="0"/>
        <w:jc w:val="center"/>
        <w:rPr>
          <w:rFonts w:ascii="Calibri" w:hAnsi="Calibri"/>
          <w:sz w:val="22"/>
          <w:szCs w:val="22"/>
        </w:rPr>
      </w:pPr>
      <w:r>
        <w:rPr>
          <w:rFonts w:cs="Arial" w:ascii="Calibri" w:hAnsi="Calibri"/>
          <w:b w:val="false"/>
          <w:bCs w:val="false"/>
          <w:i w:val="false"/>
          <w:iCs w:val="false"/>
          <w:color w:val="000000"/>
          <w:sz w:val="22"/>
          <w:szCs w:val="22"/>
          <w:lang w:val="pt-BR" w:eastAsia="zh-CN"/>
        </w:rPr>
        <w:t xml:space="preserve">INSTITUTO FEDERAL DO SERTÃO PERNAMBUCANO </w:t>
      </w:r>
    </w:p>
    <w:p>
      <w:pPr>
        <w:pStyle w:val="Normal"/>
        <w:suppressAutoHyphens w:val="true"/>
        <w:spacing w:lineRule="auto" w:line="276" w:before="0" w:after="120"/>
        <w:ind w:right="-15" w:hanging="0"/>
        <w:jc w:val="center"/>
        <w:rPr>
          <w:rFonts w:ascii="Calibri" w:hAnsi="Calibri"/>
          <w:sz w:val="22"/>
          <w:szCs w:val="22"/>
        </w:rPr>
      </w:pPr>
      <w:r>
        <w:rPr>
          <w:rFonts w:cs="Arial" w:ascii="Calibri" w:hAnsi="Calibri"/>
          <w:bCs/>
          <w:color w:val="000000"/>
          <w:sz w:val="22"/>
          <w:szCs w:val="22"/>
        </w:rPr>
        <w:t>RDC Nº ....../20...</w:t>
      </w:r>
    </w:p>
    <w:p>
      <w:pPr>
        <w:pStyle w:val="Normal"/>
        <w:suppressAutoHyphens w:val="true"/>
        <w:spacing w:lineRule="auto" w:line="276" w:before="0" w:after="120"/>
        <w:ind w:right="-15" w:hanging="0"/>
        <w:jc w:val="center"/>
        <w:rPr>
          <w:rFonts w:ascii="Calibri" w:hAnsi="Calibri"/>
          <w:sz w:val="22"/>
          <w:szCs w:val="22"/>
        </w:rPr>
      </w:pPr>
      <w:r>
        <w:rPr>
          <w:rFonts w:cs="Arial" w:ascii="Calibri" w:hAnsi="Calibri"/>
          <w:bCs/>
          <w:color w:val="000000"/>
          <w:sz w:val="22"/>
          <w:szCs w:val="22"/>
        </w:rPr>
        <w:t>(Processo Administrativo nº...........)</w:t>
      </w:r>
    </w:p>
    <w:p>
      <w:pPr>
        <w:pStyle w:val="Normal"/>
        <w:suppressAutoHyphens w:val="true"/>
        <w:spacing w:lineRule="auto" w:line="276" w:before="0" w:after="120"/>
        <w:ind w:right="-15" w:hanging="0"/>
        <w:jc w:val="center"/>
        <w:rPr>
          <w:rFonts w:ascii="Calibri" w:hAnsi="Calibri" w:cs="Arial"/>
          <w:bCs/>
          <w:color w:val="000000"/>
          <w:sz w:val="22"/>
          <w:szCs w:val="22"/>
        </w:rPr>
      </w:pPr>
      <w:r>
        <w:rPr>
          <w:rFonts w:cs="Arial" w:ascii="Calibri" w:hAnsi="Calibri"/>
          <w:bCs/>
          <w:color w:val="000000"/>
          <w:sz w:val="22"/>
          <w:szCs w:val="22"/>
        </w:rPr>
      </w:r>
    </w:p>
    <w:p>
      <w:pPr>
        <w:pStyle w:val="Normal"/>
        <w:numPr>
          <w:ilvl w:val="0"/>
          <w:numId w:val="3"/>
        </w:numPr>
        <w:tabs>
          <w:tab w:val="clear" w:pos="709"/>
          <w:tab w:val="left" w:pos="288" w:leader="none"/>
        </w:tabs>
        <w:suppressAutoHyphens w:val="true"/>
        <w:spacing w:lineRule="auto" w:line="276" w:before="0" w:after="120"/>
        <w:ind w:left="0" w:right="-15" w:hanging="0"/>
        <w:jc w:val="both"/>
        <w:rPr>
          <w:rFonts w:ascii="Calibri" w:hAnsi="Calibri"/>
          <w:sz w:val="22"/>
          <w:szCs w:val="22"/>
        </w:rPr>
      </w:pPr>
      <w:r>
        <w:rPr>
          <w:rFonts w:cs="Arial" w:ascii="Calibri" w:hAnsi="Calibri"/>
          <w:b/>
          <w:color w:val="000000"/>
          <w:sz w:val="22"/>
          <w:szCs w:val="22"/>
        </w:rPr>
        <w:t>OBJETO</w:t>
      </w:r>
    </w:p>
    <w:p>
      <w:pPr>
        <w:pStyle w:val="Normal"/>
        <w:numPr>
          <w:ilvl w:val="1"/>
          <w:numId w:val="3"/>
        </w:numPr>
        <w:tabs>
          <w:tab w:val="clear" w:pos="709"/>
          <w:tab w:val="left" w:pos="852" w:leader="none"/>
        </w:tabs>
        <w:suppressAutoHyphens w:val="true"/>
        <w:spacing w:lineRule="auto" w:line="276" w:before="120" w:after="120"/>
        <w:ind w:left="425" w:hanging="0"/>
        <w:jc w:val="both"/>
        <w:rPr>
          <w:rFonts w:ascii="Calibri" w:hAnsi="Calibri" w:cs="Arial"/>
          <w:i w:val="false"/>
          <w:i w:val="false"/>
          <w:iCs w:val="false"/>
          <w:color w:val="auto"/>
          <w:sz w:val="22"/>
          <w:szCs w:val="22"/>
          <w:lang w:val="pt-BR" w:eastAsia="zh-CN"/>
        </w:rPr>
      </w:pPr>
      <w:r>
        <w:rPr>
          <w:rFonts w:cs="Arial" w:ascii="Calibri" w:hAnsi="Calibri"/>
          <w:i w:val="false"/>
          <w:iCs w:val="false"/>
          <w:color w:val="auto"/>
          <w:sz w:val="22"/>
          <w:szCs w:val="22"/>
          <w:lang w:val="pt-BR" w:eastAsia="zh-CN"/>
        </w:rPr>
        <w:t xml:space="preserve">Contratação de empresa de engenharia responsável pela execução de obra de </w:t>
      </w:r>
      <w:r>
        <w:rPr>
          <w:rFonts w:cs="Arial" w:ascii="Calibri" w:hAnsi="Calibri"/>
          <w:b w:val="false"/>
          <w:bCs w:val="false"/>
          <w:i w:val="false"/>
          <w:iCs w:val="false"/>
          <w:color w:val="auto"/>
          <w:sz w:val="22"/>
          <w:szCs w:val="22"/>
          <w:u w:val="single"/>
          <w:lang w:val="pt-BR" w:eastAsia="zh-CN"/>
        </w:rPr>
        <w:t>CONSTRUÇÃO DO BLOCO DE ENGENHARIA CIVIL, ADEQUAÇÃO DAS INSTALAÇÕES DE COMBATE A INCÊNDIO E IMPLANTAÇÃO DA ESTAÇÃO DE TRATAMENTO DE ESGOTO NO CAMPUS SALGUEIRO</w:t>
      </w:r>
      <w:r>
        <w:rPr>
          <w:rFonts w:cs="Arial" w:ascii="Calibri" w:hAnsi="Calibri"/>
          <w:i w:val="false"/>
          <w:iCs w:val="false"/>
          <w:color w:val="auto"/>
          <w:sz w:val="22"/>
          <w:szCs w:val="22"/>
          <w:lang w:val="pt-BR" w:eastAsia="zh-CN"/>
        </w:rPr>
        <w:t>, conforme condições, quantidades e exigências estabelecidas neste instrumento e seus anexos:</w:t>
      </w:r>
    </w:p>
    <w:p>
      <w:pPr>
        <w:pStyle w:val="Normal"/>
        <w:numPr>
          <w:ilvl w:val="1"/>
          <w:numId w:val="3"/>
        </w:numPr>
        <w:tabs>
          <w:tab w:val="clear" w:pos="709"/>
          <w:tab w:val="left" w:pos="852" w:leader="none"/>
        </w:tabs>
        <w:suppressAutoHyphens w:val="true"/>
        <w:spacing w:lineRule="auto" w:line="276" w:before="120" w:after="120"/>
        <w:ind w:left="425" w:hanging="0"/>
        <w:jc w:val="both"/>
        <w:rPr>
          <w:rFonts w:ascii="Calibri" w:hAnsi="Calibri" w:cs="Arial"/>
          <w:i w:val="false"/>
          <w:i w:val="false"/>
          <w:iCs w:val="false"/>
          <w:color w:val="auto"/>
          <w:sz w:val="22"/>
          <w:szCs w:val="22"/>
          <w:lang w:val="pt-BR" w:eastAsia="zh-CN"/>
        </w:rPr>
      </w:pPr>
      <w:r>
        <w:rPr>
          <w:rFonts w:cs="Arial" w:ascii="Calibri" w:hAnsi="Calibri"/>
          <w:i w:val="false"/>
          <w:iCs w:val="false"/>
          <w:color w:val="auto"/>
          <w:sz w:val="22"/>
          <w:szCs w:val="22"/>
          <w:lang w:val="pt-BR" w:eastAsia="zh-CN"/>
        </w:rPr>
        <w:t>O objeto da licitação tem a natureza de obra de engenharia.</w:t>
      </w:r>
    </w:p>
    <w:p>
      <w:pPr>
        <w:pStyle w:val="Normal"/>
        <w:numPr>
          <w:ilvl w:val="1"/>
          <w:numId w:val="3"/>
        </w:numPr>
        <w:tabs>
          <w:tab w:val="clear" w:pos="709"/>
          <w:tab w:val="left" w:pos="852" w:leader="none"/>
        </w:tabs>
        <w:suppressAutoHyphens w:val="true"/>
        <w:spacing w:lineRule="auto" w:line="276" w:before="120" w:after="120"/>
        <w:ind w:left="425" w:hanging="0"/>
        <w:jc w:val="both"/>
        <w:rPr>
          <w:rFonts w:ascii="Calibri" w:hAnsi="Calibri" w:cs="Arial"/>
          <w:i w:val="false"/>
          <w:i w:val="false"/>
          <w:iCs w:val="false"/>
          <w:color w:val="auto"/>
          <w:sz w:val="22"/>
          <w:szCs w:val="22"/>
          <w:lang w:val="pt-BR" w:eastAsia="zh-CN"/>
        </w:rPr>
      </w:pPr>
      <w:r>
        <w:rPr>
          <w:rFonts w:cs="Arial" w:ascii="Calibri" w:hAnsi="Calibri"/>
          <w:i w:val="false"/>
          <w:iCs w:val="false"/>
          <w:color w:val="auto"/>
          <w:sz w:val="22"/>
          <w:szCs w:val="22"/>
          <w:lang w:val="pt-BR" w:eastAsia="zh-CN"/>
        </w:rPr>
        <w:t>Os quantitativos e respectivos códigos dos itens são os discriminados no anexo do Projeto Básico.</w:t>
      </w:r>
    </w:p>
    <w:p>
      <w:pPr>
        <w:pStyle w:val="Normal"/>
        <w:numPr>
          <w:ilvl w:val="1"/>
          <w:numId w:val="3"/>
        </w:numPr>
        <w:tabs>
          <w:tab w:val="clear" w:pos="709"/>
          <w:tab w:val="left" w:pos="852" w:leader="none"/>
        </w:tabs>
        <w:suppressAutoHyphens w:val="true"/>
        <w:spacing w:lineRule="auto" w:line="276" w:before="0" w:after="0"/>
        <w:ind w:left="425" w:hanging="0"/>
        <w:jc w:val="both"/>
        <w:rPr/>
      </w:pPr>
      <w:r>
        <w:rPr>
          <w:rStyle w:val="Normaltextrun"/>
          <w:rFonts w:cs="Arial" w:ascii="Calibri" w:hAnsi="Calibri"/>
          <w:i w:val="false"/>
          <w:iCs w:val="false"/>
          <w:color w:val="000000"/>
          <w:sz w:val="22"/>
          <w:szCs w:val="22"/>
          <w:shd w:fill="auto" w:val="clear"/>
          <w:lang w:val="pt-BR" w:eastAsia="zh-CN"/>
        </w:rPr>
        <w:t>O contr</w:t>
      </w:r>
      <w:r>
        <w:rPr>
          <w:rStyle w:val="Normaltextrun"/>
          <w:rFonts w:cs="Arial" w:ascii="Calibri" w:hAnsi="Calibri"/>
          <w:b w:val="false"/>
          <w:i w:val="false"/>
          <w:iCs w:val="false"/>
          <w:color w:val="000000"/>
          <w:kern w:val="2"/>
          <w:sz w:val="22"/>
          <w:szCs w:val="22"/>
          <w:shd w:fill="auto" w:val="clear"/>
          <w:lang w:val="pt-BR" w:eastAsia="zh-CN"/>
        </w:rPr>
        <w:t>ato terá vigência pelo período de 15 meses, sendo prorrogável apenas na forma do art. 57, §1º da Lei nº 8.666, de 1993.</w:t>
      </w:r>
    </w:p>
    <w:p>
      <w:pPr>
        <w:pStyle w:val="Normal"/>
        <w:numPr>
          <w:ilvl w:val="1"/>
          <w:numId w:val="3"/>
        </w:numPr>
        <w:tabs>
          <w:tab w:val="clear" w:pos="709"/>
          <w:tab w:val="left" w:pos="852" w:leader="none"/>
        </w:tabs>
        <w:suppressAutoHyphens w:val="true"/>
        <w:spacing w:lineRule="auto" w:line="276" w:before="120" w:after="120"/>
        <w:ind w:left="425" w:hanging="0"/>
        <w:jc w:val="both"/>
        <w:rPr>
          <w:rFonts w:ascii="Arial" w:hAnsi="Arial" w:cs="Arial"/>
          <w:i w:val="false"/>
          <w:i w:val="false"/>
          <w:iCs w:val="false"/>
          <w:color w:val="auto"/>
          <w:sz w:val="20"/>
          <w:szCs w:val="20"/>
          <w:lang w:val="pt-BR" w:eastAsia="zh-CN"/>
        </w:rPr>
      </w:pPr>
      <w:r>
        <w:rPr>
          <w:rStyle w:val="Normaltextrun"/>
          <w:rFonts w:cs="Arial" w:ascii="Calibri" w:hAnsi="Calibri"/>
          <w:b w:val="false"/>
          <w:i w:val="false"/>
          <w:iCs w:val="false"/>
          <w:color w:val="000000"/>
          <w:kern w:val="2"/>
          <w:sz w:val="22"/>
          <w:szCs w:val="22"/>
          <w:shd w:fill="auto" w:val="clear"/>
          <w:lang w:val="pt-BR" w:eastAsia="zh-CN"/>
        </w:rPr>
        <w:t>O regime de execução do contrato será o de Empreitada por Preço Unitário.</w:t>
      </w:r>
    </w:p>
    <w:p>
      <w:pPr>
        <w:pStyle w:val="Normal"/>
        <w:numPr>
          <w:ilvl w:val="0"/>
          <w:numId w:val="0"/>
        </w:numPr>
        <w:suppressAutoHyphens w:val="true"/>
        <w:spacing w:beforeAutospacing="0" w:before="0" w:afterAutospacing="0" w:after="0"/>
        <w:ind w:left="1080" w:hanging="0"/>
        <w:jc w:val="both"/>
        <w:textAlignment w:val="baseline"/>
        <w:rPr>
          <w:rFonts w:ascii="Calibri" w:hAnsi="Calibri" w:cs="Arial"/>
          <w:b/>
          <w:b/>
          <w:bCs/>
          <w:i w:val="false"/>
          <w:i w:val="false"/>
          <w:iCs w:val="false"/>
          <w:color w:val="auto"/>
          <w:sz w:val="22"/>
          <w:szCs w:val="22"/>
          <w:shd w:fill="auto" w:val="clear"/>
          <w:lang w:val="pt-BR" w:eastAsia="zh-CN"/>
        </w:rPr>
      </w:pPr>
      <w:r>
        <w:rPr>
          <w:rFonts w:cs="Arial" w:ascii="Calibri" w:hAnsi="Calibri"/>
          <w:b/>
          <w:bCs/>
          <w:i w:val="false"/>
          <w:iCs w:val="false"/>
          <w:color w:val="000000"/>
          <w:sz w:val="22"/>
          <w:szCs w:val="22"/>
          <w:shd w:fill="auto" w:val="clear"/>
          <w:lang w:val="pt-BR" w:eastAsia="zh-CN"/>
        </w:rPr>
      </w:r>
    </w:p>
    <w:p>
      <w:pPr>
        <w:pStyle w:val="Normal"/>
        <w:numPr>
          <w:ilvl w:val="0"/>
          <w:numId w:val="2"/>
        </w:numPr>
        <w:tabs>
          <w:tab w:val="clear" w:pos="709"/>
          <w:tab w:val="left" w:pos="288" w:leader="none"/>
        </w:tabs>
        <w:suppressAutoHyphens w:val="true"/>
        <w:spacing w:lineRule="auto" w:line="276" w:before="120" w:after="120"/>
        <w:ind w:left="0" w:hanging="0"/>
        <w:jc w:val="both"/>
        <w:rPr>
          <w:rFonts w:ascii="Calibri" w:hAnsi="Calibri"/>
          <w:b/>
          <w:b/>
          <w:bCs/>
          <w:sz w:val="22"/>
          <w:szCs w:val="22"/>
          <w:shd w:fill="auto" w:val="clear"/>
        </w:rPr>
      </w:pPr>
      <w:r>
        <w:rPr>
          <w:rFonts w:cs="Arial" w:ascii="Calibri" w:hAnsi="Calibri"/>
          <w:b/>
          <w:bCs/>
          <w:sz w:val="22"/>
          <w:szCs w:val="22"/>
          <w:shd w:fill="auto" w:val="clear"/>
        </w:rPr>
        <w:t>JUSTIFICATIVA E OBJETIVO DA CONTRATAÇÃO</w:t>
      </w:r>
    </w:p>
    <w:p>
      <w:pPr>
        <w:pStyle w:val="Normal"/>
        <w:numPr>
          <w:ilvl w:val="1"/>
          <w:numId w:val="2"/>
        </w:numPr>
        <w:tabs>
          <w:tab w:val="clear" w:pos="709"/>
          <w:tab w:val="left" w:pos="852" w:leader="none"/>
        </w:tabs>
        <w:suppressAutoHyphens w:val="true"/>
        <w:spacing w:lineRule="auto" w:line="276" w:before="0" w:after="0"/>
        <w:ind w:left="425" w:hanging="0"/>
        <w:jc w:val="both"/>
        <w:rPr>
          <w:rFonts w:ascii="Calibri" w:hAnsi="Calibri"/>
          <w:sz w:val="22"/>
          <w:szCs w:val="22"/>
        </w:rPr>
      </w:pPr>
      <w:r>
        <w:rPr>
          <w:rFonts w:cs="Arial" w:ascii="Calibri" w:hAnsi="Calibri"/>
          <w:sz w:val="22"/>
          <w:szCs w:val="22"/>
          <w:shd w:fill="auto" w:val="clear"/>
        </w:rPr>
        <w:t>A Justificativa e objetivo da contratação encontra-se pormenorizada em Tópico específico dos Estudos Técnicos Preliminares, apêndice deste Projeto Básico.</w:t>
      </w:r>
    </w:p>
    <w:p>
      <w:pPr>
        <w:pStyle w:val="Normal"/>
        <w:suppressAutoHyphens w:val="true"/>
        <w:spacing w:lineRule="auto" w:line="276" w:before="0" w:after="0"/>
        <w:ind w:left="425" w:hanging="0"/>
        <w:jc w:val="both"/>
        <w:rPr>
          <w:rFonts w:cs="Arial"/>
          <w:shd w:fill="auto" w:val="clear"/>
        </w:rPr>
      </w:pPr>
      <w:r>
        <w:rPr>
          <w:rFonts w:cs="Arial"/>
          <w:shd w:fill="auto" w:val="clear"/>
        </w:rPr>
      </w:r>
    </w:p>
    <w:p>
      <w:pPr>
        <w:pStyle w:val="Normal"/>
        <w:numPr>
          <w:ilvl w:val="0"/>
          <w:numId w:val="2"/>
        </w:numPr>
        <w:tabs>
          <w:tab w:val="clear" w:pos="709"/>
          <w:tab w:val="left" w:pos="288" w:leader="none"/>
        </w:tabs>
        <w:suppressAutoHyphens w:val="true"/>
        <w:spacing w:lineRule="auto" w:line="276" w:before="120" w:after="120"/>
        <w:ind w:left="0" w:hanging="0"/>
        <w:jc w:val="both"/>
        <w:rPr>
          <w:rFonts w:ascii="Calibri" w:hAnsi="Calibri"/>
          <w:b/>
          <w:b/>
          <w:bCs/>
          <w:sz w:val="22"/>
          <w:szCs w:val="22"/>
          <w:shd w:fill="auto" w:val="clear"/>
        </w:rPr>
      </w:pPr>
      <w:r>
        <w:rPr>
          <w:rFonts w:cs="Arial" w:ascii="Calibri" w:hAnsi="Calibri"/>
          <w:b/>
          <w:bCs/>
          <w:sz w:val="22"/>
          <w:szCs w:val="22"/>
          <w:shd w:fill="auto" w:val="clear"/>
        </w:rPr>
        <w:t>DESCRIÇÃO DA SOLUÇÃO</w:t>
      </w:r>
    </w:p>
    <w:p>
      <w:pPr>
        <w:pStyle w:val="Normal"/>
        <w:numPr>
          <w:ilvl w:val="1"/>
          <w:numId w:val="2"/>
        </w:numPr>
        <w:tabs>
          <w:tab w:val="clear" w:pos="709"/>
          <w:tab w:val="left" w:pos="852" w:leader="none"/>
        </w:tabs>
        <w:suppressAutoHyphens w:val="true"/>
        <w:spacing w:lineRule="auto" w:line="276" w:before="0" w:after="0"/>
        <w:ind w:left="425" w:hanging="0"/>
        <w:jc w:val="both"/>
        <w:rPr>
          <w:rFonts w:ascii="Calibri" w:hAnsi="Calibri"/>
          <w:sz w:val="22"/>
          <w:szCs w:val="22"/>
        </w:rPr>
      </w:pPr>
      <w:r>
        <w:rPr>
          <w:rFonts w:cs="Arial" w:ascii="Calibri" w:hAnsi="Calibri"/>
          <w:iCs/>
          <w:sz w:val="22"/>
          <w:szCs w:val="22"/>
          <w:shd w:fill="auto" w:val="clear"/>
        </w:rPr>
        <w:t>A descrição da solução como um todo, encontra-se pormenorizada em Tópico específico dos Estudos Técnicos Preliminares, apêndice deste Projeto Básico.</w:t>
      </w:r>
    </w:p>
    <w:p>
      <w:pPr>
        <w:pStyle w:val="Normal"/>
        <w:suppressAutoHyphens w:val="true"/>
        <w:spacing w:lineRule="auto" w:line="276" w:before="0" w:after="0"/>
        <w:ind w:left="425" w:hanging="0"/>
        <w:jc w:val="both"/>
        <w:rPr>
          <w:rFonts w:cs="Arial"/>
          <w:iCs/>
          <w:shd w:fill="auto" w:val="clear"/>
        </w:rPr>
      </w:pPr>
      <w:r>
        <w:rPr>
          <w:rFonts w:cs="Arial"/>
          <w:iCs/>
          <w:shd w:fill="auto" w:val="clear"/>
        </w:rPr>
      </w:r>
    </w:p>
    <w:p>
      <w:pPr>
        <w:pStyle w:val="Normal"/>
        <w:widowControl/>
        <w:numPr>
          <w:ilvl w:val="0"/>
          <w:numId w:val="2"/>
        </w:numPr>
        <w:suppressAutoHyphens w:val="true"/>
        <w:bidi w:val="0"/>
        <w:spacing w:before="0" w:after="120"/>
        <w:ind w:left="283" w:right="0" w:hanging="283"/>
        <w:jc w:val="both"/>
        <w:rPr>
          <w:rFonts w:ascii="Calibri" w:hAnsi="Calibri"/>
          <w:sz w:val="22"/>
          <w:szCs w:val="22"/>
        </w:rPr>
      </w:pPr>
      <w:r>
        <w:rPr>
          <w:rFonts w:cs="Arial" w:ascii="Calibri" w:hAnsi="Calibri"/>
          <w:b/>
          <w:bCs/>
          <w:sz w:val="22"/>
          <w:szCs w:val="22"/>
        </w:rPr>
        <w:t>DA CLASSIFICAÇÃO DO OBJETO E FORMA DE SELEÇÃO DO FORNECEDOR</w:t>
      </w:r>
    </w:p>
    <w:p>
      <w:pPr>
        <w:pStyle w:val="Normal"/>
        <w:numPr>
          <w:ilvl w:val="1"/>
          <w:numId w:val="2"/>
        </w:numPr>
        <w:tabs>
          <w:tab w:val="clear" w:pos="709"/>
          <w:tab w:val="left" w:pos="852"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i w:val="false"/>
          <w:iCs/>
          <w:color w:val="000000"/>
          <w:sz w:val="22"/>
          <w:szCs w:val="22"/>
          <w:shd w:fill="auto" w:val="clear"/>
          <w:lang w:val="pt-BR" w:eastAsia="zh-CN"/>
        </w:rPr>
        <w:t>Trata-se de obra a ser contratada mediante licitação, na modalidade Regime Diferenciado de Contratação – RDC Eletrônico.</w:t>
      </w:r>
    </w:p>
    <w:p>
      <w:pPr>
        <w:pStyle w:val="Normal"/>
        <w:numPr>
          <w:ilvl w:val="1"/>
          <w:numId w:val="2"/>
        </w:numPr>
        <w:tabs>
          <w:tab w:val="clear" w:pos="709"/>
          <w:tab w:val="left" w:pos="852" w:leader="none"/>
        </w:tabs>
        <w:suppressAutoHyphens w:val="true"/>
        <w:spacing w:lineRule="auto" w:line="276" w:before="120" w:after="0"/>
        <w:ind w:left="425" w:hanging="0"/>
        <w:jc w:val="both"/>
        <w:rPr>
          <w:rFonts w:ascii="Calibri" w:hAnsi="Calibri"/>
          <w:sz w:val="22"/>
          <w:szCs w:val="22"/>
        </w:rPr>
      </w:pPr>
      <w:r>
        <w:rPr>
          <w:rFonts w:cs="Arial" w:ascii="Calibri" w:hAnsi="Calibri"/>
          <w:sz w:val="22"/>
          <w:szCs w:val="22"/>
        </w:rPr>
        <w:t>A execução do contrato não gerará vínculo empregatício entre os empregados da Contratada e a Administração, vedando-se qualquer relação entre estes que caracterize pesso</w:t>
      </w:r>
      <w:r>
        <w:rPr>
          <w:rFonts w:cs="Arial" w:ascii="Calibri" w:hAnsi="Calibri"/>
          <w:sz w:val="22"/>
          <w:szCs w:val="22"/>
          <w:lang w:val="pt-BR" w:eastAsia="zh-CN"/>
        </w:rPr>
        <w:t>alidade e subordinação direta.</w:t>
      </w:r>
    </w:p>
    <w:p>
      <w:pPr>
        <w:pStyle w:val="Normal"/>
        <w:numPr>
          <w:ilvl w:val="1"/>
          <w:numId w:val="2"/>
        </w:numPr>
        <w:tabs>
          <w:tab w:val="clear" w:pos="709"/>
          <w:tab w:val="left" w:pos="852" w:leader="none"/>
        </w:tabs>
        <w:suppressAutoHyphens w:val="true"/>
        <w:spacing w:lineRule="auto" w:line="276" w:before="120" w:after="0"/>
        <w:ind w:left="425" w:hanging="0"/>
        <w:jc w:val="both"/>
        <w:rPr>
          <w:rFonts w:ascii="Calibri" w:hAnsi="Calibri" w:cs="Arial"/>
          <w:sz w:val="22"/>
          <w:szCs w:val="22"/>
          <w:lang w:val="pt-BR" w:eastAsia="zh-CN"/>
        </w:rPr>
      </w:pPr>
      <w:r>
        <w:rPr>
          <w:rFonts w:cs="Arial" w:ascii="Calibri" w:hAnsi="Calibri"/>
          <w:b w:val="false"/>
          <w:i w:val="false"/>
          <w:color w:val="000000"/>
          <w:sz w:val="22"/>
          <w:szCs w:val="22"/>
          <w:lang w:val="pt-BR" w:eastAsia="zh-CN"/>
        </w:rPr>
        <w:t>O modo de disputa será Combinado Fechado/Aberto.</w:t>
      </w:r>
    </w:p>
    <w:p>
      <w:pPr>
        <w:pStyle w:val="Normal"/>
        <w:numPr>
          <w:ilvl w:val="1"/>
          <w:numId w:val="2"/>
        </w:numPr>
        <w:tabs>
          <w:tab w:val="clear" w:pos="709"/>
          <w:tab w:val="left" w:pos="852" w:leader="none"/>
        </w:tabs>
        <w:suppressAutoHyphens w:val="true"/>
        <w:spacing w:lineRule="auto" w:line="276" w:before="120" w:after="0"/>
        <w:ind w:left="425" w:hanging="0"/>
        <w:jc w:val="both"/>
        <w:rPr>
          <w:rFonts w:ascii="Calibri" w:hAnsi="Calibri" w:cs="Arial"/>
          <w:sz w:val="22"/>
          <w:szCs w:val="22"/>
          <w:lang w:val="pt-BR" w:eastAsia="zh-CN"/>
        </w:rPr>
      </w:pPr>
      <w:r>
        <w:rPr>
          <w:rFonts w:cs="Arial" w:ascii="Calibri" w:hAnsi="Calibri"/>
          <w:b w:val="false"/>
          <w:i w:val="false"/>
          <w:color w:val="000000"/>
          <w:sz w:val="22"/>
          <w:szCs w:val="22"/>
          <w:lang w:val="pt-BR" w:eastAsia="zh-CN"/>
        </w:rPr>
        <w:t>O critério de julgamento da proposta será o maior desconto global.</w:t>
      </w:r>
    </w:p>
    <w:p>
      <w:pPr>
        <w:pStyle w:val="Normal"/>
        <w:numPr>
          <w:ilvl w:val="1"/>
          <w:numId w:val="2"/>
        </w:numPr>
        <w:tabs>
          <w:tab w:val="clear" w:pos="709"/>
          <w:tab w:val="left" w:pos="852" w:leader="none"/>
        </w:tabs>
        <w:suppressAutoHyphens w:val="true"/>
        <w:spacing w:lineRule="auto" w:line="276" w:before="0" w:after="0"/>
        <w:ind w:left="425" w:hanging="0"/>
        <w:jc w:val="both"/>
        <w:rPr>
          <w:rFonts w:ascii="Calibri" w:hAnsi="Calibri" w:cs="Arial"/>
          <w:sz w:val="22"/>
          <w:szCs w:val="22"/>
        </w:rPr>
      </w:pPr>
      <w:r>
        <w:rPr>
          <w:rFonts w:cs="Arial" w:ascii="Calibri" w:hAnsi="Calibri"/>
          <w:b w:val="false"/>
          <w:i w:val="false"/>
          <w:color w:val="000000"/>
          <w:sz w:val="22"/>
          <w:szCs w:val="22"/>
          <w:lang w:val="pt-BR" w:eastAsia="zh-CN"/>
        </w:rPr>
        <w:t>Não será permitida a participação de consórcios.</w:t>
      </w:r>
    </w:p>
    <w:p>
      <w:pPr>
        <w:pStyle w:val="Normal"/>
        <w:numPr>
          <w:ilvl w:val="0"/>
          <w:numId w:val="0"/>
        </w:numPr>
        <w:tabs>
          <w:tab w:val="clear" w:pos="709"/>
          <w:tab w:val="left" w:pos="852" w:leader="none"/>
        </w:tabs>
        <w:suppressAutoHyphens w:val="true"/>
        <w:spacing w:lineRule="auto" w:line="276" w:before="57" w:after="57"/>
        <w:ind w:left="857" w:hanging="0"/>
        <w:jc w:val="both"/>
        <w:rPr>
          <w:b w:val="false"/>
          <w:b w:val="false"/>
          <w:i w:val="false"/>
          <w:i w:val="false"/>
          <w:color w:val="000000"/>
          <w:lang w:val="pt-BR" w:eastAsia="zh-CN"/>
        </w:rPr>
      </w:pPr>
      <w:r>
        <w:rPr>
          <w:b w:val="false"/>
          <w:i w:val="false"/>
          <w:color w:val="000000"/>
          <w:lang w:val="pt-BR" w:eastAsia="zh-CN"/>
        </w:rPr>
      </w:r>
    </w:p>
    <w:p>
      <w:pPr>
        <w:pStyle w:val="Nivel1"/>
        <w:numPr>
          <w:ilvl w:val="0"/>
          <w:numId w:val="2"/>
        </w:numPr>
        <w:tabs>
          <w:tab w:val="clear" w:pos="709"/>
          <w:tab w:val="left" w:pos="288" w:leader="none"/>
        </w:tabs>
        <w:suppressAutoHyphens w:val="true"/>
        <w:spacing w:before="0" w:after="0"/>
        <w:rPr>
          <w:rFonts w:ascii="Calibri" w:hAnsi="Calibri"/>
          <w:sz w:val="22"/>
          <w:szCs w:val="22"/>
        </w:rPr>
      </w:pPr>
      <w:r>
        <w:rPr>
          <w:rFonts w:cs="Arial" w:ascii="Calibri" w:hAnsi="Calibri"/>
          <w:b/>
          <w:bCs/>
          <w:i w:val="false"/>
          <w:iCs w:val="false"/>
          <w:color w:val="auto"/>
          <w:sz w:val="22"/>
          <w:szCs w:val="22"/>
        </w:rPr>
        <w:t>VISTORIA PARA A LICITAÇÃO</w:t>
      </w:r>
    </w:p>
    <w:p>
      <w:pPr>
        <w:pStyle w:val="Nivel1"/>
        <w:keepNext w:val="true"/>
        <w:keepLines/>
        <w:widowControl/>
        <w:numPr>
          <w:ilvl w:val="1"/>
          <w:numId w:val="2"/>
        </w:numPr>
        <w:tabs>
          <w:tab w:val="clear" w:pos="709"/>
          <w:tab w:val="left" w:pos="564" w:leader="none"/>
          <w:tab w:val="left" w:pos="852" w:leader="none"/>
        </w:tabs>
        <w:suppressAutoHyphens w:val="true"/>
        <w:bidi w:val="0"/>
        <w:spacing w:lineRule="auto" w:line="276" w:before="81" w:after="0"/>
        <w:ind w:left="397" w:right="0" w:hanging="0"/>
        <w:jc w:val="both"/>
        <w:rPr>
          <w:rFonts w:ascii="Calibri" w:hAnsi="Calibri"/>
          <w:sz w:val="22"/>
          <w:szCs w:val="22"/>
        </w:rPr>
      </w:pPr>
      <w:r>
        <w:rPr>
          <w:rFonts w:cs="Arial" w:ascii="Calibri" w:hAnsi="Calibri"/>
          <w:b w:val="false"/>
          <w:i w:val="false"/>
          <w:iCs w:val="false"/>
          <w:color w:val="auto"/>
          <w:sz w:val="22"/>
          <w:szCs w:val="22"/>
        </w:rPr>
        <w:t xml:space="preserve">Para o correto dimensionamento e elaboração de sua proposta, o licitante poderá realizar vistoria nas instalações do local de execução dos serviços, acompanhado por servidor designado para esse fim, de segunda a sexta-feira, </w:t>
      </w:r>
      <w:r>
        <w:rPr>
          <w:rFonts w:ascii="Calibri" w:hAnsi="Calibri"/>
          <w:b w:val="false"/>
          <w:i w:val="false"/>
          <w:iCs w:val="false"/>
          <w:color w:val="auto"/>
          <w:sz w:val="22"/>
          <w:szCs w:val="22"/>
        </w:rPr>
        <w:t>das 9h00 horas às 16h00 horas, devendo o agendamento ser efetuado previamente pelo telefone (87) 2101-2392.</w:t>
      </w:r>
    </w:p>
    <w:p>
      <w:pPr>
        <w:pStyle w:val="Nivel1"/>
        <w:widowControl/>
        <w:numPr>
          <w:ilvl w:val="1"/>
          <w:numId w:val="2"/>
        </w:numPr>
        <w:tabs>
          <w:tab w:val="clear" w:pos="709"/>
          <w:tab w:val="left" w:pos="564" w:leader="none"/>
          <w:tab w:val="left" w:pos="852" w:leader="none"/>
        </w:tabs>
        <w:suppressAutoHyphens w:val="true"/>
        <w:bidi w:val="0"/>
        <w:spacing w:lineRule="auto" w:line="276" w:before="81" w:after="0"/>
        <w:ind w:left="397" w:right="0" w:hanging="0"/>
        <w:jc w:val="both"/>
        <w:rPr>
          <w:rFonts w:ascii="Calibri" w:hAnsi="Calibri" w:eastAsia="游ゴシック Light"/>
          <w:b w:val="false"/>
          <w:b w:val="false"/>
          <w:bCs w:val="false"/>
          <w:i w:val="false"/>
          <w:i w:val="false"/>
          <w:iCs w:val="false"/>
          <w:color w:val="auto"/>
          <w:sz w:val="22"/>
          <w:szCs w:val="22"/>
          <w:lang w:val="pt-BR" w:eastAsia="pt-BR"/>
        </w:rPr>
      </w:pPr>
      <w:r>
        <w:rPr>
          <w:rFonts w:eastAsia="游ゴシック Light" w:cs="Arial" w:ascii="Calibri" w:hAnsi="Calibri"/>
          <w:b w:val="false"/>
          <w:bCs w:val="false"/>
          <w:i w:val="false"/>
          <w:iCs w:val="false"/>
          <w:color w:val="auto"/>
          <w:sz w:val="22"/>
          <w:szCs w:val="22"/>
          <w:lang w:val="pt-BR" w:eastAsia="pt-BR"/>
        </w:rPr>
        <w:t>O prazo para vistoria iniciar-se-á no dia útil seguinte ao da publicação do Edital, estendendo-se até o dia útil anterior à data prevista para a abertura da sessão pública.</w:t>
      </w:r>
    </w:p>
    <w:p>
      <w:pPr>
        <w:pStyle w:val="ListParagraph"/>
        <w:numPr>
          <w:ilvl w:val="2"/>
          <w:numId w:val="2"/>
        </w:numPr>
        <w:suppressAutoHyphens w:val="true"/>
        <w:spacing w:lineRule="auto" w:line="276" w:before="120" w:after="120"/>
        <w:contextualSpacing/>
        <w:jc w:val="both"/>
        <w:rPr>
          <w:rFonts w:ascii="Calibri" w:hAnsi="Calibri" w:eastAsia="游ゴシック Light" w:cs="Arial"/>
          <w:b w:val="false"/>
          <w:b w:val="false"/>
          <w:bCs w:val="false"/>
          <w:i w:val="false"/>
          <w:i w:val="false"/>
          <w:iCs w:val="false"/>
          <w:color w:val="auto"/>
          <w:sz w:val="22"/>
          <w:szCs w:val="22"/>
          <w:lang w:val="pt-BR" w:eastAsia="pt-BR"/>
        </w:rPr>
      </w:pPr>
      <w:r>
        <w:rPr>
          <w:rFonts w:eastAsia="游ゴシック Light" w:cs="Arial" w:ascii="Calibri" w:hAnsi="Calibri"/>
          <w:b w:val="false"/>
          <w:bCs w:val="false"/>
          <w:i w:val="false"/>
          <w:iCs w:val="false"/>
          <w:color w:val="auto"/>
          <w:sz w:val="22"/>
          <w:szCs w:val="22"/>
          <w:lang w:val="pt-BR" w:eastAsia="pt-BR"/>
        </w:rPr>
        <w:t>Para a vistoria o licitante, ou o seu representante legal, deverá estar devidamente identificado, apresentando documento de identidade civil e documento expedido pela empresa comprovando sua habilitação para a realização da vistoria.</w:t>
      </w:r>
    </w:p>
    <w:p>
      <w:pPr>
        <w:pStyle w:val="Nivel1"/>
        <w:widowControl/>
        <w:numPr>
          <w:ilvl w:val="1"/>
          <w:numId w:val="2"/>
        </w:numPr>
        <w:tabs>
          <w:tab w:val="clear" w:pos="709"/>
          <w:tab w:val="left" w:pos="564" w:leader="none"/>
          <w:tab w:val="left" w:pos="852" w:leader="none"/>
        </w:tabs>
        <w:suppressAutoHyphens w:val="true"/>
        <w:bidi w:val="0"/>
        <w:spacing w:lineRule="auto" w:line="276" w:before="81" w:after="0"/>
        <w:ind w:left="397" w:right="0" w:hanging="0"/>
        <w:jc w:val="both"/>
        <w:rPr>
          <w:rFonts w:ascii="Calibri" w:hAnsi="Calibri"/>
          <w:sz w:val="22"/>
          <w:szCs w:val="22"/>
        </w:rPr>
      </w:pPr>
      <w:r>
        <w:rPr>
          <w:rFonts w:eastAsia="游ゴシック Light" w:cs="Arial" w:ascii="Calibri" w:hAnsi="Calibri"/>
          <w:b w:val="false"/>
          <w:bCs w:val="false"/>
          <w:i w:val="false"/>
          <w:iCs w:val="false"/>
          <w:color w:val="auto"/>
          <w:sz w:val="22"/>
          <w:szCs w:val="22"/>
          <w:lang w:val="pt-BR" w:eastAsia="pt-BR"/>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Nivel1"/>
        <w:widowControl/>
        <w:numPr>
          <w:ilvl w:val="1"/>
          <w:numId w:val="2"/>
        </w:numPr>
        <w:tabs>
          <w:tab w:val="clear" w:pos="709"/>
          <w:tab w:val="left" w:pos="564" w:leader="none"/>
          <w:tab w:val="left" w:pos="852" w:leader="none"/>
        </w:tabs>
        <w:suppressAutoHyphens w:val="true"/>
        <w:bidi w:val="0"/>
        <w:spacing w:lineRule="auto" w:line="276" w:before="81" w:after="0"/>
        <w:ind w:left="397" w:right="0" w:hanging="0"/>
        <w:jc w:val="both"/>
        <w:rPr>
          <w:rFonts w:ascii="Calibri" w:hAnsi="Calibri"/>
          <w:sz w:val="22"/>
          <w:szCs w:val="22"/>
        </w:rPr>
      </w:pPr>
      <w:r>
        <w:rPr>
          <w:rFonts w:eastAsia="游ゴシック Light" w:cs="Arial" w:ascii="Calibri" w:hAnsi="Calibri"/>
          <w:b w:val="false"/>
          <w:bCs w:val="false"/>
          <w:i w:val="false"/>
          <w:iCs w:val="false"/>
          <w:color w:val="auto"/>
          <w:sz w:val="22"/>
          <w:szCs w:val="22"/>
          <w:lang w:val="pt-BR" w:eastAsia="pt-BR"/>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Nivel1"/>
        <w:widowControl/>
        <w:numPr>
          <w:ilvl w:val="1"/>
          <w:numId w:val="2"/>
        </w:numPr>
        <w:tabs>
          <w:tab w:val="clear" w:pos="709"/>
          <w:tab w:val="left" w:pos="564" w:leader="none"/>
          <w:tab w:val="left" w:pos="852" w:leader="none"/>
        </w:tabs>
        <w:suppressAutoHyphens w:val="true"/>
        <w:bidi w:val="0"/>
        <w:spacing w:lineRule="auto" w:line="276" w:before="81" w:after="0"/>
        <w:ind w:left="397" w:right="0" w:hanging="0"/>
        <w:jc w:val="both"/>
        <w:rPr>
          <w:rFonts w:ascii="Calibri" w:hAnsi="Calibri"/>
          <w:sz w:val="22"/>
          <w:szCs w:val="22"/>
        </w:rPr>
      </w:pPr>
      <w:r>
        <w:rPr>
          <w:rFonts w:eastAsia="游ゴシック Light" w:cs="Arial" w:ascii="Calibri" w:hAnsi="Calibri"/>
          <w:b w:val="false"/>
          <w:bCs w:val="false"/>
          <w:i w:val="false"/>
          <w:iCs w:val="false"/>
          <w:color w:val="auto"/>
          <w:sz w:val="22"/>
          <w:szCs w:val="22"/>
          <w:lang w:val="pt-BR" w:eastAsia="pt-BR"/>
        </w:rPr>
        <w:t>A licitante deverá declarar que tomou conhecimento de todas as informações e das condições locais para o cumprimento das obrigações objeto da licitação.</w:t>
      </w:r>
      <w:r>
        <w:rPr>
          <w:rFonts w:eastAsia="Calibri" w:cs="Arial" w:ascii="Calibri" w:hAnsi="Calibri"/>
          <w:i/>
          <w:iCs/>
          <w:sz w:val="22"/>
          <w:szCs w:val="22"/>
        </w:rPr>
        <w:t xml:space="preserve"> </w:t>
      </w:r>
    </w:p>
    <w:p>
      <w:pPr>
        <w:pStyle w:val="Normal"/>
        <w:tabs>
          <w:tab w:val="clear" w:pos="709"/>
          <w:tab w:val="left" w:pos="0" w:leader="none"/>
        </w:tabs>
        <w:suppressAutoHyphens w:val="true"/>
        <w:spacing w:before="0" w:after="120"/>
        <w:ind w:left="360" w:hanging="0"/>
        <w:jc w:val="both"/>
        <w:rPr>
          <w:rFonts w:cs="Arial"/>
          <w:i/>
          <w:i/>
        </w:rPr>
      </w:pPr>
      <w:r>
        <w:rPr>
          <w:rFonts w:cs="Arial"/>
          <w:i/>
        </w:rPr>
      </w:r>
    </w:p>
    <w:p>
      <w:pPr>
        <w:pStyle w:val="Normal"/>
        <w:numPr>
          <w:ilvl w:val="0"/>
          <w:numId w:val="2"/>
        </w:numPr>
        <w:tabs>
          <w:tab w:val="clear" w:pos="709"/>
          <w:tab w:val="left" w:pos="456" w:leader="none"/>
        </w:tabs>
        <w:suppressAutoHyphens w:val="true"/>
        <w:spacing w:before="0" w:after="120"/>
        <w:ind w:left="0" w:hanging="0"/>
        <w:jc w:val="both"/>
        <w:rPr>
          <w:rFonts w:ascii="Calibri" w:hAnsi="Calibri"/>
          <w:sz w:val="22"/>
          <w:szCs w:val="22"/>
        </w:rPr>
      </w:pPr>
      <w:r>
        <w:rPr>
          <w:rFonts w:cs="Arial" w:ascii="Calibri" w:hAnsi="Calibri"/>
          <w:b/>
          <w:bCs/>
          <w:color w:val="000000" w:themeColor="text1"/>
          <w:sz w:val="22"/>
          <w:szCs w:val="22"/>
          <w:lang w:eastAsia="en-US"/>
        </w:rPr>
        <w:t>OBRIGAÇÕES DA CONTRATANTE</w:t>
      </w:r>
    </w:p>
    <w:p>
      <w:pPr>
        <w:pStyle w:val="Normal"/>
        <w:numPr>
          <w:ilvl w:val="1"/>
          <w:numId w:val="2"/>
        </w:numPr>
        <w:tabs>
          <w:tab w:val="clear" w:pos="709"/>
          <w:tab w:val="left" w:pos="852" w:leader="none"/>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Exigir o cumprimento de todas as obrigações assumidas pela Contratada, de acordo com as cláusulas contratuais e os termos de sua proposta;</w:t>
      </w:r>
    </w:p>
    <w:p>
      <w:pPr>
        <w:pStyle w:val="Normal"/>
        <w:numPr>
          <w:ilvl w:val="1"/>
          <w:numId w:val="2"/>
        </w:numPr>
        <w:tabs>
          <w:tab w:val="clear" w:pos="709"/>
          <w:tab w:val="left" w:pos="1080"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 xml:space="preserve">Exercer o acompanhamento e a fiscalização dos serviços, por servidor ou </w:t>
      </w:r>
      <w:r>
        <w:rPr>
          <w:rFonts w:cs="Arial" w:ascii="Calibri" w:hAnsi="Calibri"/>
          <w:sz w:val="22"/>
          <w:szCs w:val="22"/>
        </w:rPr>
        <w:t>comissão especialmente designada,</w:t>
      </w:r>
      <w:r>
        <w:rPr>
          <w:rFonts w:cs="Arial" w:ascii="Calibri" w:hAnsi="Calibri"/>
          <w:color w:val="000000" w:themeColor="text1"/>
          <w:sz w:val="22"/>
          <w:szCs w:val="22"/>
        </w:rPr>
        <w:t xml:space="preserve"> anotando em registro próprio as falhas detectadas, indicando dia, mês e ano, bem como o nome dos empregados eventualmente envolvidos, encaminhando os apontamentos à autoridade competente para as providências cabíveis;</w:t>
      </w:r>
    </w:p>
    <w:p>
      <w:pPr>
        <w:pStyle w:val="Normal"/>
        <w:numPr>
          <w:ilvl w:val="1"/>
          <w:numId w:val="2"/>
        </w:numPr>
        <w:tabs>
          <w:tab w:val="clear" w:pos="709"/>
          <w:tab w:val="left" w:pos="1080"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 xml:space="preserve">Notificar a Contratada por escrito da ocorrência de eventuais imperfeições, falhas ou irregularidades constatadas no curso da execução dos serviços, fixando prazo para a sua correção, </w:t>
      </w:r>
      <w:r>
        <w:rPr>
          <w:rFonts w:cs="Arial" w:ascii="Calibri" w:hAnsi="Calibri"/>
          <w:sz w:val="22"/>
          <w:szCs w:val="22"/>
        </w:rPr>
        <w:t>certificando-se de que as soluções por ela propostas sejam as mais adequadas;</w:t>
      </w:r>
    </w:p>
    <w:p>
      <w:pPr>
        <w:pStyle w:val="Normal"/>
        <w:numPr>
          <w:ilvl w:val="1"/>
          <w:numId w:val="2"/>
        </w:numPr>
        <w:tabs>
          <w:tab w:val="clear" w:pos="709"/>
          <w:tab w:val="left" w:pos="1080"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Pagar à Contratada o valor resultante da prestação do serviço, conforme cronograma físico-financeiro;</w:t>
      </w:r>
    </w:p>
    <w:p>
      <w:pPr>
        <w:pStyle w:val="Normal"/>
        <w:numPr>
          <w:ilvl w:val="1"/>
          <w:numId w:val="2"/>
        </w:numPr>
        <w:tabs>
          <w:tab w:val="clear" w:pos="709"/>
          <w:tab w:val="left" w:pos="1080"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Efetuar as retenções tributárias devidas sobre o valor da fatura de serviços da Contratada;</w:t>
      </w:r>
    </w:p>
    <w:p>
      <w:pPr>
        <w:pStyle w:val="Normal"/>
        <w:numPr>
          <w:ilvl w:val="1"/>
          <w:numId w:val="2"/>
        </w:numPr>
        <w:tabs>
          <w:tab w:val="clear" w:pos="709"/>
          <w:tab w:val="left" w:pos="1080"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Não praticar atos de ingerência na administração da Contratada, tais como:</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rFonts w:ascii="Calibri" w:hAnsi="Calibri"/>
          <w:sz w:val="22"/>
          <w:szCs w:val="22"/>
        </w:rPr>
      </w:pPr>
      <w:r>
        <w:rPr>
          <w:rFonts w:cs="Arial" w:ascii="Calibri" w:hAnsi="Calibri"/>
          <w:sz w:val="22"/>
          <w:szCs w:val="22"/>
        </w:rPr>
        <w:t>Exercer o poder de mando sobre os empregados da Contratada, devendo reportar-se somente aos prepostos ou responsáveis por ela indicados, exceto quando o objeto da contratação previr o atendimento direto;</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rFonts w:ascii="Calibri" w:hAnsi="Calibri"/>
          <w:sz w:val="22"/>
          <w:szCs w:val="22"/>
        </w:rPr>
      </w:pPr>
      <w:r>
        <w:rPr>
          <w:rFonts w:cs="Arial" w:ascii="Calibri" w:hAnsi="Calibri"/>
          <w:sz w:val="22"/>
          <w:szCs w:val="22"/>
        </w:rPr>
        <w:t>Direcionar a contratação de pessoas para trabalhar nas empresas Contratadas;</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rFonts w:ascii="Calibri" w:hAnsi="Calibri"/>
          <w:sz w:val="22"/>
          <w:szCs w:val="22"/>
        </w:rPr>
      </w:pPr>
      <w:r>
        <w:rPr>
          <w:rFonts w:cs="Arial" w:ascii="Calibri" w:hAnsi="Calibri"/>
          <w:sz w:val="22"/>
          <w:szCs w:val="22"/>
        </w:rPr>
        <w:t>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rFonts w:ascii="Calibri" w:hAnsi="Calibri"/>
          <w:sz w:val="22"/>
          <w:szCs w:val="22"/>
        </w:rPr>
      </w:pPr>
      <w:r>
        <w:rPr>
          <w:rFonts w:cs="Arial" w:ascii="Calibri" w:hAnsi="Calibri"/>
          <w:sz w:val="22"/>
          <w:szCs w:val="22"/>
        </w:rPr>
        <w:t>Considerar os trabalhadores da Contratada como colaboradores eventuais do próprio órgão ou entidade responsável pela contratação, especialmente para efeito de concessão de diárias e passagens.</w:t>
      </w:r>
    </w:p>
    <w:p>
      <w:pPr>
        <w:pStyle w:val="Normal"/>
        <w:numPr>
          <w:ilvl w:val="1"/>
          <w:numId w:val="2"/>
        </w:numPr>
        <w:tabs>
          <w:tab w:val="clear" w:pos="709"/>
          <w:tab w:val="left" w:pos="1080"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Fornecer por escrito as informações necessárias para o desenvolvimento dos serviços objeto do contrato;</w:t>
      </w:r>
    </w:p>
    <w:p>
      <w:pPr>
        <w:pStyle w:val="Normal"/>
        <w:numPr>
          <w:ilvl w:val="1"/>
          <w:numId w:val="2"/>
        </w:numPr>
        <w:tabs>
          <w:tab w:val="clear" w:pos="709"/>
          <w:tab w:val="left" w:pos="1080"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Realizar avaliações periódicas da qualidade dos serviços, após seu recebimento;</w:t>
      </w:r>
    </w:p>
    <w:p>
      <w:pPr>
        <w:pStyle w:val="Normal"/>
        <w:numPr>
          <w:ilvl w:val="1"/>
          <w:numId w:val="2"/>
        </w:numPr>
        <w:tabs>
          <w:tab w:val="clear" w:pos="709"/>
          <w:tab w:val="left" w:pos="1080"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Cientificar o órgão de representação judicial da Advocacia-Geral da União para adoção das medidas cabíveis quando do descumprimento das obrigações pela Contratada;</w:t>
      </w:r>
    </w:p>
    <w:p>
      <w:pPr>
        <w:pStyle w:val="Normal"/>
        <w:numPr>
          <w:ilvl w:val="1"/>
          <w:numId w:val="2"/>
        </w:numPr>
        <w:tabs>
          <w:tab w:val="clear" w:pos="709"/>
          <w:tab w:val="left" w:pos="1080"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i w:val="false"/>
          <w:color w:val="auto"/>
          <w:kern w:val="2"/>
          <w:sz w:val="22"/>
          <w:szCs w:val="22"/>
          <w:lang w:val="pt-BR" w:eastAsia="zh-CN"/>
        </w:rPr>
        <w:t>A</w:t>
      </w:r>
      <w:r>
        <w:rPr>
          <w:rFonts w:cs="Arial" w:ascii="Calibri" w:hAnsi="Calibri"/>
          <w:b w:val="false"/>
          <w:i w:val="false"/>
          <w:iCs/>
          <w:color w:val="auto"/>
          <w:kern w:val="2"/>
          <w:sz w:val="22"/>
          <w:szCs w:val="22"/>
          <w:lang w:val="pt-BR" w:eastAsia="zh-CN"/>
        </w:rPr>
        <w:t>rquivar, entre outros documentos, de projetos, "as built", especificações técnicas, orçamentos, termos de recebimento, contratos e aditamentos, relatórios de inspeções técnicas após o recebimento do serviço e notificações expedidas;</w:t>
      </w:r>
      <w:r>
        <w:rPr>
          <w:rFonts w:cs="Arial" w:ascii="Calibri" w:hAnsi="Calibri"/>
          <w:sz w:val="22"/>
          <w:szCs w:val="22"/>
        </w:rPr>
        <w:t xml:space="preserve"> </w:t>
      </w:r>
    </w:p>
    <w:p>
      <w:pPr>
        <w:pStyle w:val="Normal"/>
        <w:numPr>
          <w:ilvl w:val="1"/>
          <w:numId w:val="2"/>
        </w:numPr>
        <w:tabs>
          <w:tab w:val="clear" w:pos="709"/>
          <w:tab w:val="left" w:pos="1080" w:leader="none"/>
        </w:tabs>
        <w:suppressAutoHyphens w:val="true"/>
        <w:spacing w:lineRule="auto" w:line="276" w:before="120" w:after="120"/>
        <w:ind w:left="425" w:hanging="0"/>
        <w:jc w:val="both"/>
        <w:rPr>
          <w:rFonts w:ascii="Calibri" w:hAnsi="Calibri" w:cs="Arial"/>
          <w:color w:val="auto"/>
          <w:sz w:val="22"/>
          <w:szCs w:val="22"/>
          <w:lang w:val="pt-BR" w:eastAsia="zh-CN"/>
        </w:rPr>
      </w:pPr>
      <w:r>
        <w:rPr>
          <w:rFonts w:cs="Arial" w:ascii="Calibri" w:hAnsi="Calibri"/>
          <w:color w:val="auto"/>
          <w:sz w:val="22"/>
          <w:szCs w:val="22"/>
          <w:lang w:val="pt-BR" w:eastAsia="zh-CN"/>
        </w:rPr>
        <w:t>Exigir da Contratada que providencie a seguinte documentação como condição indispensável para o recebimento definitivo de objeto:</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rFonts w:ascii="Calibri" w:hAnsi="Calibri" w:cs="Arial"/>
          <w:color w:val="auto"/>
          <w:sz w:val="22"/>
          <w:szCs w:val="22"/>
          <w:lang w:val="pt-BR" w:eastAsia="zh-CN"/>
        </w:rPr>
      </w:pPr>
      <w:r>
        <w:rPr>
          <w:rFonts w:cs="Arial" w:ascii="Calibri" w:hAnsi="Calibri"/>
          <w:color w:val="auto"/>
          <w:sz w:val="22"/>
          <w:szCs w:val="22"/>
          <w:lang w:val="pt-BR" w:eastAsia="zh-CN"/>
        </w:rPr>
        <w:t>"A</w:t>
      </w:r>
      <w:r>
        <w:rPr>
          <w:rFonts w:cs="Arial" w:ascii="Calibri" w:hAnsi="Calibri"/>
          <w:i/>
          <w:iCs/>
          <w:color w:val="auto"/>
          <w:sz w:val="22"/>
          <w:szCs w:val="22"/>
          <w:lang w:val="pt-BR" w:eastAsia="zh-CN"/>
        </w:rPr>
        <w:t>s built</w:t>
      </w:r>
      <w:r>
        <w:rPr>
          <w:rFonts w:cs="Arial" w:ascii="Calibri" w:hAnsi="Calibri"/>
          <w:color w:val="auto"/>
          <w:sz w:val="22"/>
          <w:szCs w:val="22"/>
          <w:lang w:val="pt-BR" w:eastAsia="zh-CN"/>
        </w:rPr>
        <w:t>", elaborado pelo responsável por sua execução;</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rFonts w:ascii="Calibri" w:hAnsi="Calibri" w:cs="Arial"/>
          <w:color w:val="auto"/>
          <w:sz w:val="22"/>
          <w:szCs w:val="22"/>
          <w:lang w:val="pt-BR" w:eastAsia="zh-CN"/>
        </w:rPr>
      </w:pPr>
      <w:r>
        <w:rPr>
          <w:rFonts w:cs="Arial" w:ascii="Calibri" w:hAnsi="Calibri"/>
          <w:color w:val="auto"/>
          <w:sz w:val="22"/>
          <w:szCs w:val="22"/>
          <w:lang w:val="pt-BR" w:eastAsia="zh-CN"/>
        </w:rPr>
        <w:t>Laudo de vistoria do corpo de bombeiros aprovando a obra;</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rFonts w:ascii="Calibri" w:hAnsi="Calibri" w:cs="Arial"/>
          <w:color w:val="auto"/>
          <w:sz w:val="22"/>
          <w:szCs w:val="22"/>
          <w:lang w:val="pt-BR" w:eastAsia="zh-CN"/>
        </w:rPr>
      </w:pPr>
      <w:r>
        <w:rPr>
          <w:rFonts w:cs="Arial" w:ascii="Calibri" w:hAnsi="Calibri"/>
          <w:color w:val="auto"/>
          <w:sz w:val="22"/>
          <w:szCs w:val="22"/>
          <w:lang w:val="pt-BR" w:eastAsia="zh-CN"/>
        </w:rPr>
        <w:t xml:space="preserve">Carta "habite-se", emitida pela prefeitura; </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rFonts w:ascii="Calibri" w:hAnsi="Calibri" w:cs="Arial"/>
          <w:color w:val="auto"/>
          <w:sz w:val="22"/>
          <w:szCs w:val="22"/>
          <w:lang w:val="pt-BR" w:eastAsia="zh-CN"/>
        </w:rPr>
      </w:pPr>
      <w:r>
        <w:rPr>
          <w:rFonts w:cs="Arial" w:ascii="Calibri" w:hAnsi="Calibri"/>
          <w:color w:val="auto"/>
          <w:sz w:val="22"/>
          <w:szCs w:val="22"/>
          <w:lang w:val="pt-BR" w:eastAsia="zh-CN"/>
        </w:rPr>
        <w:t>Certidão negativa de débitos previdenciários específica para o registro da obra junto ao Cartório de Registro de Imóveis;</w:t>
      </w:r>
    </w:p>
    <w:p>
      <w:pPr>
        <w:pStyle w:val="Normal"/>
        <w:widowControl w:val="false"/>
        <w:numPr>
          <w:ilvl w:val="2"/>
          <w:numId w:val="2"/>
        </w:numPr>
        <w:tabs>
          <w:tab w:val="clear" w:pos="709"/>
          <w:tab w:val="left" w:pos="1980" w:leader="none"/>
        </w:tabs>
        <w:suppressAutoHyphens w:val="true"/>
        <w:spacing w:lineRule="auto" w:line="276" w:before="120" w:after="120"/>
        <w:ind w:left="1134" w:hanging="0"/>
        <w:jc w:val="both"/>
        <w:rPr>
          <w:rFonts w:ascii="Calibri" w:hAnsi="Calibri"/>
          <w:sz w:val="22"/>
          <w:szCs w:val="22"/>
        </w:rPr>
      </w:pPr>
      <w:r>
        <w:rPr>
          <w:rFonts w:cs="Arial" w:ascii="Calibri" w:hAnsi="Calibri"/>
          <w:b w:val="false"/>
          <w:i w:val="false"/>
          <w:color w:val="auto"/>
          <w:kern w:val="2"/>
          <w:sz w:val="22"/>
          <w:szCs w:val="22"/>
          <w:lang w:val="pt-BR" w:eastAsia="zh-CN"/>
        </w:rPr>
        <w:t>A reparação dos vícios verificados dentro do prazo de garantia da obra, tendo em vista o direito assegurado à Contratante no art. 69 da Lei nº 8.666/93 e no art. 12 da Lei nº 8.078/90 (Código de Defesa do Consumidor)</w:t>
      </w:r>
      <w:r>
        <w:rPr>
          <w:rFonts w:cs="Arial" w:ascii="Calibri" w:hAnsi="Calibri"/>
          <w:b w:val="false"/>
          <w:i w:val="false"/>
          <w:iCs/>
          <w:color w:val="auto"/>
          <w:kern w:val="2"/>
          <w:sz w:val="22"/>
          <w:szCs w:val="22"/>
          <w:lang w:val="pt-BR" w:eastAsia="zh-CN"/>
        </w:rPr>
        <w:t>.</w:t>
      </w:r>
    </w:p>
    <w:p>
      <w:pPr>
        <w:pStyle w:val="Normal"/>
        <w:numPr>
          <w:ilvl w:val="1"/>
          <w:numId w:val="2"/>
        </w:numPr>
        <w:tabs>
          <w:tab w:val="clear" w:pos="709"/>
          <w:tab w:val="left" w:pos="1135" w:leader="none"/>
        </w:tabs>
        <w:suppressAutoHyphens w:val="true"/>
        <w:spacing w:lineRule="auto" w:line="276" w:before="120" w:after="120"/>
        <w:ind w:left="425" w:hanging="0"/>
        <w:jc w:val="both"/>
        <w:rPr>
          <w:rFonts w:ascii="Calibri" w:hAnsi="Calibri"/>
          <w:sz w:val="22"/>
          <w:szCs w:val="22"/>
        </w:rPr>
      </w:pPr>
      <w:r>
        <w:rPr>
          <w:rFonts w:cs="Arial" w:ascii="Calibri" w:hAnsi="Calibri"/>
          <w:iCs/>
          <w:sz w:val="22"/>
          <w:szCs w:val="22"/>
        </w:rPr>
        <w:t xml:space="preserve">Fiscalizar o </w:t>
      </w:r>
      <w:r>
        <w:rPr>
          <w:rFonts w:cs="Arial" w:ascii="Calibri" w:hAnsi="Calibri"/>
          <w:sz w:val="22"/>
          <w:szCs w:val="22"/>
        </w:rPr>
        <w:t>cumprimento</w:t>
      </w:r>
      <w:r>
        <w:rPr>
          <w:rFonts w:cs="Arial" w:ascii="Calibri" w:hAnsi="Calibri"/>
          <w:iCs/>
          <w:sz w:val="22"/>
          <w:szCs w:val="22"/>
        </w:rPr>
        <w:t xml:space="preserve"> </w:t>
      </w:r>
      <w:r>
        <w:rPr>
          <w:rFonts w:cs="Arial" w:ascii="Calibri" w:hAnsi="Calibri"/>
          <w:iCs/>
          <w:sz w:val="22"/>
          <w:szCs w:val="22"/>
          <w:lang w:val="pt-BR" w:eastAsia="zh-CN"/>
        </w:rPr>
        <w:t>dos requisitos legais, quando a contratada houver se beneficiado da preferência estabelecida pelo art.</w:t>
      </w:r>
      <w:r>
        <w:rPr>
          <w:rFonts w:cs="Arial" w:ascii="Calibri" w:hAnsi="Calibri"/>
          <w:b w:val="false"/>
          <w:i w:val="false"/>
          <w:iCs/>
          <w:color w:val="000000"/>
          <w:sz w:val="22"/>
          <w:szCs w:val="22"/>
          <w:lang w:val="pt-BR" w:eastAsia="zh-CN"/>
        </w:rPr>
        <w:t xml:space="preserve"> 38 da Lei nº 12.462/2011.</w:t>
      </w:r>
    </w:p>
    <w:p>
      <w:pPr>
        <w:pStyle w:val="Normal"/>
        <w:suppressAutoHyphens w:val="true"/>
        <w:ind w:left="714" w:right="-431" w:hanging="11"/>
        <w:jc w:val="both"/>
        <w:rPr>
          <w:rFonts w:ascii="Calibri" w:hAnsi="Calibri" w:cs="Arial"/>
          <w:sz w:val="22"/>
          <w:szCs w:val="22"/>
        </w:rPr>
      </w:pPr>
      <w:r>
        <w:rPr>
          <w:rFonts w:cs="Arial" w:ascii="Calibri" w:hAnsi="Calibri"/>
          <w:sz w:val="22"/>
          <w:szCs w:val="22"/>
        </w:rPr>
      </w:r>
    </w:p>
    <w:p>
      <w:pPr>
        <w:pStyle w:val="Normal"/>
        <w:widowControl/>
        <w:numPr>
          <w:ilvl w:val="0"/>
          <w:numId w:val="2"/>
        </w:numPr>
        <w:tabs>
          <w:tab w:val="clear" w:pos="709"/>
          <w:tab w:val="left" w:pos="396" w:leader="none"/>
        </w:tabs>
        <w:suppressAutoHyphens w:val="true"/>
        <w:bidi w:val="0"/>
        <w:spacing w:before="0" w:after="120"/>
        <w:ind w:left="0" w:right="0" w:hanging="0"/>
        <w:jc w:val="both"/>
        <w:rPr>
          <w:rFonts w:ascii="Calibri" w:hAnsi="Calibri"/>
          <w:sz w:val="22"/>
          <w:szCs w:val="22"/>
        </w:rPr>
      </w:pPr>
      <w:r>
        <w:rPr>
          <w:rFonts w:cs="Arial" w:ascii="Calibri" w:hAnsi="Calibri"/>
          <w:b/>
          <w:bCs/>
          <w:sz w:val="22"/>
          <w:szCs w:val="22"/>
        </w:rPr>
        <w:t>OBRIGAÇÕES DA CONTRATADA</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 xml:space="preserve">Executar o contrato conforme especificações deste Projeto Básico e de sua proposta, com a alocação dos empregados necessários ao perfeito cumprimento das cláusulas contratuais, </w:t>
      </w:r>
      <w:r>
        <w:rPr>
          <w:rFonts w:cs="Arial" w:ascii="Calibri" w:hAnsi="Calibri"/>
          <w:sz w:val="22"/>
          <w:szCs w:val="22"/>
        </w:rPr>
        <w:t>além de fornecer e utilizar os materiais e equipamentos, ferramentas e utensílios necessários, na qualidade e quantidade mínimas especificadas neste Projeto Básico e em sua proposta</w:t>
      </w:r>
      <w:r>
        <w:rPr>
          <w:rFonts w:cs="Arial" w:ascii="Calibri" w:hAnsi="Calibri"/>
          <w:color w:val="000000" w:themeColor="text1"/>
          <w:sz w:val="22"/>
          <w:szCs w:val="22"/>
        </w:rPr>
        <w:t>;</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Reparar, corrigir, remover ou substituir, às suas expensas, no total ou em parte, no prazo fixado pelo fiscal do contrato, os serviços/obras efetuados em que se verificarem vícios, defeitos ou incorreções resultantes da execução ou dos materiais empregados;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Utilizar empregados habilitados e com conhecimentos básicos do objeto a ser executado, em conformidade com as normas e determinações em vigor;</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Vedar a utilização, na execução dos serviços, de empregado que seja familiar de agente público ocupante de cargo em comissão ou função de confiança no órgão Contratante, nos termos do artigo 7° do Decreto n° 7.203, de 2010;</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sz w:val="22"/>
          <w:szCs w:val="22"/>
        </w:rPr>
        <w:t xml:space="preserve">Quando não for possível a verificação da regularidade no Sistema de Cadastro de Fornecedores – SICAF, a empresa contratada deverá entregar ao setor responsável pela </w:t>
      </w:r>
      <w:r>
        <w:rPr>
          <w:rFonts w:cs="Arial" w:ascii="Calibri" w:hAnsi="Calibri"/>
          <w:i w:val="false"/>
          <w:iCs w:val="false"/>
          <w:color w:val="auto"/>
          <w:sz w:val="22"/>
          <w:szCs w:val="22"/>
        </w:rPr>
        <w:t>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Estadual, Distrital e Municipal do domicílio ou sede do contratado; 4) Certidão de Regularidade do FGTS – CRF; e 5) Certidão Negativa de Débitos Trabalhistas – CNDT</w:t>
      </w:r>
      <w:r>
        <w:rPr>
          <w:rFonts w:eastAsia="Times New Roman" w:cs="Arial" w:ascii="Calibri" w:hAnsi="Calibri"/>
          <w:i w:val="false"/>
          <w:iCs w:val="false"/>
          <w:color w:val="auto"/>
          <w:sz w:val="22"/>
          <w:szCs w:val="22"/>
          <w:lang w:eastAsia="pt-BR"/>
        </w:rPr>
        <w:t>.</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Comunicar ao Fiscal do contrato, no prazo de 24 (vinte e quatro) horas, qualquer ocorrência anormal ou acidente que se verifique no local dos serviços.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iCs/>
          <w:sz w:val="22"/>
          <w:szCs w:val="22"/>
        </w:rPr>
        <w:t>Assegurar aos seus trabalhadores ambiente de trabalho, inclusive equipamentos e instalações, em condições adequadas ao cumprimento das normas de saúde, segurança e bem-estar no trabalho.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Prestar todo esclarecimento ou informação solicitada pela Contratante ou por seus prepostos, garantindo-lhes o acesso, a qualquer tempo, ao local dos trabalhos, bem como aos documentos relativos à execução do empreendimento.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Paralisar, por determinação da Contratante, qualquer atividade que não esteja sendo executada de acordo com a boa técnica ou que ponha em risco a segurança de pessoas ou bens de terceiros.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 xml:space="preserve"> </w:t>
      </w:r>
      <w:r>
        <w:rPr>
          <w:rFonts w:cs="Arial" w:ascii="Calibri" w:hAnsi="Calibri"/>
          <w:color w:val="000000" w:themeColor="text1"/>
          <w:sz w:val="22"/>
          <w:szCs w:val="22"/>
        </w:rPr>
        <w:t>Promover a guarda, manutenção e vigilância de materiais, ferramentas, e tudo o que for necessário à execução dos serviços, durante a vigência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Promover a organização técnica e administrativa dos serviços, de modo a conduzi-los eficaz e eficientemente, de acordo com os documentos e especificações que integram este Projeto Básico, no prazo determinado.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Submeter previamente, por escrito, à Contratante, para análise e aprovação, quaisquer mudanças nos métodos executivos que fujam às especificações do memorial descritivo.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Manter durante toda a vigência do contrato, em compatibilidade com as obrigações assumidas, todas as condições de habilitação e qualificação exigidas na licitação;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Guardar sigilo sobre todas as informações obtidas em decorrência do cumprimento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Cumprir, além dos postulados legais vigentes de âmbito federal, estadual ou municipal, as normas de segurança da Contratante;</w:t>
      </w:r>
    </w:p>
    <w:p>
      <w:pPr>
        <w:pStyle w:val="Normal"/>
        <w:numPr>
          <w:ilvl w:val="1"/>
          <w:numId w:val="2"/>
        </w:numPr>
        <w:tabs>
          <w:tab w:val="clear" w:pos="709"/>
          <w:tab w:val="left" w:pos="444" w:leader="none"/>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i w:val="false"/>
          <w:i w:val="false"/>
          <w:iCs w:val="false"/>
          <w:color w:val="000000" w:themeColor="text1"/>
          <w:sz w:val="22"/>
          <w:szCs w:val="22"/>
          <w:lang w:val="pt-BR" w:eastAsia="zh-CN"/>
        </w:rPr>
      </w:pPr>
      <w:r>
        <w:rPr>
          <w:rFonts w:cs="Arial" w:ascii="Calibri" w:hAnsi="Calibri"/>
          <w:i w:val="false"/>
          <w:iCs w:val="false"/>
          <w:color w:val="000000" w:themeColor="text1"/>
          <w:sz w:val="22"/>
          <w:szCs w:val="22"/>
          <w:lang w:val="pt-BR" w:eastAsia="zh-CN"/>
        </w:rPr>
        <w:t>Fica assegurado à CONTRATANTE, nos termos do art. 49 da Lei nº 9.610/98:</w:t>
      </w:r>
    </w:p>
    <w:p>
      <w:pPr>
        <w:pStyle w:val="Normal"/>
        <w:widowControl/>
        <w:numPr>
          <w:ilvl w:val="2"/>
          <w:numId w:val="2"/>
        </w:numPr>
        <w:tabs>
          <w:tab w:val="clear" w:pos="709"/>
          <w:tab w:val="left" w:pos="1128" w:leader="none"/>
          <w:tab w:val="left" w:pos="1704" w:leader="none"/>
        </w:tabs>
        <w:suppressAutoHyphens w:val="true"/>
        <w:bidi w:val="0"/>
        <w:spacing w:lineRule="auto" w:line="276" w:before="120" w:after="120"/>
        <w:ind w:left="850" w:right="0" w:hanging="0"/>
        <w:jc w:val="both"/>
        <w:rPr>
          <w:rFonts w:ascii="Calibri" w:hAnsi="Calibri"/>
          <w:sz w:val="22"/>
          <w:szCs w:val="22"/>
        </w:rPr>
      </w:pPr>
      <w:r>
        <w:rPr>
          <w:rFonts w:cs="Arial" w:ascii="Calibri" w:hAnsi="Calibri"/>
          <w:color w:val="000000"/>
          <w:sz w:val="22"/>
          <w:szCs w:val="22"/>
          <w:lang w:val="pt-BR" w:eastAsia="zh-CN"/>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Normal"/>
        <w:widowControl/>
        <w:numPr>
          <w:ilvl w:val="2"/>
          <w:numId w:val="2"/>
        </w:numPr>
        <w:tabs>
          <w:tab w:val="clear" w:pos="709"/>
          <w:tab w:val="left" w:pos="1128" w:leader="none"/>
          <w:tab w:val="left" w:pos="1704" w:leader="none"/>
        </w:tabs>
        <w:suppressAutoHyphens w:val="true"/>
        <w:bidi w:val="0"/>
        <w:spacing w:lineRule="auto" w:line="276" w:before="120" w:after="120"/>
        <w:ind w:left="850" w:right="0" w:hanging="0"/>
        <w:jc w:val="both"/>
        <w:rPr>
          <w:rFonts w:ascii="Calibri" w:hAnsi="Calibri" w:cs="Arial"/>
          <w:color w:val="000000"/>
          <w:sz w:val="22"/>
          <w:szCs w:val="22"/>
          <w:lang w:val="pt-BR" w:eastAsia="zh-CN"/>
        </w:rPr>
      </w:pPr>
      <w:r>
        <w:rPr>
          <w:rFonts w:cs="Arial" w:ascii="Calibri" w:hAnsi="Calibri"/>
          <w:color w:val="000000"/>
          <w:sz w:val="22"/>
          <w:szCs w:val="22"/>
          <w:lang w:val="pt-BR" w:eastAsia="zh-CN"/>
        </w:rPr>
        <w:t>Os direitos autorais da solução, do projeto, de suas especificações técnicas, da documentação produzida e congêneres, e dos demais produtos gerados na execução do contrato, inclusive aqueles produzidos por terceiros subcontratados, fi</w:t>
      </w:r>
      <w:r>
        <w:rPr>
          <w:rFonts w:cs="Arial" w:ascii="Calibri" w:hAnsi="Calibri"/>
          <w:i w:val="false"/>
          <w:iCs w:val="false"/>
          <w:color w:val="000000"/>
          <w:sz w:val="22"/>
          <w:szCs w:val="22"/>
          <w:lang w:val="pt-BR" w:eastAsia="zh-CN"/>
        </w:rPr>
        <w:t>cando proibida a sua utilização sem que exista autorização expressa da Contratante, sob pena de multa, sem prejuízo das sanções civis e penais cabíveis.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i w:val="false"/>
          <w:iCs w:val="false"/>
          <w:color w:val="000000"/>
          <w:sz w:val="22"/>
          <w:szCs w:val="22"/>
          <w:lang w:val="pt-BR" w:eastAsia="zh-CN"/>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Manter os empregados nos horários predeterminados pela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Apresentar os empregados devidamente identificados por meio de crachá;</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Apresentar à Contratante, quando for o caso, a relação nominal dos empregados que adentrarão no órgão para a execução do serviço;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Atender às solicitações da Contratante quanto à substituição dos empregados alocados, no prazo fixado pela fiscalização do contrato, nos casos em que ficar constatado descumprimento das obrigações relativas à execução do serviço, conforme descrito neste Projeto Básico;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Manter preposto aceito pela Contratante nos horários e locais de prestação de serviço para representá-la na execução do contrato com capacidade para tomar decisões compatíveis com os compromissos assumidos;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sz w:val="22"/>
          <w:szCs w:val="22"/>
        </w:rPr>
        <w:t>Instruir seus empregados quanto à necessidade de acatar as Normas Internas da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sz w:val="22"/>
          <w:szCs w:val="22"/>
        </w:rPr>
        <w:t>Adotar as providências e precauções necessárias, inclusive consulta nos respectivos órgãos, se necessário for, a fim de que não venham a ser danificadas as redes hidrossanitárias, elétricas e de comunicação.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sz w:val="22"/>
          <w:szCs w:val="22"/>
        </w:rPr>
        <w:t>Providenciar junto ao CREA e/ou ao CAU-BR as Anotações e Registros de Responsabilidade Técnica referentes ao objeto do contrato e especialidades pertinentes, nos termos das normas pertinentes (Leis ns. 6.496/77 e 12.378/2010);</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sz w:val="22"/>
          <w:szCs w:val="22"/>
        </w:rPr>
        <w:t>Obter junto aos órgãos competentes, conforme o caso, as licenças necessárias e demais documentos e autorizações exigíveis, na forma da legislação aplicável;</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sz w:val="22"/>
          <w:szCs w:val="22"/>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sz w:val="22"/>
          <w:szCs w:val="22"/>
        </w:rPr>
        <w:t xml:space="preserve">Refazer, às suas expensas, os trabalhos executados em desacordo com o estabelecido no instrumento contratual, neste </w:t>
      </w:r>
      <w:r>
        <w:rPr>
          <w:rFonts w:cs="Arial" w:ascii="Calibri" w:hAnsi="Calibri"/>
          <w:color w:val="000000" w:themeColor="text1"/>
          <w:sz w:val="22"/>
          <w:szCs w:val="22"/>
        </w:rPr>
        <w:t>Projeto Básico</w:t>
      </w:r>
      <w:r>
        <w:rPr>
          <w:rFonts w:cs="Arial" w:ascii="Calibri" w:hAnsi="Calibri"/>
          <w:color w:val="000000"/>
          <w:sz w:val="22"/>
          <w:szCs w:val="22"/>
        </w:rPr>
        <w:t xml:space="preserve"> e seus anexos, bem como substituir aqueles realizados com materiais defeituosos ou com vício de construção, pelo prazo de 05 (cinco) anos, contado da data de emissão do Termo de Recebimento Definitivo.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sz w:val="22"/>
          <w:szCs w:val="22"/>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 xml:space="preserve">Cópias autenticadas das notas fiscais de aquisição dos produtos ou subprodutos florestais; </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5, de 15/03/2014, e legislação correlata;</w:t>
      </w:r>
    </w:p>
    <w:p>
      <w:pPr>
        <w:pStyle w:val="ListaColoridanfase11"/>
        <w:widowControl/>
        <w:numPr>
          <w:ilvl w:val="2"/>
          <w:numId w:val="2"/>
        </w:numPr>
        <w:tabs>
          <w:tab w:val="clear" w:pos="709"/>
          <w:tab w:val="left" w:pos="273" w:leader="none"/>
          <w:tab w:val="left" w:pos="1980" w:leader="none"/>
        </w:tabs>
        <w:suppressAutoHyphens w:val="true"/>
        <w:spacing w:lineRule="auto" w:line="276" w:before="120" w:after="120"/>
        <w:ind w:left="1134" w:hanging="0"/>
        <w:contextualSpacing/>
        <w:jc w:val="both"/>
        <w:rPr>
          <w:rFonts w:ascii="Calibri" w:hAnsi="Calibri"/>
          <w:sz w:val="22"/>
          <w:szCs w:val="22"/>
        </w:rPr>
      </w:pPr>
      <w:r>
        <w:rPr>
          <w:rFonts w:cs="Arial" w:ascii="Calibri" w:hAnsi="Calibri"/>
          <w:color w:val="000000" w:themeColor="text1"/>
          <w:sz w:val="22"/>
          <w:szCs w:val="22"/>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color w:val="000000"/>
          <w:sz w:val="22"/>
          <w:szCs w:val="22"/>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pPr>
        <w:pStyle w:val="ListaColoridanfase11"/>
        <w:widowControl/>
        <w:numPr>
          <w:ilvl w:val="2"/>
          <w:numId w:val="2"/>
        </w:numPr>
        <w:tabs>
          <w:tab w:val="clear" w:pos="709"/>
          <w:tab w:val="left" w:pos="273" w:leader="none"/>
          <w:tab w:val="left" w:pos="1980" w:leader="none"/>
        </w:tabs>
        <w:suppressAutoHyphens w:val="true"/>
        <w:spacing w:lineRule="auto" w:line="276" w:before="120" w:after="120"/>
        <w:ind w:left="1134" w:hanging="0"/>
        <w:contextualSpacing/>
        <w:jc w:val="both"/>
        <w:rPr>
          <w:rFonts w:ascii="Calibri" w:hAnsi="Calibri"/>
          <w:sz w:val="22"/>
          <w:szCs w:val="22"/>
        </w:rPr>
      </w:pPr>
      <w:r>
        <w:rPr>
          <w:rFonts w:cs="Arial" w:ascii="Calibri" w:hAnsi="Calibri"/>
          <w:color w:val="000000" w:themeColor="text1"/>
          <w:sz w:val="22"/>
          <w:szCs w:val="22"/>
        </w:rPr>
        <w:t>Apenas se houver dúvida fundada acerca da autenticidade dos documentos acima, conforme art. 9º do Decreto nº 9.094/17, poderá haver solicitação de cópia autenticada por cartório ou pelo servidor, mediante comparação com o original.</w:t>
      </w:r>
    </w:p>
    <w:p>
      <w:pPr>
        <w:pStyle w:val="Normal"/>
        <w:numPr>
          <w:ilvl w:val="1"/>
          <w:numId w:val="2"/>
        </w:numPr>
        <w:tabs>
          <w:tab w:val="clear" w:pos="709"/>
          <w:tab w:val="left" w:pos="1080"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pPr>
        <w:pStyle w:val="Normal"/>
        <w:numPr>
          <w:ilvl w:val="2"/>
          <w:numId w:val="2"/>
        </w:numPr>
        <w:tabs>
          <w:tab w:val="clear" w:pos="709"/>
          <w:tab w:val="left" w:pos="273" w:leader="none"/>
          <w:tab w:val="left" w:pos="1560" w:leader="none"/>
          <w:tab w:val="left" w:pos="1980"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pPr>
        <w:pStyle w:val="Normal"/>
        <w:numPr>
          <w:ilvl w:val="2"/>
          <w:numId w:val="2"/>
        </w:numPr>
        <w:tabs>
          <w:tab w:val="clear" w:pos="709"/>
          <w:tab w:val="left" w:pos="273" w:leader="none"/>
          <w:tab w:val="left" w:pos="1560" w:leader="none"/>
          <w:tab w:val="left" w:pos="1980"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pPr>
        <w:pStyle w:val="Normal"/>
        <w:numPr>
          <w:ilvl w:val="3"/>
          <w:numId w:val="2"/>
        </w:numPr>
        <w:tabs>
          <w:tab w:val="clear" w:pos="709"/>
          <w:tab w:val="left" w:pos="2410" w:leader="none"/>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sz w:val="22"/>
          <w:szCs w:val="22"/>
        </w:rPr>
        <w:t xml:space="preserve">Resíduos Classe A (reutilizáveis ou recicláveis como agregados): deverão ser reutilizados ou reciclados na forma de agregados, ou encaminhados a aterros de resíduos classe A de reservação de material para usos futuros; </w:t>
      </w:r>
    </w:p>
    <w:p>
      <w:pPr>
        <w:pStyle w:val="Normal"/>
        <w:numPr>
          <w:ilvl w:val="3"/>
          <w:numId w:val="2"/>
        </w:numPr>
        <w:tabs>
          <w:tab w:val="clear" w:pos="709"/>
          <w:tab w:val="left" w:pos="2410" w:leader="none"/>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sz w:val="22"/>
          <w:szCs w:val="22"/>
        </w:rPr>
        <w:t>Resíduos Classe B (recicláveis para outras destinações): deverão ser reutilizados, reciclados ou encaminhados a áreas de armazenamento temporário, sendo dispostos de modo a permitir a sua utilização ou reciclagem futura;</w:t>
      </w:r>
    </w:p>
    <w:p>
      <w:pPr>
        <w:pStyle w:val="Normal"/>
        <w:numPr>
          <w:ilvl w:val="3"/>
          <w:numId w:val="2"/>
        </w:numPr>
        <w:tabs>
          <w:tab w:val="clear" w:pos="709"/>
          <w:tab w:val="left" w:pos="2410" w:leader="none"/>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sz w:val="22"/>
          <w:szCs w:val="22"/>
        </w:rPr>
        <w:t>Resíduos Classe C (para os quais não foram desenvolvidas tecnologias ou aplicações economicamente viáveis que permitam a sua reciclagem/recuperação): deverão ser armazenados, transportados e destinados em conformidade com as normas técnicas específicas;</w:t>
      </w:r>
    </w:p>
    <w:p>
      <w:pPr>
        <w:pStyle w:val="Normal"/>
        <w:widowControl/>
        <w:numPr>
          <w:ilvl w:val="3"/>
          <w:numId w:val="2"/>
        </w:numPr>
        <w:tabs>
          <w:tab w:val="clear" w:pos="709"/>
          <w:tab w:val="left" w:pos="2410" w:leader="none"/>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color w:val="000000" w:themeColor="text1"/>
          <w:sz w:val="22"/>
          <w:szCs w:val="22"/>
        </w:rPr>
        <w:t>Resíduos Classe D (perigosos, contaminados ou prejudiciais à saúde): deverão ser armazenados, transportados, reutilizados e destinados em conformidade com as normas técnicas específicas.</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Em nenhuma hipótese a Contratada poderá dispor os resíduos originários da contratação em aterros de resíduos sólidos urbanos, áreas de “bota fora”, encostas, corpos d´água, lotes vagos e áreas protegidas por Lei, bem como em áreas não licenciadas;</w:t>
      </w:r>
    </w:p>
    <w:p>
      <w:pPr>
        <w:pStyle w:val="Normal"/>
        <w:widowContro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rFonts w:ascii="Calibri" w:hAnsi="Calibri"/>
          <w:sz w:val="22"/>
          <w:szCs w:val="22"/>
        </w:rPr>
      </w:pPr>
      <w:r>
        <w:rPr>
          <w:rFonts w:cs="Arial" w:ascii="Calibri" w:hAnsi="Calibri"/>
          <w:color w:val="000000" w:themeColor="text1"/>
          <w:sz w:val="22"/>
          <w:szCs w:val="22"/>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Observar as seguintes diretrizes de caráter ambiental:</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pPr>
        <w:pStyle w:val="Normal"/>
        <w:widowContro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rFonts w:ascii="Calibri" w:hAnsi="Calibri"/>
          <w:sz w:val="22"/>
          <w:szCs w:val="22"/>
        </w:rPr>
      </w:pPr>
      <w:r>
        <w:rPr>
          <w:rFonts w:cs="Arial" w:ascii="Calibri" w:hAnsi="Calibri"/>
          <w:color w:val="000000" w:themeColor="text1"/>
          <w:sz w:val="22"/>
          <w:szCs w:val="22"/>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Pr>
          <w:rFonts w:cs="Arial" w:ascii="Calibri" w:hAnsi="Calibri"/>
          <w:color w:val="000000" w:themeColor="text1"/>
          <w:sz w:val="22"/>
          <w:szCs w:val="22"/>
        </w:rPr>
        <w:t>Projeto Básico</w:t>
      </w:r>
      <w:r>
        <w:rPr>
          <w:rFonts w:cs="Arial" w:ascii="Calibri" w:hAnsi="Calibri"/>
          <w:sz w:val="22"/>
          <w:szCs w:val="22"/>
        </w:rPr>
        <w:t xml:space="preserve"> e demais documentos anexos;</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color w:val="000000" w:themeColor="text1"/>
          <w:sz w:val="22"/>
          <w:szCs w:val="22"/>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Cumprir o Acordo, Dissídio, Convenção Coletiva ou equivalente, relativo à categoria profissional abrangida no contrato bem como da legislação em vigor e não havendo na região Acordo, Dissídio ou Convenção Coletiva relativa à categoria profissional abrangida no contrato, garantir os direitos trabalhistas, fixado em regulamento de trabalho ou profissão de natureza similar da região mais próxima;</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Reconhecer sua responsabilidade exclusiva da contratada sobre a quitação dos encargos trabalhistas e sociais decorrentes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Apresentar a comprovação, conforme solicitado pela contratada, do cumprimento das obrigações trabalhistas, previdenciárias e para com o FGTS, em relação aos empregados da contratada que efetivamente participarem da execução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 xml:space="preserve">Observar os preceitos da legislação sobre a jornada de trabalho, conforme a categoria profissional; </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Subcontratar somente empresas que aceitem expressamente as obrigações estabelecidas na Instrução Normativa SEGES/MP nº 6, de 6 de julho de 2018.</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Inscrever a Obra no Cadastro Nacional de Obras – CNO da Receita Federal do Brasil em até 30 (trinta) dias contados do início das atividades, em conformidade com a Instrução Normativa RFB nº 1845, de 22 de Novembro de 2018.</w:t>
      </w:r>
    </w:p>
    <w:p>
      <w:pPr>
        <w:pStyle w:val="Normal"/>
        <w:widowControl w:val="false"/>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i w:val="false"/>
          <w:i w:val="false"/>
          <w:iCs w:val="false"/>
          <w:color w:val="auto"/>
          <w:sz w:val="22"/>
          <w:szCs w:val="22"/>
          <w:lang w:val="pt-BR" w:eastAsia="zh-CN"/>
        </w:rPr>
      </w:pPr>
      <w:r>
        <w:rPr>
          <w:rFonts w:cs="Arial" w:ascii="Calibri" w:hAnsi="Calibri"/>
          <w:b w:val="false"/>
          <w:i w:val="false"/>
          <w:iCs w:val="false"/>
          <w:color w:val="000000"/>
          <w:kern w:val="2"/>
          <w:sz w:val="22"/>
          <w:szCs w:val="22"/>
          <w:lang w:val="pt-BR" w:eastAsia="zh-CN"/>
        </w:rPr>
        <w:t>Elaborar “as built”, ao final da obra, em conformidade com a NBR 14645-1:2001 da ABNT.</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i w:val="false"/>
          <w:iCs w:val="false"/>
          <w:color w:val="auto"/>
          <w:sz w:val="22"/>
          <w:szCs w:val="22"/>
          <w:lang w:val="pt-BR" w:eastAsia="zh-CN"/>
        </w:rPr>
        <w:t>Fornecer</w:t>
      </w:r>
      <w:r>
        <w:rPr>
          <w:rFonts w:cs="Arial" w:ascii="Calibri" w:hAnsi="Calibri"/>
          <w:i w:val="false"/>
          <w:iCs w:val="false"/>
          <w:color w:val="auto"/>
          <w:sz w:val="22"/>
          <w:szCs w:val="22"/>
        </w:rPr>
        <w:t xml:space="preserve"> os projetos executivos desenvolvidos pela contratada,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w:t>
      </w:r>
      <w:r>
        <w:rPr>
          <w:rFonts w:cs="Arial" w:ascii="Calibri" w:hAnsi="Calibri"/>
          <w:i w:val="false"/>
          <w:iCs w:val="false"/>
          <w:color w:val="auto"/>
          <w:sz w:val="22"/>
          <w:szCs w:val="22"/>
          <w:lang w:val="pt-BR" w:eastAsia="zh-CN"/>
        </w:rPr>
        <w:t>nos trabalhos:</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rFonts w:ascii="Calibri" w:hAnsi="Calibri"/>
          <w:sz w:val="22"/>
          <w:szCs w:val="22"/>
        </w:rPr>
      </w:pPr>
      <w:r>
        <w:rPr>
          <w:rFonts w:cs="Arial" w:ascii="Calibri" w:hAnsi="Calibri"/>
          <w:i w:val="false"/>
          <w:iCs w:val="false"/>
          <w:color w:val="000000"/>
          <w:sz w:val="22"/>
          <w:szCs w:val="22"/>
          <w:shd w:fill="auto" w:val="clear"/>
          <w:lang w:val="pt-BR" w:eastAsia="zh-CN"/>
        </w:rPr>
        <w:t>A elaboração dos projetos executivos deverá partir das soluções desenvolvidas nos anteprojetos constantes neste Projeto Básico e seus anexos (Caderno de Encargos e Especificações Técnicas) e apresentar o detalhamento dos elementos construtivos e especificações técnicas, incorporando as alterações exigidas pelas mútuas interferências entre os diversos projetos.</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rFonts w:ascii="Calibri" w:hAnsi="Calibri" w:cs="Arial"/>
          <w:i w:val="false"/>
          <w:i w:val="false"/>
          <w:iCs w:val="false"/>
          <w:color w:val="auto"/>
          <w:sz w:val="22"/>
          <w:szCs w:val="22"/>
          <w:shd w:fill="auto" w:val="clear"/>
          <w:lang w:val="pt-BR" w:eastAsia="zh-CN"/>
        </w:rPr>
      </w:pPr>
      <w:r>
        <w:rPr>
          <w:rFonts w:cs="Arial" w:ascii="Calibri" w:hAnsi="Calibri"/>
          <w:i w:val="false"/>
          <w:iCs w:val="false"/>
          <w:color w:val="000000"/>
          <w:sz w:val="22"/>
          <w:szCs w:val="22"/>
          <w:shd w:fill="auto" w:val="clear"/>
          <w:lang w:val="pt-BR" w:eastAsia="zh-CN"/>
        </w:rPr>
        <w:t xml:space="preserve"> </w:t>
      </w:r>
      <w:r>
        <w:rPr>
          <w:rFonts w:cs="Arial" w:ascii="Calibri" w:hAnsi="Calibri"/>
          <w:i w:val="false"/>
          <w:iCs w:val="false"/>
          <w:color w:val="000000"/>
          <w:sz w:val="22"/>
          <w:szCs w:val="22"/>
          <w:shd w:fill="auto" w:val="clear"/>
          <w:lang w:val="pt-BR" w:eastAsia="zh-CN"/>
        </w:rPr>
        <w:t>A</w:t>
      </w:r>
      <w:r>
        <w:rPr>
          <w:rFonts w:cs="Arial" w:ascii="Calibri" w:hAnsi="Calibri"/>
          <w:b w:val="false"/>
          <w:i w:val="false"/>
          <w:iCs w:val="false"/>
          <w:color w:val="000000"/>
          <w:sz w:val="22"/>
          <w:szCs w:val="22"/>
          <w:shd w:fill="auto" w:val="clear"/>
          <w:lang w:val="pt-BR" w:eastAsia="zh-CN"/>
        </w:rPr>
        <w:t xml:space="preserve"> execução de cada etapa será precedida de projeto executivo para a etapa e da conclusão e aprovação, pelo órgão ou entidade contratante, dos trabalhos relativos às etapas anteriores;</w:t>
      </w:r>
    </w:p>
    <w:p>
      <w:pPr>
        <w:pStyle w:val="Normal"/>
        <w:widowControl/>
        <w:numPr>
          <w:ilvl w:val="2"/>
          <w:numId w:val="2"/>
        </w:numPr>
        <w:tabs>
          <w:tab w:val="clear" w:pos="709"/>
          <w:tab w:val="left" w:pos="273" w:leader="none"/>
          <w:tab w:val="left" w:pos="1701" w:leader="none"/>
          <w:tab w:val="left" w:pos="1865" w:leader="none"/>
        </w:tabs>
        <w:suppressAutoHyphens w:val="true"/>
        <w:spacing w:lineRule="auto" w:line="276" w:before="120" w:after="120"/>
        <w:ind w:left="1134" w:hanging="0"/>
        <w:jc w:val="both"/>
        <w:rPr>
          <w:rFonts w:ascii="Calibri" w:hAnsi="Calibri" w:cs="Arial"/>
          <w:i w:val="false"/>
          <w:i w:val="false"/>
          <w:iCs w:val="false"/>
          <w:color w:val="auto"/>
          <w:sz w:val="22"/>
          <w:szCs w:val="22"/>
          <w:shd w:fill="auto" w:val="clear"/>
          <w:lang w:val="pt-BR" w:eastAsia="zh-CN"/>
        </w:rPr>
      </w:pPr>
      <w:r>
        <w:rPr>
          <w:rFonts w:cs="Arial" w:ascii="Calibri" w:hAnsi="Calibri"/>
          <w:b w:val="false"/>
          <w:i w:val="false"/>
          <w:iCs w:val="false"/>
          <w:color w:val="000000"/>
          <w:sz w:val="22"/>
          <w:szCs w:val="22"/>
          <w:shd w:fill="auto" w:val="clear"/>
          <w:lang w:val="pt-BR" w:eastAsia="zh-CN"/>
        </w:rPr>
        <w:t xml:space="preserve"> </w:t>
      </w:r>
      <w:r>
        <w:rPr>
          <w:rFonts w:cs="Arial" w:ascii="Calibri" w:hAnsi="Calibri"/>
          <w:b w:val="false"/>
          <w:i w:val="false"/>
          <w:iCs w:val="false"/>
          <w:color w:val="000000"/>
          <w:sz w:val="22"/>
          <w:szCs w:val="22"/>
          <w:shd w:fill="auto" w:val="clear"/>
          <w:lang w:val="pt-BR" w:eastAsia="zh-CN"/>
        </w:rPr>
        <w:t>O projeto executivo de etapa posterior poderá ser desenvolvido concomitantemente com a execução das obras e serviços de etapa anterior, desde que autorizado pelo contratante.</w:t>
      </w:r>
    </w:p>
    <w:p>
      <w:pPr>
        <w:pStyle w:val="Normal"/>
        <w:numPr>
          <w:ilvl w:val="1"/>
          <w:numId w:val="2"/>
        </w:numPr>
        <w:tabs>
          <w:tab w:val="clear" w:pos="709"/>
          <w:tab w:val="left" w:pos="1128" w:leader="none"/>
        </w:tabs>
        <w:suppressAutoHyphens w:val="true"/>
        <w:spacing w:lineRule="auto" w:line="276" w:before="0" w:after="0"/>
        <w:ind w:left="425" w:hanging="0"/>
        <w:jc w:val="both"/>
        <w:rPr>
          <w:rFonts w:ascii="Calibri" w:hAnsi="Calibri" w:cs="Arial"/>
          <w:i w:val="false"/>
          <w:i w:val="false"/>
          <w:iCs w:val="false"/>
          <w:color w:val="000000"/>
          <w:sz w:val="22"/>
          <w:szCs w:val="22"/>
          <w:shd w:fill="auto" w:val="clear"/>
          <w:lang w:val="pt-BR" w:eastAsia="zh-CN"/>
        </w:rPr>
      </w:pPr>
      <w:r>
        <w:rPr>
          <w:rFonts w:cs="Arial" w:ascii="Calibri" w:hAnsi="Calibri"/>
          <w:i w:val="false"/>
          <w:iCs w:val="false"/>
          <w:color w:val="000000"/>
          <w:sz w:val="22"/>
          <w:szCs w:val="22"/>
          <w:shd w:fill="auto" w:val="clear"/>
          <w:lang w:val="pt-BR" w:eastAsia="zh-CN"/>
        </w:rP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inciso III do § 4º do art. 42 do Decreto nº 7.541/2011.</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i w:val="false"/>
          <w:iCs w:val="false"/>
          <w:color w:val="000000"/>
          <w:sz w:val="22"/>
          <w:szCs w:val="22"/>
          <w:shd w:fill="auto" w:val="clear"/>
          <w:lang w:val="pt-BR" w:eastAsia="zh-CN"/>
        </w:rPr>
        <w:t>Após a assinatura do contrato, a contratada deverá participar de reunião inicial com a contratante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i w:val="false"/>
          <w:iCs w:val="false"/>
          <w:color w:val="000000"/>
          <w:sz w:val="22"/>
          <w:szCs w:val="22"/>
          <w:shd w:fill="auto" w:val="clear"/>
          <w:lang w:val="pt-BR" w:eastAsia="zh-CN"/>
        </w:rPr>
        <w:t>Comprovar, ao longo da vigência contratual, a regularidade fiscal das microempresa e/ou empresas de pequeno porte subcontratadas no decorrer da execução do contrato, quando se tratar da subcontratação prevista no artigo 48, II, da Lei Complementar n. 123, de 2006.</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i w:val="false"/>
          <w:iCs w:val="false"/>
          <w:color w:val="000000"/>
          <w:sz w:val="22"/>
          <w:szCs w:val="22"/>
          <w:shd w:fill="auto" w:val="clear"/>
          <w:lang w:val="pt-BR" w:eastAsia="zh-CN"/>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i w:val="false"/>
          <w:iCs w:val="false"/>
          <w:color w:val="000000"/>
          <w:sz w:val="22"/>
          <w:szCs w:val="22"/>
          <w:shd w:fill="auto" w:val="clear"/>
          <w:lang w:val="pt-BR" w:eastAsia="zh-CN"/>
        </w:rPr>
        <w:t>Responsabilizar-se pela padronização, pela compatibilidade, pelo gerenciamento centralizado e pela qualidade da subcontratação.</w:t>
      </w:r>
    </w:p>
    <w:p>
      <w:pPr>
        <w:pStyle w:val="Normal"/>
        <w:widowControl/>
        <w:numPr>
          <w:ilvl w:val="0"/>
          <w:numId w:val="0"/>
        </w:numPr>
        <w:tabs>
          <w:tab w:val="clear" w:pos="709"/>
          <w:tab w:val="left" w:pos="1128" w:leader="none"/>
        </w:tabs>
        <w:suppressAutoHyphens w:val="true"/>
        <w:spacing w:lineRule="auto" w:line="276" w:before="6" w:after="6"/>
        <w:ind w:left="857" w:hanging="0"/>
        <w:jc w:val="both"/>
        <w:rPr>
          <w:rFonts w:cs="Arial"/>
          <w:b w:val="false"/>
          <w:b w:val="false"/>
          <w:i w:val="false"/>
          <w:i w:val="false"/>
          <w:iCs w:val="false"/>
          <w:color w:val="auto"/>
          <w:shd w:fill="auto" w:val="clear"/>
          <w:lang w:val="pt-BR" w:eastAsia="zh-CN"/>
        </w:rPr>
      </w:pPr>
      <w:r>
        <w:rPr>
          <w:rFonts w:cs="Arial"/>
          <w:b w:val="false"/>
          <w:i w:val="false"/>
          <w:iCs w:val="false"/>
          <w:color w:val="000000"/>
          <w:shd w:fill="auto" w:val="clear"/>
          <w:lang w:val="pt-BR" w:eastAsia="zh-CN"/>
        </w:rPr>
      </w:r>
    </w:p>
    <w:p>
      <w:pPr>
        <w:pStyle w:val="Nivel1"/>
        <w:numPr>
          <w:ilvl w:val="0"/>
          <w:numId w:val="2"/>
        </w:numPr>
        <w:suppressAutoHyphens w:val="true"/>
        <w:spacing w:lineRule="auto" w:line="240" w:before="24" w:after="0"/>
        <w:rPr>
          <w:rFonts w:ascii="Calibri" w:hAnsi="Calibri"/>
          <w:sz w:val="22"/>
          <w:szCs w:val="22"/>
        </w:rPr>
      </w:pPr>
      <w:r>
        <w:rPr>
          <w:rFonts w:cs="Arial" w:ascii="Calibri" w:hAnsi="Calibri"/>
          <w:sz w:val="22"/>
          <w:szCs w:val="22"/>
        </w:rPr>
        <w:t>DA SUBCONTRATAÇÃO</w:t>
      </w:r>
    </w:p>
    <w:p>
      <w:pPr>
        <w:pStyle w:val="ListParagraph"/>
        <w:numPr>
          <w:ilvl w:val="1"/>
          <w:numId w:val="2"/>
        </w:numPr>
        <w:tabs>
          <w:tab w:val="clear" w:pos="709"/>
          <w:tab w:val="left" w:pos="1135" w:leader="none"/>
        </w:tabs>
        <w:suppressAutoHyphens w:val="true"/>
        <w:spacing w:lineRule="auto" w:line="276" w:before="120" w:after="120"/>
        <w:ind w:left="425" w:hanging="0"/>
        <w:contextualSpacing/>
        <w:jc w:val="both"/>
        <w:rPr>
          <w:rFonts w:ascii="Calibri" w:hAnsi="Calibri" w:cs="Arial"/>
          <w:i w:val="false"/>
          <w:i w:val="false"/>
          <w:sz w:val="22"/>
          <w:szCs w:val="22"/>
          <w:lang w:val="pt-BR" w:eastAsia="zh-CN"/>
        </w:rPr>
      </w:pPr>
      <w:r>
        <w:rPr>
          <w:rFonts w:cs="Arial" w:ascii="Calibri" w:hAnsi="Calibri"/>
          <w:i w:val="false"/>
          <w:iCs w:val="false"/>
          <w:color w:val="000000"/>
          <w:sz w:val="22"/>
          <w:szCs w:val="22"/>
          <w:lang w:val="pt-BR" w:eastAsia="zh-CN"/>
        </w:rPr>
        <w:t>É permitida a subcontratação parcial do objeto, até o limite de 30% (trinta por cento) do valor total do contrato, nas seguintes condições:</w:t>
      </w:r>
    </w:p>
    <w:p>
      <w:pPr>
        <w:pStyle w:val="Normal"/>
        <w:numPr>
          <w:ilvl w:val="2"/>
          <w:numId w:val="2"/>
        </w:numPr>
        <w:tabs>
          <w:tab w:val="clear" w:pos="709"/>
          <w:tab w:val="left" w:pos="273" w:leader="none"/>
          <w:tab w:val="left" w:pos="1701" w:leader="none"/>
          <w:tab w:val="left" w:pos="1702" w:leader="none"/>
          <w:tab w:val="left" w:pos="1865" w:leader="none"/>
        </w:tabs>
        <w:suppressAutoHyphens w:val="true"/>
        <w:spacing w:lineRule="auto" w:line="276" w:before="120" w:after="120"/>
        <w:ind w:left="1134" w:hanging="0"/>
        <w:jc w:val="both"/>
        <w:rPr>
          <w:rFonts w:ascii="Calibri" w:hAnsi="Calibri" w:cs="Arial"/>
          <w:i w:val="false"/>
          <w:i w:val="false"/>
          <w:sz w:val="22"/>
          <w:szCs w:val="22"/>
          <w:lang w:val="pt-BR" w:eastAsia="zh-CN"/>
        </w:rPr>
      </w:pPr>
      <w:r>
        <w:rPr>
          <w:rFonts w:cs="Arial" w:ascii="Calibri" w:hAnsi="Calibri"/>
          <w:b w:val="false"/>
          <w:i w:val="false"/>
          <w:iCs w:val="false"/>
          <w:color w:val="000000"/>
          <w:sz w:val="22"/>
          <w:szCs w:val="22"/>
          <w:shd w:fill="auto" w:val="clear"/>
          <w:lang w:val="pt-BR" w:eastAsia="zh-CN"/>
        </w:rPr>
        <w:t xml:space="preserve">É vedada a sub-rogação completa ou da </w:t>
      </w:r>
      <w:r>
        <w:rPr>
          <w:rFonts w:cs="Arial" w:ascii="Calibri" w:hAnsi="Calibri"/>
          <w:i w:val="false"/>
          <w:iCs w:val="false"/>
          <w:color w:val="000000" w:themeColor="text1"/>
          <w:sz w:val="22"/>
          <w:szCs w:val="22"/>
          <w:shd w:fill="auto" w:val="clear"/>
          <w:lang w:val="pt-BR" w:eastAsia="zh-CN"/>
        </w:rPr>
        <w:t>parcela principal da obrigação.</w:t>
      </w:r>
    </w:p>
    <w:p>
      <w:pPr>
        <w:pStyle w:val="Normal"/>
        <w:numPr>
          <w:ilvl w:val="1"/>
          <w:numId w:val="2"/>
        </w:numPr>
        <w:tabs>
          <w:tab w:val="clear" w:pos="709"/>
          <w:tab w:val="left" w:pos="1135" w:leader="none"/>
        </w:tabs>
        <w:suppressAutoHyphens w:val="true"/>
        <w:spacing w:before="120" w:after="120"/>
        <w:ind w:left="425" w:hanging="0"/>
        <w:jc w:val="both"/>
        <w:rPr>
          <w:rFonts w:ascii="Calibri" w:hAnsi="Calibri" w:cs="Arial"/>
          <w:i w:val="false"/>
          <w:i w:val="false"/>
          <w:color w:val="000000"/>
          <w:sz w:val="22"/>
          <w:szCs w:val="22"/>
          <w:lang w:val="pt-BR" w:eastAsia="zh-CN"/>
        </w:rPr>
      </w:pPr>
      <w:r>
        <w:rPr>
          <w:rFonts w:cs="Arial" w:ascii="Calibri" w:hAnsi="Calibri"/>
          <w:i w:val="false"/>
          <w:color w:val="000000"/>
          <w:sz w:val="22"/>
          <w:szCs w:val="22"/>
          <w:lang w:val="pt-BR" w:eastAsia="zh-CN"/>
        </w:rPr>
        <w:t xml:space="preserve">A subcontratação depende de autorização prévia da Contratante, a quem incumbe avaliar se a subcontratada cumpre os requisitos de qualificação técnica necessários para a execução do objeto. </w:t>
      </w:r>
    </w:p>
    <w:p>
      <w:pPr>
        <w:pStyle w:val="Normal"/>
        <w:numPr>
          <w:ilvl w:val="2"/>
          <w:numId w:val="2"/>
        </w:numPr>
        <w:tabs>
          <w:tab w:val="clear" w:pos="709"/>
          <w:tab w:val="left" w:pos="273" w:leader="none"/>
          <w:tab w:val="left" w:pos="1701" w:leader="none"/>
          <w:tab w:val="left" w:pos="1865" w:leader="none"/>
        </w:tabs>
        <w:suppressAutoHyphens w:val="true"/>
        <w:spacing w:lineRule="auto" w:line="276" w:before="120" w:after="120"/>
        <w:ind w:left="1134" w:hanging="0"/>
        <w:jc w:val="both"/>
        <w:rPr>
          <w:rFonts w:ascii="Calibri" w:hAnsi="Calibri" w:cs="Arial"/>
          <w:i w:val="false"/>
          <w:i w:val="false"/>
          <w:sz w:val="22"/>
          <w:szCs w:val="22"/>
          <w:lang w:val="pt-BR" w:eastAsia="zh-CN"/>
        </w:rPr>
      </w:pPr>
      <w:r>
        <w:rPr>
          <w:rFonts w:cs="Arial" w:ascii="Calibri" w:hAnsi="Calibri"/>
          <w:b w:val="false"/>
          <w:i w:val="false"/>
          <w:iCs w:val="false"/>
          <w:color w:val="000000"/>
          <w:sz w:val="22"/>
          <w:szCs w:val="22"/>
          <w:shd w:fill="auto" w:val="clear"/>
          <w:lang w:val="pt-BR" w:eastAsia="zh-CN"/>
        </w:rPr>
        <w:t>S</w:t>
      </w:r>
      <w:r>
        <w:rPr>
          <w:rFonts w:cs="Arial" w:ascii="Calibri" w:hAnsi="Calibri"/>
          <w:b w:val="false"/>
          <w:i w:val="false"/>
          <w:iCs/>
          <w:color w:val="000000"/>
          <w:sz w:val="22"/>
          <w:szCs w:val="22"/>
          <w:shd w:fill="auto" w:val="clear"/>
          <w:lang w:val="pt-BR" w:eastAsia="zh-CN"/>
        </w:rPr>
        <w:t>omente será autorizada a subcontratação de empresas que expressamente aceitem o cumprimento das cláusulas assecuratórias de direitos trabalhistas, previstas na Instrução Normativa SEGES/MP nº 6, de 6 de julho de 2018.</w:t>
      </w:r>
    </w:p>
    <w:p>
      <w:pPr>
        <w:pStyle w:val="Normal"/>
        <w:numPr>
          <w:ilvl w:val="1"/>
          <w:numId w:val="2"/>
        </w:numPr>
        <w:tabs>
          <w:tab w:val="clear" w:pos="709"/>
          <w:tab w:val="left" w:pos="1135" w:leader="none"/>
        </w:tabs>
        <w:suppressAutoHyphens w:val="true"/>
        <w:spacing w:before="120" w:after="120"/>
        <w:ind w:left="425" w:hanging="0"/>
        <w:jc w:val="both"/>
        <w:rPr>
          <w:rFonts w:ascii="Calibri" w:hAnsi="Calibri"/>
          <w:sz w:val="22"/>
          <w:szCs w:val="22"/>
        </w:rPr>
      </w:pPr>
      <w:r>
        <w:rPr>
          <w:rFonts w:cs="Arial" w:ascii="Calibri" w:hAnsi="Calibri"/>
          <w:i w:val="false"/>
          <w:color w:val="000000"/>
          <w:sz w:val="22"/>
          <w:szCs w:val="22"/>
          <w:lang w:val="pt-BR" w:eastAsia="zh-CN"/>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pPr>
        <w:pStyle w:val="Normal"/>
        <w:numPr>
          <w:ilvl w:val="0"/>
          <w:numId w:val="0"/>
        </w:numPr>
        <w:tabs>
          <w:tab w:val="clear" w:pos="709"/>
          <w:tab w:val="left" w:pos="1135" w:leader="none"/>
        </w:tabs>
        <w:suppressAutoHyphens w:val="true"/>
        <w:spacing w:before="120" w:after="120"/>
        <w:ind w:left="857" w:hanging="0"/>
        <w:jc w:val="both"/>
        <w:rPr>
          <w:rFonts w:cs="Arial"/>
          <w:i w:val="false"/>
          <w:i w:val="false"/>
          <w:color w:val="000000"/>
          <w:lang w:val="pt-BR" w:eastAsia="zh-CN"/>
        </w:rPr>
      </w:pPr>
      <w:r>
        <w:rPr>
          <w:rFonts w:cs="Arial"/>
          <w:i w:val="false"/>
          <w:color w:val="000000"/>
          <w:lang w:val="pt-BR" w:eastAsia="zh-CN"/>
        </w:rPr>
      </w:r>
    </w:p>
    <w:p>
      <w:pPr>
        <w:pStyle w:val="Nivel1"/>
        <w:numPr>
          <w:ilvl w:val="0"/>
          <w:numId w:val="2"/>
        </w:numPr>
        <w:suppressAutoHyphens w:val="true"/>
        <w:spacing w:lineRule="auto" w:line="240" w:before="24" w:after="0"/>
        <w:rPr>
          <w:rFonts w:ascii="Arial" w:hAnsi="Arial" w:cs="Arial"/>
          <w:i w:val="false"/>
          <w:i w:val="false"/>
          <w:color w:val="000000"/>
          <w:sz w:val="20"/>
          <w:szCs w:val="20"/>
          <w:lang w:val="pt-BR" w:eastAsia="zh-CN"/>
        </w:rPr>
      </w:pPr>
      <w:r>
        <w:rPr>
          <w:rFonts w:cs="Arial" w:ascii="Calibri" w:hAnsi="Calibri"/>
          <w:sz w:val="22"/>
          <w:szCs w:val="22"/>
        </w:rPr>
        <w:t>ALTERAÇÃO SUBJETIVA</w:t>
      </w:r>
    </w:p>
    <w:p>
      <w:pPr>
        <w:pStyle w:val="ListParagraph"/>
        <w:numPr>
          <w:ilvl w:val="1"/>
          <w:numId w:val="2"/>
        </w:numPr>
        <w:tabs>
          <w:tab w:val="clear" w:pos="709"/>
          <w:tab w:val="left" w:pos="1135" w:leader="none"/>
          <w:tab w:val="left" w:pos="1418" w:leader="none"/>
        </w:tabs>
        <w:suppressAutoHyphens w:val="true"/>
        <w:spacing w:lineRule="auto" w:line="276" w:before="120" w:after="120"/>
        <w:ind w:left="425" w:hanging="0"/>
        <w:contextualSpacing/>
        <w:jc w:val="both"/>
        <w:rPr>
          <w:rFonts w:ascii="Calibri" w:hAnsi="Calibri" w:cs="Arial"/>
          <w:sz w:val="22"/>
          <w:szCs w:val="22"/>
          <w:lang w:val="pt-BR" w:eastAsia="en-US"/>
        </w:rPr>
      </w:pPr>
      <w:r>
        <w:rPr>
          <w:rFonts w:cs="Arial" w:ascii="Calibri" w:hAnsi="Calibri"/>
          <w:b w:val="false"/>
          <w:i w:val="false"/>
          <w:iCs w:val="false"/>
          <w:color w:val="000000"/>
          <w:sz w:val="22"/>
          <w:szCs w:val="22"/>
          <w:lang w:val="pt-BR" w:eastAsia="en-US"/>
        </w:rPr>
        <w:t>N</w:t>
      </w:r>
      <w:r>
        <w:rPr>
          <w:rFonts w:cs="Arial" w:ascii="Calibri" w:hAnsi="Calibri"/>
          <w:b w:val="false"/>
          <w:i w:val="false"/>
          <w:color w:val="000000"/>
          <w:sz w:val="22"/>
          <w:szCs w:val="22"/>
          <w:lang w:val="pt-BR" w:eastAsia="en-US"/>
        </w:rPr>
        <w:t>ão haverá rescisão contratual em razão de fusão, cisão ou incorporação do contratado, ou de substituição de consorciado, desde que mantidas as condições de habilitação previamente atestadas.</w:t>
      </w:r>
    </w:p>
    <w:p>
      <w:pPr>
        <w:pStyle w:val="ListParagraph"/>
        <w:numPr>
          <w:ilvl w:val="0"/>
          <w:numId w:val="0"/>
        </w:numPr>
        <w:tabs>
          <w:tab w:val="clear" w:pos="709"/>
          <w:tab w:val="left" w:pos="1135" w:leader="none"/>
          <w:tab w:val="left" w:pos="1418" w:leader="none"/>
        </w:tabs>
        <w:suppressAutoHyphens w:val="true"/>
        <w:spacing w:lineRule="auto" w:line="276" w:before="57" w:after="57"/>
        <w:ind w:left="857" w:hanging="0"/>
        <w:contextualSpacing/>
        <w:jc w:val="both"/>
        <w:rPr>
          <w:b w:val="false"/>
          <w:b w:val="false"/>
          <w:i w:val="false"/>
          <w:i w:val="false"/>
          <w:color w:val="000000"/>
        </w:rPr>
      </w:pPr>
      <w:r>
        <w:rPr>
          <w:b w:val="false"/>
          <w:i w:val="false"/>
          <w:color w:val="000000"/>
        </w:rPr>
      </w:r>
    </w:p>
    <w:p>
      <w:pPr>
        <w:pStyle w:val="Nivel1"/>
        <w:numPr>
          <w:ilvl w:val="0"/>
          <w:numId w:val="2"/>
        </w:numPr>
        <w:tabs>
          <w:tab w:val="clear" w:pos="709"/>
          <w:tab w:val="left" w:pos="545" w:leader="none"/>
        </w:tabs>
        <w:suppressAutoHyphens w:val="true"/>
        <w:spacing w:lineRule="auto" w:line="240" w:before="0" w:after="0"/>
        <w:rPr>
          <w:rFonts w:ascii="Calibri" w:hAnsi="Calibri"/>
          <w:sz w:val="22"/>
          <w:szCs w:val="22"/>
        </w:rPr>
      </w:pPr>
      <w:r>
        <w:rPr>
          <w:rFonts w:cs="Arial" w:ascii="Calibri" w:hAnsi="Calibri"/>
          <w:bCs/>
          <w:color w:val="000000" w:themeColor="text1"/>
          <w:sz w:val="22"/>
          <w:szCs w:val="22"/>
          <w:lang w:eastAsia="en-US"/>
        </w:rPr>
        <w:t>CONTROLE E FISCALIZAÇÃO DA EXECUÇÃO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bCs/>
          <w:i w:val="false"/>
          <w:iCs w:val="false"/>
          <w:color w:val="000000"/>
          <w:sz w:val="22"/>
          <w:szCs w:val="22"/>
          <w:shd w:fill="auto" w:val="clear"/>
          <w:lang w:val="pt-BR" w:eastAsia="pt-BR"/>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Cs/>
          <w:sz w:val="22"/>
          <w:szCs w:val="22"/>
          <w:lang w:eastAsia="pt-BR"/>
        </w:rPr>
        <w:t>O representante da Contratante deverá ter a qualificação necessária para o acompanhamento e controle da execução dos serviços e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bCs/>
          <w:i w:val="false"/>
          <w:iCs w:val="false"/>
          <w:color w:val="000000"/>
          <w:sz w:val="22"/>
          <w:szCs w:val="22"/>
          <w:shd w:fill="auto" w:val="clear"/>
          <w:lang w:val="pt-BR" w:eastAsia="pt-BR"/>
        </w:rPr>
        <w:t>A verificação da adequação da prestação do serviço deverá ser realizada com base nos critérios previstos neste Projeto Básico.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Cs/>
          <w:sz w:val="22"/>
          <w:szCs w:val="22"/>
          <w:lang w:eastAsia="pt-BR"/>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Cs/>
          <w:sz w:val="22"/>
          <w:szCs w:val="22"/>
          <w:lang w:eastAsia="pt-BR"/>
        </w:rPr>
        <w:t>A conformidade do material/técnica/equipamento a ser utilizado na execução dos serviços deverá ser verificada juntamente com o documento da Contratada que contenha a relação detalhada dos mesmos, de acordo com o estabelecido neste Projeto Básico, informando as respectivas quantidades e especificações técnicas, tais como: marca, qualidade e forma de uso.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Cs/>
          <w:sz w:val="22"/>
          <w:szCs w:val="22"/>
          <w:lang w:eastAsia="pt-BR"/>
        </w:rPr>
        <w:t>O representante da Contratante deverá promover o registro das ocorrências verificadas, adotando as providências necessárias ao fiel cumprimento das cláusulas contratuais, conforme o disposto nos §§ 1º e 2º do art. 67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Cs/>
          <w:sz w:val="22"/>
          <w:szCs w:val="22"/>
          <w:lang w:eastAsia="pt-BR"/>
        </w:rPr>
        <w:t>O descumprimento total ou parcial das obrigações e responsabilidades assumidas pela Contratada, sobretudo quanto às obrigações e encargos sociais e trabalhistas, ensejará a aplicação de sanções administrativas, previstas neste Projeto Básico e na legislação vigente, podendo culminar em rescisão contratual, conforme disposto nos artigos 77 e 87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Cs/>
          <w:sz w:val="22"/>
          <w:szCs w:val="22"/>
          <w:lang w:eastAsia="pt-BR"/>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Cs/>
          <w:sz w:val="22"/>
          <w:szCs w:val="22"/>
          <w:lang w:eastAsia="pt-BR"/>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Cs/>
          <w:sz w:val="22"/>
          <w:szCs w:val="22"/>
          <w:lang w:eastAsia="pt-BR"/>
        </w:rPr>
        <w:t xml:space="preserve">O fiscal técnico deverá apresentar ao preposto da CONTRATADA a avaliação da execução do objeto ou, se for o caso, a avaliação de desempenho e qualidade da prestação dos serviços realizada. </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Cs/>
          <w:sz w:val="22"/>
          <w:szCs w:val="22"/>
          <w:lang w:eastAsia="pt-BR"/>
        </w:rPr>
        <w:t xml:space="preserve">Em hipótese alguma, será admitido que a própria CONTRATADA materialize a avaliação de desempenho e qualidade da prestação dos serviços realizada. </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Cs/>
          <w:sz w:val="22"/>
          <w:szCs w:val="22"/>
          <w:lang w:eastAsia="pt-BR"/>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Cs/>
          <w:sz w:val="22"/>
          <w:szCs w:val="22"/>
          <w:lang w:eastAsia="pt-BR"/>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Cs/>
          <w:sz w:val="22"/>
          <w:szCs w:val="22"/>
          <w:lang w:eastAsia="pt-BR"/>
        </w:rPr>
        <w:t xml:space="preserve">O fiscal técnico poderá realizar avaliação diária, semanal ou mensal, desde que o período escolhido seja suficiente para avaliar ou, se for o caso, aferir o desempenho e qualidade da prestação dos serviços. </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lang w:eastAsia="en-US"/>
        </w:rPr>
        <w:t>Cumpre, ainda, à fiscalização:</w:t>
      </w:r>
    </w:p>
    <w:p>
      <w:pPr>
        <w:pStyle w:val="Normal"/>
        <w:numPr>
          <w:ilvl w:val="2"/>
          <w:numId w:val="2"/>
        </w:numPr>
        <w:tabs>
          <w:tab w:val="clear" w:pos="709"/>
          <w:tab w:val="left" w:pos="273" w:leader="none"/>
          <w:tab w:val="left" w:pos="1701" w:leader="none"/>
          <w:tab w:val="left" w:pos="198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b w:val="false"/>
          <w:i w:val="false"/>
          <w:iCs w:val="false"/>
          <w:color w:val="000000"/>
          <w:sz w:val="22"/>
          <w:szCs w:val="22"/>
          <w:shd w:fill="auto" w:val="clear"/>
          <w:lang w:val="pt-BR" w:eastAsia="en-US"/>
        </w:rPr>
        <w:t>S</w:t>
      </w:r>
      <w:r>
        <w:rPr>
          <w:rFonts w:cs="Arial" w:ascii="Calibri" w:hAnsi="Calibri"/>
          <w:b w:val="false"/>
          <w:i w:val="false"/>
          <w:iCs/>
          <w:color w:val="000000"/>
          <w:sz w:val="22"/>
          <w:szCs w:val="22"/>
          <w:shd w:fill="auto" w:val="clear"/>
          <w:lang w:val="pt-BR" w:eastAsia="en-US"/>
        </w:rPr>
        <w:t>olicitar, mensalmente, por amostragem, que a contratada apresente os documentos comprobatórios das obrigações trabalhistas e previdenciárias dos empregados alocados na execução da obra, em especial, quanto:</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b w:val="false"/>
          <w:i w:val="false"/>
          <w:iCs/>
          <w:color w:val="000000"/>
          <w:sz w:val="22"/>
          <w:szCs w:val="22"/>
          <w:shd w:fill="auto" w:val="clear"/>
          <w:lang w:val="pt-BR" w:eastAsia="en-US"/>
        </w:rPr>
        <w:t>Ao pagamento de salários, adicionais, horas extras, repouso semanal remunerado e décimo terceiro salário;</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b w:val="false"/>
          <w:i w:val="false"/>
          <w:iCs/>
          <w:color w:val="000000"/>
          <w:sz w:val="22"/>
          <w:szCs w:val="22"/>
          <w:shd w:fill="auto" w:val="clear"/>
          <w:lang w:val="pt-BR" w:eastAsia="en-US"/>
        </w:rPr>
        <w:t>À concessão de férias remuneradas e pagamento do respectivo adicional;</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sz w:val="22"/>
          <w:szCs w:val="22"/>
        </w:rPr>
        <w:t>À concessão do auxílio-transporte, auxílio-alimentação e auxílio-saúde, quando for devido;</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sz w:val="22"/>
          <w:szCs w:val="22"/>
        </w:rPr>
        <w:t>Aos depósitos do FGTS; e</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sz w:val="22"/>
          <w:szCs w:val="22"/>
        </w:rPr>
        <w:t>Ao pagamento de obrigações trabalhistas e previdenciárias dos empregados dispensados até a data da extinção do contrato.</w:t>
      </w:r>
    </w:p>
    <w:p>
      <w:pPr>
        <w:pStyle w:val="Normal"/>
        <w:numPr>
          <w:ilvl w:val="2"/>
          <w:numId w:val="2"/>
        </w:numPr>
        <w:tabs>
          <w:tab w:val="clear" w:pos="709"/>
          <w:tab w:val="left" w:pos="273" w:leader="none"/>
          <w:tab w:val="left" w:pos="1701" w:leader="none"/>
          <w:tab w:val="left" w:pos="1985" w:leader="none"/>
        </w:tabs>
        <w:suppressAutoHyphens w:val="true"/>
        <w:spacing w:lineRule="auto" w:line="276" w:before="120" w:after="120"/>
        <w:ind w:left="1134" w:hanging="0"/>
        <w:jc w:val="both"/>
        <w:rPr>
          <w:rFonts w:ascii="Calibri" w:hAnsi="Calibri"/>
          <w:sz w:val="22"/>
          <w:szCs w:val="22"/>
        </w:rPr>
      </w:pPr>
      <w:r>
        <w:rPr>
          <w:rFonts w:cs="Arial" w:ascii="Calibri" w:hAnsi="Calibri"/>
          <w:b w:val="false"/>
          <w:i w:val="false"/>
          <w:iCs w:val="false"/>
          <w:color w:val="000000"/>
          <w:sz w:val="22"/>
          <w:szCs w:val="22"/>
          <w:shd w:fill="auto" w:val="clear"/>
          <w:lang w:val="pt-BR" w:eastAsia="en-US"/>
        </w:rPr>
        <w:t>S</w:t>
      </w:r>
      <w:r>
        <w:rPr>
          <w:rFonts w:cs="Arial" w:ascii="Calibri" w:hAnsi="Calibri"/>
          <w:b w:val="false"/>
          <w:i w:val="false"/>
          <w:iCs/>
          <w:color w:val="000000"/>
          <w:sz w:val="22"/>
          <w:szCs w:val="22"/>
          <w:shd w:fill="auto" w:val="clear"/>
          <w:lang w:val="pt-BR" w:eastAsia="en-US"/>
        </w:rPr>
        <w:t>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pPr>
        <w:pStyle w:val="Normal"/>
        <w:numPr>
          <w:ilvl w:val="2"/>
          <w:numId w:val="2"/>
        </w:numPr>
        <w:tabs>
          <w:tab w:val="clear" w:pos="709"/>
          <w:tab w:val="left" w:pos="273" w:leader="none"/>
          <w:tab w:val="left" w:pos="1701" w:leader="none"/>
          <w:tab w:val="left" w:pos="1865" w:leader="none"/>
        </w:tabs>
        <w:suppressAutoHyphens w:val="true"/>
        <w:spacing w:lineRule="auto" w:line="276" w:before="120" w:after="120"/>
        <w:ind w:left="1134" w:hanging="0"/>
        <w:jc w:val="both"/>
        <w:rPr>
          <w:rFonts w:ascii="Calibri" w:hAnsi="Calibri"/>
          <w:sz w:val="22"/>
          <w:szCs w:val="22"/>
        </w:rPr>
      </w:pPr>
      <w:r>
        <w:rPr>
          <w:rFonts w:cs="Arial" w:ascii="Calibri" w:hAnsi="Calibri"/>
          <w:b w:val="false"/>
          <w:i w:val="false"/>
          <w:iCs/>
          <w:color w:val="000000"/>
          <w:sz w:val="22"/>
          <w:szCs w:val="22"/>
          <w:shd w:fill="auto" w:val="clear"/>
          <w:lang w:val="pt-BR" w:eastAsia="en-US"/>
        </w:rPr>
        <w:t xml:space="preserve"> </w:t>
      </w:r>
      <w:r>
        <w:rPr>
          <w:rFonts w:cs="Arial" w:ascii="Calibri" w:hAnsi="Calibri"/>
          <w:b w:val="false"/>
          <w:i w:val="false"/>
          <w:iCs/>
          <w:color w:val="000000"/>
          <w:sz w:val="22"/>
          <w:szCs w:val="22"/>
          <w:shd w:fill="auto" w:val="clear"/>
          <w:lang w:val="pt-BR" w:eastAsia="en-US"/>
        </w:rPr>
        <w:t>O</w:t>
      </w:r>
      <w:r>
        <w:rPr>
          <w:rFonts w:cs="Arial" w:ascii="Calibri" w:hAnsi="Calibri"/>
          <w:sz w:val="22"/>
          <w:szCs w:val="22"/>
        </w:rPr>
        <w:t>ficiar os órgãos responsáveis pela fiscalização em caso de indício de irregularidade no cumprimento das obrigações trabalhistas, previdenciárias e para com o FGTS.</w:t>
      </w:r>
    </w:p>
    <w:p>
      <w:pPr>
        <w:pStyle w:val="Normal"/>
        <w:numPr>
          <w:ilvl w:val="2"/>
          <w:numId w:val="2"/>
        </w:numPr>
        <w:tabs>
          <w:tab w:val="clear" w:pos="709"/>
          <w:tab w:val="left" w:pos="273" w:leader="none"/>
          <w:tab w:val="left" w:pos="1701" w:leader="none"/>
          <w:tab w:val="left" w:pos="1985"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 xml:space="preserve">Somente autorizar a subcontratação se as obrigações estabelecidas na Instrução Normativa SEGES/MP nº 6, de 6 de julho de 2018 forem expressamente </w:t>
      </w:r>
      <w:r>
        <w:rPr>
          <w:rFonts w:cs="Arial" w:ascii="Calibri" w:hAnsi="Calibri"/>
          <w:sz w:val="22"/>
          <w:szCs w:val="22"/>
          <w:lang w:val="pt-BR" w:eastAsia="zh-CN"/>
        </w:rPr>
        <w:t>aceitas pela subcontratada.</w:t>
      </w:r>
    </w:p>
    <w:p>
      <w:pPr>
        <w:pStyle w:val="Normal"/>
        <w:numPr>
          <w:ilvl w:val="1"/>
          <w:numId w:val="2"/>
        </w:numPr>
        <w:tabs>
          <w:tab w:val="clear" w:pos="709"/>
          <w:tab w:val="left" w:pos="1128" w:leader="none"/>
        </w:tabs>
        <w:suppressAutoHyphens w:val="true"/>
        <w:spacing w:lineRule="auto" w:line="276" w:before="0" w:after="0"/>
        <w:ind w:left="425" w:hanging="0"/>
        <w:jc w:val="both"/>
        <w:rPr>
          <w:rFonts w:ascii="Calibri" w:hAnsi="Calibri"/>
          <w:sz w:val="22"/>
          <w:szCs w:val="22"/>
        </w:rPr>
      </w:pPr>
      <w:r>
        <w:rPr>
          <w:rFonts w:cs="Arial" w:ascii="Calibri" w:hAnsi="Calibri"/>
          <w:sz w:val="22"/>
          <w:szCs w:val="22"/>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pPr>
        <w:pStyle w:val="Normal"/>
        <w:numPr>
          <w:ilvl w:val="0"/>
          <w:numId w:val="0"/>
        </w:numPr>
        <w:tabs>
          <w:tab w:val="clear" w:pos="709"/>
          <w:tab w:val="left" w:pos="1128" w:leader="none"/>
        </w:tabs>
        <w:suppressAutoHyphens w:val="true"/>
        <w:spacing w:lineRule="auto" w:line="276" w:before="57" w:after="57"/>
        <w:ind w:left="857" w:hanging="0"/>
        <w:jc w:val="both"/>
        <w:rPr>
          <w:rFonts w:cs="Arial"/>
        </w:rPr>
      </w:pPr>
      <w:r>
        <w:rPr>
          <w:rFonts w:cs="Arial"/>
        </w:rPr>
      </w:r>
    </w:p>
    <w:p>
      <w:pPr>
        <w:pStyle w:val="Nivel1"/>
        <w:numPr>
          <w:ilvl w:val="0"/>
          <w:numId w:val="2"/>
        </w:numPr>
        <w:suppressAutoHyphens w:val="true"/>
        <w:spacing w:lineRule="auto" w:line="240" w:before="0" w:after="0"/>
        <w:rPr>
          <w:rFonts w:ascii="Calibri" w:hAnsi="Calibri"/>
          <w:sz w:val="22"/>
          <w:szCs w:val="22"/>
        </w:rPr>
      </w:pPr>
      <w:r>
        <w:rPr>
          <w:rFonts w:cs="Arial" w:ascii="Calibri" w:hAnsi="Calibri"/>
          <w:bCs/>
          <w:color w:val="000000" w:themeColor="text1"/>
          <w:sz w:val="22"/>
          <w:szCs w:val="22"/>
          <w:lang w:eastAsia="en-US"/>
        </w:rPr>
        <w:t>DO RECEBIMENTO E ACEITAÇÃO DO OBJETO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i w:val="false"/>
          <w:iCs w:val="false"/>
          <w:color w:val="000000"/>
          <w:sz w:val="22"/>
          <w:szCs w:val="22"/>
          <w:shd w:fill="auto" w:val="clear"/>
          <w:lang w:val="pt-BR" w:eastAsia="en-US"/>
        </w:rPr>
        <w:t xml:space="preserve">A </w:t>
      </w:r>
      <w:r>
        <w:rPr>
          <w:rFonts w:cs="Arial" w:ascii="Calibri" w:hAnsi="Calibri"/>
          <w:b w:val="false"/>
          <w:i w:val="false"/>
          <w:iCs/>
          <w:color w:val="000000"/>
          <w:sz w:val="22"/>
          <w:szCs w:val="22"/>
          <w:shd w:fill="auto" w:val="clear"/>
          <w:lang w:val="pt-BR" w:eastAsia="en-US"/>
        </w:rPr>
        <w:t>emissão da Nota Fiscal/Fatura deve ser precedida do recebimento definitivo Dos serviços, nos termos abaixo: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b w:val="false"/>
          <w:i w:val="false"/>
          <w:iCs/>
          <w:color w:val="000000"/>
          <w:sz w:val="22"/>
          <w:szCs w:val="22"/>
          <w:shd w:fill="auto" w:val="clear"/>
          <w:lang w:val="pt-BR" w:eastAsia="en-US"/>
        </w:rPr>
        <w:t>Ao final de cada etapa da execução contratual, conforme previsto no Cronograma Físico-Financeiro, a Contratada apresentará a medição prévia dos serviços executados no período, através de planilha e memória de cálculo detalhada.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b w:val="false"/>
          <w:i w:val="false"/>
          <w:iCs/>
          <w:color w:val="000000"/>
          <w:sz w:val="22"/>
          <w:szCs w:val="22"/>
          <w:shd w:fill="auto" w:val="clear"/>
          <w:lang w:val="pt-BR" w:eastAsia="en-US"/>
        </w:rPr>
        <w:t>Uma etapa será considerada efetivamente concluída quando os serviços previstos para aquela etapa, no Cronograma Físico-Financeiro, estiverem executados em sua totalidade.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cs="Arial"/>
          <w:b w:val="false"/>
          <w:b w:val="false"/>
          <w:i w:val="false"/>
          <w:i w:val="false"/>
          <w:iCs/>
          <w:color w:val="000000"/>
          <w:sz w:val="22"/>
          <w:szCs w:val="22"/>
          <w:shd w:fill="auto" w:val="clear"/>
          <w:lang w:val="pt-BR" w:eastAsia="en-US"/>
        </w:rPr>
      </w:pPr>
      <w:r>
        <w:rPr>
          <w:rFonts w:cs="Arial" w:ascii="Calibri" w:hAnsi="Calibri"/>
          <w:b w:val="false"/>
          <w:i w:val="false"/>
          <w:iCs/>
          <w:color w:val="000000"/>
          <w:sz w:val="22"/>
          <w:szCs w:val="22"/>
          <w:shd w:fill="auto" w:val="clear"/>
          <w:lang w:val="pt-BR" w:eastAsia="en-US"/>
        </w:rPr>
        <w:t>A Contratada também apresentará, a cada medição, os documentos comprobatórios da procedência legal dos produtos e subprodutos florestais utilizados naquela etapa da execução contratual, quando for o caso.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cs="Arial"/>
          <w:b w:val="false"/>
          <w:b w:val="false"/>
          <w:i w:val="false"/>
          <w:i w:val="false"/>
          <w:iCs/>
          <w:color w:val="000000"/>
          <w:sz w:val="22"/>
          <w:szCs w:val="22"/>
          <w:shd w:fill="auto" w:val="clear"/>
          <w:lang w:val="pt-BR" w:eastAsia="en-US"/>
        </w:rPr>
      </w:pPr>
      <w:r>
        <w:rPr>
          <w:rFonts w:cs="Arial" w:ascii="Calibri" w:hAnsi="Calibri"/>
          <w:b w:val="false"/>
          <w:i w:val="false"/>
          <w:iCs/>
          <w:color w:val="000000"/>
          <w:sz w:val="22"/>
          <w:szCs w:val="22"/>
          <w:shd w:fill="auto" w:val="clear"/>
          <w:lang w:val="pt-BR" w:eastAsia="en-US"/>
        </w:rPr>
        <w:t>O recebimento provisório será realizado pela equipe de fiscalização após a entrega da documentação acima, da seguinte forma: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b w:val="false"/>
          <w:i w:val="false"/>
          <w:iCs/>
          <w:color w:val="000000"/>
          <w:sz w:val="22"/>
          <w:szCs w:val="22"/>
          <w:shd w:fill="auto" w:val="clear"/>
          <w:lang w:val="pt-BR" w:eastAsia="en-US"/>
        </w:rPr>
        <w:t xml:space="preserve">A </w:t>
      </w:r>
      <w:r>
        <w:rPr>
          <w:rFonts w:cs="Arial" w:ascii="Calibri" w:hAnsi="Calibri"/>
          <w:sz w:val="22"/>
          <w:szCs w:val="22"/>
        </w:rPr>
        <w:t>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sz w:val="22"/>
          <w:szCs w:val="22"/>
        </w:rPr>
        <w:t>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sz w:val="22"/>
          <w:szCs w:val="22"/>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sz w:val="22"/>
          <w:szCs w:val="22"/>
          <w:lang w:eastAsia="en-US"/>
        </w:rPr>
        <w:t>O recebimento provisório também ficará sujeito, quando cabível, à conclusão de todos os testes de campo e à entrega dos Manuais e Instruções exigíveis.</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sz w:val="22"/>
          <w:szCs w:val="22"/>
          <w:lang w:eastAsia="en-US"/>
        </w:rPr>
        <w:t>A aprovação da medição prévia apresentada pela Contratada não a exime de qualquer das responsabilidades contratuais, nem implica aceitação definitiva dos serviços executados.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b w:val="false"/>
          <w:i w:val="false"/>
          <w:iCs/>
          <w:color w:val="000000"/>
          <w:sz w:val="22"/>
          <w:szCs w:val="22"/>
          <w:shd w:fill="auto" w:val="clear"/>
          <w:lang w:val="pt-BR" w:eastAsia="en-US"/>
        </w:rPr>
        <w:t xml:space="preserve">No prazo de até 15 dias corridos a partir do recebimento dos documentos da CONTRATADA, cada fiscal ou a equipe de fiscalização deverá elaborar Relatório Circunstanciado em consonância com suas atribuições, e encaminhá-lo ao gestor do contrato. </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sz w:val="22"/>
          <w:szCs w:val="22"/>
          <w:lang w:eastAsia="en-US"/>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rPr>
      </w:pPr>
      <w:r>
        <w:rPr>
          <w:rFonts w:cs="Arial" w:ascii="Calibri" w:hAnsi="Calibri"/>
          <w:sz w:val="22"/>
          <w:szCs w:val="22"/>
          <w:lang w:eastAsia="en-US"/>
        </w:rPr>
        <w:t xml:space="preserve">Será considerado como ocorrido o recebimento provisório com a entrega do relatório circunstanciado ou, em havendo mais de um a ser feito, com a entrega do último. </w:t>
      </w:r>
    </w:p>
    <w:p>
      <w:pPr>
        <w:pStyle w:val="ListParagraph"/>
        <w:numPr>
          <w:ilvl w:val="3"/>
          <w:numId w:val="2"/>
        </w:numPr>
        <w:tabs>
          <w:tab w:val="clear" w:pos="709"/>
          <w:tab w:val="left" w:pos="2664" w:leader="none"/>
        </w:tabs>
        <w:suppressAutoHyphens w:val="true"/>
        <w:spacing w:lineRule="auto" w:line="276" w:before="120" w:after="120"/>
        <w:ind w:left="1701" w:hanging="0"/>
        <w:contextualSpacing/>
        <w:jc w:val="both"/>
        <w:rPr>
          <w:rFonts w:ascii="Calibri" w:hAnsi="Calibri"/>
          <w:sz w:val="22"/>
          <w:szCs w:val="22"/>
        </w:rPr>
      </w:pPr>
      <w:r>
        <w:rPr>
          <w:rFonts w:cs="Arial" w:ascii="Calibri" w:hAnsi="Calibri"/>
          <w:sz w:val="22"/>
          <w:szCs w:val="22"/>
          <w:lang w:eastAsia="en-US"/>
        </w:rPr>
        <w:t>Na hipótese de a verificação a que se refere o parágrafo anterior não ser procedida tempestivamente, reputar-se-á como realizada, consumando-se o recebimento provisório no dia do esgotamento do prazo.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i w:val="false"/>
          <w:iCs/>
          <w:color w:val="000000"/>
          <w:sz w:val="22"/>
          <w:szCs w:val="22"/>
          <w:shd w:fill="auto" w:val="clear"/>
          <w:lang w:val="pt-BR" w:eastAsia="en-US"/>
        </w:rPr>
        <w:t xml:space="preserve">No prazo de até 90 (noventa) dias corridos a partir do recebimento provisório dos serviços, o Gestor do Contrato deverá providenciar o recebimento definitivo, ato que concretiza o ateste da execução dos serviços, obedecendo as seguintes diretrizes: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b w:val="false"/>
          <w:i w:val="false"/>
          <w:iCs/>
          <w:color w:val="000000"/>
          <w:sz w:val="22"/>
          <w:szCs w:val="22"/>
          <w:shd w:fill="auto" w:val="clear"/>
          <w:lang w:val="pt-BR"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lang w:eastAsia="en-US"/>
        </w:rPr>
        <w:t>Emitir Termo Circunstanciado para efeito de recebimento definitivo dos serviços prestados, com base nos relatórios e documentações apresentadas; 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lang w:eastAsia="en-US"/>
        </w:rPr>
        <w:t>Comunicar a empresa para que emita a Nota Fiscal ou Fatura, com o valor exato dimensionado pela fiscalização.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i w:val="false"/>
          <w:iCs/>
          <w:color w:val="000000"/>
          <w:kern w:val="2"/>
          <w:sz w:val="22"/>
          <w:szCs w:val="22"/>
          <w:shd w:fill="auto" w:val="clear"/>
          <w:lang w:val="pt-BR" w:eastAsia="en-US"/>
        </w:rPr>
        <w:t>O recebimento provisório da última etapa da obra é condicionada, além da execução do objeto em si, à entrega dos “as built”.</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i w:val="false"/>
          <w:iCs/>
          <w:color w:val="000000"/>
          <w:sz w:val="22"/>
          <w:szCs w:val="22"/>
          <w:shd w:fill="auto" w:val="clear"/>
          <w:lang w:val="pt-BR" w:eastAsia="en-US"/>
        </w:rPr>
        <w:t>O recebimento provisório ou definitivo do objeto não exclui a responsabilidade da Contratada pelos prejuízos resultantes da incorreta execução do contrato, das garantias concedidas e das responsabilidades assumidas em contrato e por força das disposições legais em vigor (Lei n° 10.406, de 2002).</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i w:val="false"/>
          <w:iCs/>
          <w:color w:val="000000"/>
          <w:sz w:val="22"/>
          <w:szCs w:val="22"/>
          <w:shd w:fill="auto" w:val="clear"/>
          <w:lang w:val="pt-BR" w:eastAsia="en-US"/>
        </w:rPr>
        <w:t>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p>
    <w:p>
      <w:pPr>
        <w:pStyle w:val="Normal"/>
        <w:numPr>
          <w:ilvl w:val="0"/>
          <w:numId w:val="0"/>
        </w:numPr>
        <w:tabs>
          <w:tab w:val="clear" w:pos="709"/>
          <w:tab w:val="left" w:pos="273" w:leader="none"/>
          <w:tab w:val="left" w:pos="1701" w:leader="none"/>
          <w:tab w:val="left" w:pos="1865" w:leader="none"/>
          <w:tab w:val="left" w:pos="2269" w:leader="none"/>
        </w:tabs>
        <w:suppressAutoHyphens w:val="true"/>
        <w:spacing w:lineRule="auto" w:line="276" w:before="57" w:after="57"/>
        <w:ind w:left="2358" w:hanging="0"/>
        <w:jc w:val="both"/>
        <w:rPr>
          <w:kern w:val="2"/>
        </w:rPr>
      </w:pPr>
      <w:r>
        <w:rPr>
          <w:kern w:val="2"/>
        </w:rPr>
      </w:r>
    </w:p>
    <w:p>
      <w:pPr>
        <w:pStyle w:val="Nivel1"/>
        <w:numPr>
          <w:ilvl w:val="0"/>
          <w:numId w:val="2"/>
        </w:numPr>
        <w:suppressAutoHyphens w:val="true"/>
        <w:spacing w:lineRule="auto" w:line="240" w:before="0" w:after="0"/>
        <w:rPr>
          <w:rFonts w:ascii="Calibri" w:hAnsi="Calibri"/>
          <w:sz w:val="22"/>
          <w:szCs w:val="22"/>
        </w:rPr>
      </w:pPr>
      <w:r>
        <w:rPr>
          <w:rFonts w:cs="Arial" w:ascii="Calibri" w:hAnsi="Calibri"/>
          <w:bCs/>
          <w:color w:val="000000" w:themeColor="text1"/>
          <w:sz w:val="22"/>
          <w:szCs w:val="22"/>
          <w:lang w:eastAsia="en-US"/>
        </w:rPr>
        <w:t>DO PAGAMENTO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trike w:val="false"/>
          <w:dstrike w:val="false"/>
          <w:sz w:val="22"/>
          <w:szCs w:val="22"/>
        </w:rPr>
      </w:pPr>
      <w:r>
        <w:rPr>
          <w:rFonts w:cs="Arial" w:ascii="Calibri" w:hAnsi="Calibri"/>
          <w:iCs/>
          <w:strike w:val="false"/>
          <w:dstrike w:val="false"/>
          <w:color w:val="000000" w:themeColor="text1"/>
          <w:sz w:val="22"/>
          <w:szCs w:val="22"/>
          <w:shd w:fill="auto" w:val="clear"/>
        </w:rPr>
        <w:t xml:space="preserve">O </w:t>
      </w:r>
      <w:r>
        <w:rPr>
          <w:rFonts w:cs="Arial" w:ascii="Calibri" w:hAnsi="Calibri"/>
          <w:iCs/>
          <w:strike w:val="false"/>
          <w:dstrike w:val="false"/>
          <w:sz w:val="22"/>
          <w:szCs w:val="22"/>
          <w:shd w:fill="auto" w:val="clear"/>
        </w:rPr>
        <w:t>pagamento</w:t>
      </w:r>
      <w:r>
        <w:rPr>
          <w:rFonts w:cs="Arial" w:ascii="Calibri" w:hAnsi="Calibri"/>
          <w:iCs/>
          <w:strike w:val="false"/>
          <w:dstrike w:val="false"/>
          <w:color w:val="000000" w:themeColor="text1"/>
          <w:sz w:val="22"/>
          <w:szCs w:val="22"/>
          <w:shd w:fill="auto" w:val="clear"/>
        </w:rPr>
        <w:t xml:space="preserve"> será efetuado pela Contratante no prazo de</w:t>
      </w:r>
      <w:r>
        <w:rPr>
          <w:rFonts w:eastAsia="Arial" w:cs="Arial" w:ascii="Calibri" w:hAnsi="Calibri"/>
          <w:iCs/>
          <w:strike w:val="false"/>
          <w:dstrike w:val="false"/>
          <w:color w:val="000000" w:themeColor="text1"/>
          <w:sz w:val="22"/>
          <w:szCs w:val="22"/>
          <w:shd w:fill="auto" w:val="clear"/>
        </w:rPr>
        <w:t xml:space="preserve"> 30 (trinta) </w:t>
      </w:r>
      <w:r>
        <w:rPr>
          <w:rFonts w:cs="Arial" w:ascii="Calibri" w:hAnsi="Calibri"/>
          <w:iCs/>
          <w:strike w:val="false"/>
          <w:dstrike w:val="false"/>
          <w:color w:val="000000" w:themeColor="text1"/>
          <w:sz w:val="22"/>
          <w:szCs w:val="22"/>
          <w:shd w:fill="auto" w:val="clear"/>
        </w:rPr>
        <w:t>dias, contados do recebimento da Nota Fiscal/Fatura.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shd w:fill="auto" w:val="clear"/>
        </w:rPr>
      </w:pPr>
      <w:r>
        <w:rPr>
          <w:rFonts w:cs="Arial" w:ascii="Calibri" w:hAnsi="Calibri"/>
          <w:b w:val="false"/>
          <w:i w:val="false"/>
          <w:iCs/>
          <w:color w:val="000000"/>
          <w:sz w:val="22"/>
          <w:szCs w:val="22"/>
          <w:shd w:fill="auto" w:val="clear"/>
          <w:lang w:val="pt-BR" w:eastAsia="en-US"/>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 w:val="false"/>
          <w:b w:val="false"/>
          <w:i w:val="false"/>
          <w:i w:val="false"/>
          <w:iCs/>
          <w:color w:val="000000"/>
          <w:sz w:val="22"/>
          <w:szCs w:val="22"/>
          <w:shd w:fill="auto" w:val="clear"/>
          <w:lang w:val="pt-BR" w:eastAsia="en-US"/>
        </w:rPr>
      </w:pPr>
      <w:r>
        <w:rPr>
          <w:rFonts w:cs="Arial" w:ascii="Calibri" w:hAnsi="Calibri"/>
          <w:b w:val="false"/>
          <w:i w:val="false"/>
          <w:iCs/>
          <w:color w:val="000000"/>
          <w:sz w:val="22"/>
          <w:szCs w:val="22"/>
          <w:shd w:fill="auto" w:val="clear"/>
          <w:lang w:val="pt-BR" w:eastAsia="en-US"/>
        </w:rPr>
        <w:t>A emissão da Nota Fiscal/Fatura será precedida do recebimento definitivo do serviço, conforme este Projeto Básico.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 w:val="false"/>
          <w:b w:val="false"/>
          <w:i w:val="false"/>
          <w:i w:val="false"/>
          <w:iCs/>
          <w:color w:val="000000"/>
          <w:sz w:val="22"/>
          <w:szCs w:val="22"/>
          <w:shd w:fill="auto" w:val="clear"/>
          <w:lang w:val="pt-BR" w:eastAsia="en-US"/>
        </w:rPr>
      </w:pPr>
      <w:r>
        <w:rPr>
          <w:rFonts w:cs="Arial" w:ascii="Calibri" w:hAnsi="Calibri"/>
          <w:b w:val="false"/>
          <w:i w:val="false"/>
          <w:iCs/>
          <w:color w:val="000000"/>
          <w:sz w:val="22"/>
          <w:szCs w:val="22"/>
          <w:shd w:fill="auto" w:val="clear"/>
          <w:lang w:val="pt-BR" w:eastAsia="en-US"/>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trike w:val="false"/>
          <w:dstrike w:val="false"/>
          <w:sz w:val="22"/>
          <w:szCs w:val="22"/>
          <w:shd w:fill="auto" w:val="clear"/>
        </w:rPr>
      </w:pPr>
      <w:r>
        <w:rPr>
          <w:rFonts w:cs="Arial" w:ascii="Calibri" w:hAnsi="Calibri"/>
          <w:b w:val="false"/>
          <w:i w:val="false"/>
          <w:iCs/>
          <w:strike w:val="false"/>
          <w:dstrike w:val="false"/>
          <w:color w:val="000000"/>
          <w:sz w:val="22"/>
          <w:szCs w:val="22"/>
          <w:shd w:fill="auto" w:val="clear"/>
          <w:lang w:val="pt-BR" w:eastAsia="en-US"/>
        </w:rPr>
        <w:t>Constatando-se, junto ao SICAF, a situação de irregularidade do fornecedor contratado, deverão ser tomadas as providências previstas no do art. 31 da Instrução Normativa nº 3, de 26 de abril de 2018.</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 w:val="false"/>
          <w:b w:val="false"/>
          <w:i w:val="false"/>
          <w:i w:val="false"/>
          <w:iCs/>
          <w:color w:val="000000"/>
          <w:sz w:val="22"/>
          <w:szCs w:val="22"/>
          <w:shd w:fill="auto" w:val="clear"/>
          <w:lang w:val="pt-BR" w:eastAsia="en-US"/>
        </w:rPr>
      </w:pPr>
      <w:r>
        <w:rPr>
          <w:rFonts w:cs="Arial" w:ascii="Calibri" w:hAnsi="Calibri"/>
          <w:b w:val="false"/>
          <w:i w:val="false"/>
          <w:iCs/>
          <w:color w:val="000000"/>
          <w:sz w:val="22"/>
          <w:szCs w:val="22"/>
          <w:shd w:fill="auto" w:val="clear"/>
          <w:lang w:val="pt-BR" w:eastAsia="en-US"/>
        </w:rPr>
        <w:t xml:space="preserve">O setor competente para proceder o pagamento deve verificar se a Nota Fiscal ou Fatura apresentada expressa os elementos necessários e essenciais do documento, tais como: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cs="Arial"/>
          <w:b w:val="false"/>
          <w:b w:val="false"/>
          <w:i w:val="false"/>
          <w:i w:val="false"/>
          <w:iCs/>
          <w:color w:val="000000"/>
          <w:sz w:val="22"/>
          <w:szCs w:val="22"/>
          <w:shd w:fill="auto" w:val="clear"/>
          <w:lang w:val="pt-BR" w:eastAsia="en-US"/>
        </w:rPr>
      </w:pPr>
      <w:r>
        <w:rPr>
          <w:rFonts w:cs="Arial" w:ascii="Calibri" w:hAnsi="Calibri"/>
          <w:b w:val="false"/>
          <w:i w:val="false"/>
          <w:iCs/>
          <w:color w:val="000000"/>
          <w:sz w:val="22"/>
          <w:szCs w:val="22"/>
          <w:shd w:fill="auto" w:val="clear"/>
          <w:lang w:val="pt-BR" w:eastAsia="en-US"/>
        </w:rPr>
        <w:t>O prazo de validade;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cs="Arial"/>
          <w:b w:val="false"/>
          <w:b w:val="false"/>
          <w:i w:val="false"/>
          <w:i w:val="false"/>
          <w:iCs/>
          <w:color w:val="000000"/>
          <w:sz w:val="22"/>
          <w:szCs w:val="22"/>
          <w:shd w:fill="auto" w:val="clear"/>
          <w:lang w:val="pt-BR" w:eastAsia="en-US"/>
        </w:rPr>
      </w:pPr>
      <w:r>
        <w:rPr>
          <w:rFonts w:cs="Arial" w:ascii="Calibri" w:hAnsi="Calibri"/>
          <w:b w:val="false"/>
          <w:i w:val="false"/>
          <w:iCs/>
          <w:color w:val="000000"/>
          <w:sz w:val="22"/>
          <w:szCs w:val="22"/>
          <w:shd w:fill="auto" w:val="clear"/>
          <w:lang w:val="pt-BR" w:eastAsia="en-US"/>
        </w:rPr>
        <w:t>A data da emissão;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color w:val="000000"/>
          <w:sz w:val="22"/>
          <w:szCs w:val="22"/>
        </w:rPr>
        <w:t>Os dados do contrato e do órgão contratante;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color w:val="000000"/>
          <w:sz w:val="22"/>
          <w:szCs w:val="22"/>
        </w:rPr>
        <w:t>O período de prestação dos serviços;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color w:val="000000"/>
          <w:sz w:val="22"/>
          <w:szCs w:val="22"/>
        </w:rPr>
        <w:t>O valor a pagar; 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color w:val="000000"/>
          <w:sz w:val="22"/>
          <w:szCs w:val="22"/>
        </w:rPr>
        <w:t>Eventual destaque do valor de retenções tributárias cabíveis.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iCs/>
          <w:sz w:val="22"/>
          <w:szCs w:val="22"/>
        </w:rPr>
        <w:t xml:space="preserve">Havendo erro </w:t>
      </w:r>
      <w:r>
        <w:rPr>
          <w:rFonts w:cs="Arial" w:ascii="Calibri" w:hAnsi="Calibri"/>
          <w:color w:val="000000"/>
          <w:sz w:val="22"/>
          <w:szCs w:val="22"/>
        </w:rPr>
        <w:t>na</w:t>
      </w:r>
      <w:r>
        <w:rPr>
          <w:rFonts w:cs="Arial" w:ascii="Calibri" w:hAnsi="Calibri"/>
          <w:iCs/>
          <w:sz w:val="22"/>
          <w:szCs w:val="22"/>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lang w:eastAsia="en-US"/>
        </w:rPr>
        <w:t>Será considerada data do pagamento o dia em que constar como emitida a ordem bancária para pagamento.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lang w:eastAsia="en-US"/>
        </w:rPr>
        <w:t xml:space="preserve">Antes de cada pagamento à contratada, será realizada consulta ao SICAF para verificar a manutenção das condições de habilitação exigidas no edital. </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lang w:eastAsia="en-US"/>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lang w:eastAsia="en-US"/>
        </w:rPr>
        <w:t>Persistindo a irregularidade, a contratante deverá adotar as medidas necessárias à rescisão contratual nos autos do processo administrativo correspondente, assegurada à contratada a ampla defesa.</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lang w:eastAsia="en-US"/>
        </w:rPr>
        <w:t>Havendo a efetiva execução do objeto, os pagamentos serão realizados normalmente, até que se decida pela rescisão do contrato, caso a contratada não regularize sua situação junto ao SICAF.</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b w:val="false"/>
          <w:i w:val="false"/>
          <w:iCs/>
          <w:color w:val="000000"/>
          <w:sz w:val="22"/>
          <w:szCs w:val="22"/>
          <w:shd w:fill="auto" w:val="clear"/>
          <w:lang w:val="pt-BR" w:eastAsia="en-US"/>
        </w:rPr>
        <w:t>S</w:t>
      </w:r>
      <w:r>
        <w:rPr>
          <w:rFonts w:cs="Arial" w:ascii="Calibri" w:hAnsi="Calibri"/>
          <w:sz w:val="22"/>
          <w:szCs w:val="22"/>
          <w:lang w:eastAsia="en-US"/>
        </w:rPr>
        <w:t xml:space="preserve">erá rescindido o contrato em execução com a contratada inadimplente no SICAF, salvo por motivo de economicidade, segurança nacional ou outro de interesse público de alta relevância, devidamente justificado, em qualquer caso, </w:t>
      </w:r>
      <w:r>
        <w:rPr>
          <w:rFonts w:cs="Arial" w:ascii="Calibri" w:hAnsi="Calibri"/>
          <w:sz w:val="22"/>
          <w:szCs w:val="22"/>
          <w:lang w:val="pt-BR" w:eastAsia="en-US"/>
        </w:rPr>
        <w:t xml:space="preserve">pela máxima autoridade da contratante. </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lang w:val="pt-BR" w:eastAsia="en-US"/>
        </w:rPr>
        <w:t>Quando do pagamento, será efetuada a retenção tributária prevista na legislação aplicável.</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lang w:val="pt-BR" w:eastAsia="en-US"/>
        </w:rPr>
        <w:t>É vedado o pagamento, a qualquer título, por serviços prestados, à empresa privada que tenha em seu quadro societário servidor público da ativa do órgão contratante, com fundamento na Lei de Diretrizes Orçamentárias vigente.</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sz w:val="22"/>
          <w:szCs w:val="22"/>
          <w:lang w:val="pt-BR" w:eastAsia="en-US"/>
        </w:rPr>
      </w:pPr>
      <w:r>
        <w:rPr>
          <w:rFonts w:cs="Arial" w:ascii="Calibri" w:hAnsi="Calibri"/>
          <w:sz w:val="22"/>
          <w:szCs w:val="22"/>
          <w:lang w:val="pt-BR" w:eastAsia="en-US"/>
        </w:rPr>
        <w:t>Caso não seja apresentada a documentação comprobatória do cumprimento das obrigações de que trata a IN SEGES/MP nº 6, de 2018, a contratante comunicará o fato à contratada e reterá o pagamento da fatura mensal, em valor proporcional ao inadimplemento, até que a situação seja regularizada.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lang w:val="pt-BR" w:eastAsia="en-US"/>
        </w:rPr>
        <w:t>Na hipótese prevista no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cs="Arial"/>
          <w:sz w:val="22"/>
          <w:szCs w:val="22"/>
          <w:lang w:val="pt-BR" w:eastAsia="en-US"/>
        </w:rPr>
      </w:pPr>
      <w:r>
        <w:rPr>
          <w:rFonts w:cs="Arial" w:ascii="Calibri" w:hAnsi="Calibri"/>
          <w:sz w:val="22"/>
          <w:szCs w:val="22"/>
          <w:lang w:val="pt-BR" w:eastAsia="en-US"/>
        </w:rPr>
        <w:t>O contrato poderá ser rescindido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sz w:val="22"/>
          <w:szCs w:val="22"/>
          <w:shd w:fill="auto" w:val="clear"/>
          <w:lang w:val="pt-BR" w:eastAsia="en-US"/>
        </w:rPr>
      </w:pPr>
      <w:r>
        <w:rPr>
          <w:rFonts w:cs="Arial" w:ascii="Calibri" w:hAnsi="Calibri"/>
          <w:sz w:val="22"/>
          <w:szCs w:val="22"/>
          <w:shd w:fill="auto" w:val="clear"/>
          <w:lang w:val="pt-BR"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pPr>
        <w:pStyle w:val="Normal"/>
        <w:suppressAutoHyphens w:val="true"/>
        <w:ind w:left="426" w:firstLine="708"/>
        <w:jc w:val="both"/>
        <w:rPr>
          <w:rFonts w:ascii="Calibri" w:hAnsi="Calibri" w:cs="Arial"/>
          <w:sz w:val="22"/>
          <w:szCs w:val="22"/>
          <w:shd w:fill="auto" w:val="clear"/>
          <w:lang w:val="pt-BR" w:eastAsia="en-US"/>
        </w:rPr>
      </w:pPr>
      <w:r>
        <w:rPr>
          <w:rFonts w:cs="Arial" w:ascii="Calibri" w:hAnsi="Calibri"/>
          <w:sz w:val="22"/>
          <w:szCs w:val="22"/>
          <w:shd w:fill="auto" w:val="clear"/>
          <w:lang w:val="pt-BR" w:eastAsia="en-US"/>
        </w:rPr>
        <w:t>EM = I x N x VP, sendo:</w:t>
      </w:r>
    </w:p>
    <w:p>
      <w:pPr>
        <w:pStyle w:val="Normal"/>
        <w:tabs>
          <w:tab w:val="clear" w:pos="709"/>
          <w:tab w:val="left" w:pos="1701" w:leader="none"/>
        </w:tabs>
        <w:suppressAutoHyphens w:val="true"/>
        <w:ind w:firstLine="1134"/>
        <w:jc w:val="both"/>
        <w:rPr>
          <w:rFonts w:ascii="Calibri" w:hAnsi="Calibri" w:cs="Arial"/>
          <w:sz w:val="22"/>
          <w:szCs w:val="22"/>
          <w:shd w:fill="auto" w:val="clear"/>
          <w:lang w:val="pt-BR" w:eastAsia="en-US"/>
        </w:rPr>
      </w:pPr>
      <w:r>
        <w:rPr>
          <w:rFonts w:cs="Arial" w:ascii="Calibri" w:hAnsi="Calibri"/>
          <w:color w:val="000000"/>
          <w:sz w:val="22"/>
          <w:szCs w:val="22"/>
          <w:shd w:fill="auto" w:val="clear"/>
          <w:lang w:val="pt-BR" w:eastAsia="en-US"/>
        </w:rPr>
        <w:t>EM = Encargos moratórios;</w:t>
      </w:r>
    </w:p>
    <w:p>
      <w:pPr>
        <w:pStyle w:val="Normal"/>
        <w:tabs>
          <w:tab w:val="clear" w:pos="709"/>
          <w:tab w:val="left" w:pos="1701" w:leader="none"/>
        </w:tabs>
        <w:suppressAutoHyphens w:val="true"/>
        <w:ind w:firstLine="1134"/>
        <w:jc w:val="both"/>
        <w:rPr>
          <w:rFonts w:ascii="Calibri" w:hAnsi="Calibri" w:cs="Arial"/>
          <w:sz w:val="22"/>
          <w:szCs w:val="22"/>
          <w:shd w:fill="auto" w:val="clear"/>
          <w:lang w:val="pt-BR" w:eastAsia="en-US"/>
        </w:rPr>
      </w:pPr>
      <w:r>
        <w:rPr>
          <w:rFonts w:cs="Arial" w:ascii="Calibri" w:hAnsi="Calibri"/>
          <w:color w:val="000000"/>
          <w:sz w:val="22"/>
          <w:szCs w:val="22"/>
          <w:shd w:fill="auto" w:val="clear"/>
          <w:lang w:val="pt-BR" w:eastAsia="en-US"/>
        </w:rPr>
        <w:t>N = Número de dias entre a data prevista para o pagamento e a do efetivo pagamento;</w:t>
      </w:r>
    </w:p>
    <w:p>
      <w:pPr>
        <w:pStyle w:val="Normal"/>
        <w:tabs>
          <w:tab w:val="clear" w:pos="709"/>
          <w:tab w:val="left" w:pos="1701" w:leader="none"/>
        </w:tabs>
        <w:suppressAutoHyphens w:val="true"/>
        <w:ind w:firstLine="1134"/>
        <w:jc w:val="both"/>
        <w:rPr>
          <w:rFonts w:ascii="Calibri" w:hAnsi="Calibri" w:cs="Arial"/>
          <w:sz w:val="22"/>
          <w:szCs w:val="22"/>
          <w:shd w:fill="auto" w:val="clear"/>
          <w:lang w:val="pt-BR" w:eastAsia="en-US"/>
        </w:rPr>
      </w:pPr>
      <w:r>
        <w:rPr>
          <w:rFonts w:cs="Arial" w:ascii="Calibri" w:hAnsi="Calibri"/>
          <w:color w:val="000000"/>
          <w:sz w:val="22"/>
          <w:szCs w:val="22"/>
          <w:shd w:fill="auto" w:val="clear"/>
          <w:lang w:val="pt-BR" w:eastAsia="en-US"/>
        </w:rPr>
        <w:t>VP = Valor da parcela a ser paga.</w:t>
      </w:r>
    </w:p>
    <w:p>
      <w:pPr>
        <w:pStyle w:val="Normal"/>
        <w:tabs>
          <w:tab w:val="clear" w:pos="709"/>
          <w:tab w:val="left" w:pos="1701" w:leader="none"/>
        </w:tabs>
        <w:suppressAutoHyphens w:val="true"/>
        <w:ind w:firstLine="1134"/>
        <w:jc w:val="both"/>
        <w:rPr>
          <w:rFonts w:ascii="Calibri" w:hAnsi="Calibri" w:cs="Arial"/>
          <w:sz w:val="22"/>
          <w:szCs w:val="22"/>
          <w:shd w:fill="auto" w:val="clear"/>
          <w:lang w:val="pt-BR" w:eastAsia="en-US"/>
        </w:rPr>
      </w:pPr>
      <w:r>
        <w:rPr>
          <w:rFonts w:cs="Arial" w:ascii="Calibri" w:hAnsi="Calibri"/>
          <w:color w:val="000000"/>
          <w:sz w:val="22"/>
          <w:szCs w:val="22"/>
          <w:shd w:fill="auto" w:val="clear"/>
          <w:lang w:val="pt-BR" w:eastAsia="en-US"/>
        </w:rPr>
        <w:t>I = Índice de compensação financeira = 0,00016438, assim apurado:</w:t>
      </w:r>
    </w:p>
    <w:tbl>
      <w:tblPr>
        <w:tblStyle w:val="Tabelacomgrade"/>
        <w:tblW w:w="3840" w:type="dxa"/>
        <w:jc w:val="left"/>
        <w:tblInd w:w="533" w:type="dxa"/>
        <w:tblLayout w:type="fixed"/>
        <w:tblCellMar>
          <w:top w:w="0" w:type="dxa"/>
          <w:left w:w="108" w:type="dxa"/>
          <w:bottom w:w="0" w:type="dxa"/>
          <w:right w:w="108" w:type="dxa"/>
        </w:tblCellMar>
        <w:tblLook w:firstRow="1" w:noVBand="1" w:lastRow="0" w:firstColumn="1" w:lastColumn="0" w:noHBand="0" w:val="04a0"/>
      </w:tblPr>
      <w:tblGrid>
        <w:gridCol w:w="2148"/>
        <w:gridCol w:w="440"/>
        <w:gridCol w:w="1252"/>
      </w:tblGrid>
      <w:tr>
        <w:trPr/>
        <w:tc>
          <w:tcPr>
            <w:tcW w:w="2148" w:type="dxa"/>
            <w:vMerge w:val="restart"/>
            <w:tcBorders>
              <w:top w:val="nil"/>
              <w:left w:val="nil"/>
              <w:bottom w:val="nil"/>
              <w:right w:val="nil"/>
            </w:tcBorders>
            <w:vAlign w:val="center"/>
          </w:tcPr>
          <w:p>
            <w:pPr>
              <w:pStyle w:val="Normal"/>
              <w:widowControl w:val="false"/>
              <w:tabs>
                <w:tab w:val="clear" w:pos="709"/>
                <w:tab w:val="left" w:pos="1701" w:leader="none"/>
              </w:tabs>
              <w:suppressAutoHyphens w:val="true"/>
              <w:spacing w:before="0" w:after="0"/>
              <w:jc w:val="both"/>
              <w:rPr>
                <w:rFonts w:ascii="Calibri" w:hAnsi="Calibri" w:eastAsia="Times New Roman" w:cs="Arial"/>
                <w:color w:val="000000"/>
                <w:kern w:val="0"/>
                <w:sz w:val="22"/>
                <w:szCs w:val="22"/>
                <w:shd w:fill="auto" w:val="clear"/>
                <w:lang w:val="pt-BR" w:eastAsia="en-US" w:bidi="ar-SA"/>
              </w:rPr>
            </w:pPr>
            <w:r>
              <w:rPr>
                <w:rFonts w:eastAsia="Times New Roman" w:cs="Arial" w:ascii="Calibri" w:hAnsi="Calibri"/>
                <w:color w:val="000000"/>
                <w:kern w:val="0"/>
                <w:sz w:val="22"/>
                <w:szCs w:val="22"/>
                <w:shd w:fill="auto" w:val="clear"/>
                <w:lang w:val="pt-BR" w:eastAsia="en-US" w:bidi="ar-SA"/>
              </w:rPr>
              <w:t>I = (TX)</w:t>
            </w:r>
          </w:p>
        </w:tc>
        <w:tc>
          <w:tcPr>
            <w:tcW w:w="440" w:type="dxa"/>
            <w:vMerge w:val="restart"/>
            <w:tcBorders>
              <w:top w:val="nil"/>
              <w:left w:val="nil"/>
              <w:bottom w:val="nil"/>
              <w:right w:val="nil"/>
            </w:tcBorders>
            <w:vAlign w:val="center"/>
          </w:tcPr>
          <w:p>
            <w:pPr>
              <w:pStyle w:val="Normal"/>
              <w:widowControl w:val="false"/>
              <w:tabs>
                <w:tab w:val="clear" w:pos="709"/>
                <w:tab w:val="left" w:pos="1701" w:leader="none"/>
              </w:tabs>
              <w:suppressAutoHyphens w:val="true"/>
              <w:spacing w:before="0" w:after="0"/>
              <w:jc w:val="both"/>
              <w:rPr>
                <w:rFonts w:ascii="Calibri" w:hAnsi="Calibri" w:eastAsia="Times New Roman" w:cs="Arial"/>
                <w:color w:val="000000"/>
                <w:kern w:val="0"/>
                <w:sz w:val="22"/>
                <w:szCs w:val="22"/>
                <w:shd w:fill="auto" w:val="clear"/>
                <w:lang w:val="pt-BR" w:eastAsia="en-US" w:bidi="ar-SA"/>
              </w:rPr>
            </w:pPr>
            <w:r>
              <w:rPr>
                <w:rFonts w:eastAsia="Times New Roman" w:cs="Arial" w:ascii="Calibri" w:hAnsi="Calibri"/>
                <w:color w:val="000000"/>
                <w:kern w:val="0"/>
                <w:sz w:val="22"/>
                <w:szCs w:val="22"/>
                <w:shd w:fill="auto" w:val="clear"/>
                <w:lang w:val="pt-BR" w:eastAsia="en-US" w:bidi="ar-SA"/>
              </w:rPr>
              <w:t>I =</w:t>
            </w:r>
          </w:p>
        </w:tc>
        <w:tc>
          <w:tcPr>
            <w:tcW w:w="1252" w:type="dxa"/>
            <w:tcBorders>
              <w:top w:val="nil"/>
              <w:left w:val="nil"/>
              <w:right w:val="nil"/>
            </w:tcBorders>
          </w:tcPr>
          <w:p>
            <w:pPr>
              <w:pStyle w:val="Normal"/>
              <w:widowControl w:val="false"/>
              <w:tabs>
                <w:tab w:val="clear" w:pos="709"/>
                <w:tab w:val="left" w:pos="1701" w:leader="none"/>
              </w:tabs>
              <w:suppressAutoHyphens w:val="true"/>
              <w:spacing w:before="0" w:after="0"/>
              <w:jc w:val="both"/>
              <w:rPr>
                <w:rFonts w:ascii="Calibri" w:hAnsi="Calibri" w:eastAsia="Times New Roman" w:cs="Arial"/>
                <w:color w:val="000000"/>
                <w:kern w:val="0"/>
                <w:sz w:val="22"/>
                <w:szCs w:val="22"/>
                <w:shd w:fill="auto" w:val="clear"/>
                <w:lang w:val="pt-BR" w:eastAsia="en-US" w:bidi="ar-SA"/>
              </w:rPr>
            </w:pPr>
            <w:r>
              <w:rPr>
                <w:rFonts w:eastAsia="Times New Roman" w:cs="Arial" w:ascii="Calibri" w:hAnsi="Calibri"/>
                <w:color w:val="000000"/>
                <w:kern w:val="0"/>
                <w:sz w:val="22"/>
                <w:szCs w:val="22"/>
                <w:shd w:fill="auto" w:val="clear"/>
                <w:lang w:val="pt-BR" w:eastAsia="en-US" w:bidi="ar-SA"/>
              </w:rPr>
              <w:t>( 6 / 100 )</w:t>
            </w:r>
          </w:p>
        </w:tc>
      </w:tr>
      <w:tr>
        <w:trPr/>
        <w:tc>
          <w:tcPr>
            <w:tcW w:w="2148" w:type="dxa"/>
            <w:vMerge w:val="continue"/>
            <w:tcBorders>
              <w:top w:val="nil"/>
              <w:left w:val="nil"/>
              <w:bottom w:val="nil"/>
              <w:right w:val="nil"/>
            </w:tcBorders>
            <w:vAlign w:val="center"/>
          </w:tcPr>
          <w:p>
            <w:pPr>
              <w:pStyle w:val="Normal"/>
              <w:widowControl w:val="false"/>
              <w:suppressAutoHyphens w:val="true"/>
              <w:spacing w:before="0" w:after="0"/>
              <w:jc w:val="left"/>
              <w:rPr>
                <w:rFonts w:ascii="Calibri" w:hAnsi="Calibri" w:eastAsia="Times New Roman" w:cs="Arial"/>
                <w:color w:val="000000"/>
                <w:kern w:val="0"/>
                <w:sz w:val="22"/>
                <w:szCs w:val="22"/>
                <w:shd w:fill="auto" w:val="clear"/>
                <w:lang w:val="pt-BR" w:eastAsia="en-US" w:bidi="ar-SA"/>
              </w:rPr>
            </w:pPr>
            <w:r>
              <w:rPr>
                <w:rFonts w:eastAsia="Times New Roman" w:cs="Arial" w:ascii="Calibri" w:hAnsi="Calibri"/>
                <w:color w:val="000000"/>
                <w:kern w:val="0"/>
                <w:sz w:val="20"/>
                <w:szCs w:val="22"/>
                <w:shd w:fill="auto" w:val="clear"/>
                <w:lang w:val="pt-BR" w:eastAsia="en-US" w:bidi="ar-SA"/>
              </w:rPr>
            </w:r>
          </w:p>
        </w:tc>
        <w:tc>
          <w:tcPr>
            <w:tcW w:w="440" w:type="dxa"/>
            <w:vMerge w:val="continue"/>
            <w:tcBorders>
              <w:top w:val="nil"/>
              <w:left w:val="nil"/>
              <w:bottom w:val="nil"/>
              <w:right w:val="nil"/>
            </w:tcBorders>
            <w:vAlign w:val="center"/>
          </w:tcPr>
          <w:p>
            <w:pPr>
              <w:pStyle w:val="Normal"/>
              <w:widowControl w:val="false"/>
              <w:suppressAutoHyphens w:val="true"/>
              <w:spacing w:before="0" w:after="0"/>
              <w:jc w:val="left"/>
              <w:rPr>
                <w:rFonts w:ascii="Calibri" w:hAnsi="Calibri" w:eastAsia="Times New Roman" w:cs="Arial"/>
                <w:color w:val="000000"/>
                <w:kern w:val="0"/>
                <w:sz w:val="22"/>
                <w:szCs w:val="22"/>
                <w:shd w:fill="auto" w:val="clear"/>
                <w:lang w:val="pt-BR" w:eastAsia="en-US" w:bidi="ar-SA"/>
              </w:rPr>
            </w:pPr>
            <w:r>
              <w:rPr>
                <w:rFonts w:eastAsia="Times New Roman" w:cs="Arial" w:ascii="Calibri" w:hAnsi="Calibri"/>
                <w:color w:val="000000"/>
                <w:kern w:val="0"/>
                <w:sz w:val="20"/>
                <w:szCs w:val="22"/>
                <w:shd w:fill="auto" w:val="clear"/>
                <w:lang w:val="pt-BR" w:eastAsia="en-US" w:bidi="ar-SA"/>
              </w:rPr>
            </w:r>
          </w:p>
        </w:tc>
        <w:tc>
          <w:tcPr>
            <w:tcW w:w="1252" w:type="dxa"/>
            <w:tcBorders>
              <w:left w:val="nil"/>
              <w:bottom w:val="nil"/>
              <w:right w:val="nil"/>
            </w:tcBorders>
          </w:tcPr>
          <w:p>
            <w:pPr>
              <w:pStyle w:val="Normal"/>
              <w:widowControl w:val="false"/>
              <w:tabs>
                <w:tab w:val="clear" w:pos="709"/>
                <w:tab w:val="left" w:pos="1701" w:leader="none"/>
              </w:tabs>
              <w:suppressAutoHyphens w:val="true"/>
              <w:spacing w:before="0" w:after="0"/>
              <w:jc w:val="both"/>
              <w:rPr/>
            </w:pPr>
            <w:r>
              <w:rPr>
                <w:rFonts w:eastAsia="Times New Roman" w:cs="Arial" w:ascii="Calibri" w:hAnsi="Calibri"/>
                <w:color w:val="000000"/>
                <w:kern w:val="0"/>
                <w:sz w:val="22"/>
                <w:szCs w:val="22"/>
                <w:shd w:fill="auto" w:val="clear"/>
                <w:lang w:val="pt-BR" w:eastAsia="en-US" w:bidi="ar-SA"/>
              </w:rPr>
              <w:t>365</w:t>
            </w:r>
          </w:p>
        </w:tc>
      </w:tr>
    </w:tbl>
    <w:p>
      <w:pPr>
        <w:pStyle w:val="Nivel1"/>
        <w:suppressAutoHyphens w:val="true"/>
        <w:spacing w:lineRule="auto" w:line="240" w:before="138" w:after="0"/>
        <w:rPr>
          <w:rFonts w:ascii="Calibri" w:hAnsi="Calibri" w:cs="Arial"/>
          <w:b w:val="false"/>
          <w:b w:val="false"/>
          <w:i w:val="false"/>
          <w:i w:val="false"/>
          <w:iCs/>
          <w:color w:val="000000"/>
          <w:sz w:val="22"/>
          <w:szCs w:val="22"/>
          <w:shd w:fill="B7B3CA" w:val="clear"/>
          <w:lang w:val="pt-BR" w:eastAsia="en-US"/>
        </w:rPr>
      </w:pPr>
      <w:r>
        <w:rPr>
          <w:rFonts w:cs="Arial" w:ascii="Calibri" w:hAnsi="Calibri"/>
          <w:b w:val="false"/>
          <w:i w:val="false"/>
          <w:iCs/>
          <w:color w:val="000000"/>
          <w:sz w:val="22"/>
          <w:szCs w:val="22"/>
          <w:shd w:fill="B7B3CA" w:val="clear"/>
          <w:lang w:val="pt-BR" w:eastAsia="en-US"/>
        </w:rPr>
      </w:r>
    </w:p>
    <w:p>
      <w:pPr>
        <w:pStyle w:val="Nivel1"/>
        <w:numPr>
          <w:ilvl w:val="0"/>
          <w:numId w:val="2"/>
        </w:numPr>
        <w:suppressAutoHyphens w:val="true"/>
        <w:spacing w:lineRule="auto" w:line="240" w:before="0" w:after="0"/>
        <w:rPr>
          <w:rFonts w:ascii="Calibri" w:hAnsi="Calibri"/>
          <w:sz w:val="22"/>
          <w:szCs w:val="22"/>
        </w:rPr>
      </w:pPr>
      <w:r>
        <w:rPr>
          <w:rFonts w:cs="Arial" w:ascii="Calibri" w:hAnsi="Calibri"/>
          <w:bCs/>
          <w:color w:val="000000" w:themeColor="text1"/>
          <w:sz w:val="22"/>
          <w:szCs w:val="22"/>
          <w:lang w:eastAsia="en-US"/>
        </w:rPr>
        <w:t>REAJUSTE</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strike w:val="false"/>
          <w:dstrike w:val="false"/>
          <w:sz w:val="22"/>
          <w:szCs w:val="22"/>
          <w:shd w:fill="auto" w:val="clear"/>
          <w:lang w:val="pt-BR" w:eastAsia="en-US"/>
        </w:rPr>
      </w:pPr>
      <w:r>
        <w:rPr>
          <w:rFonts w:cs="Arial" w:ascii="Calibri" w:hAnsi="Calibri"/>
          <w:b w:val="false"/>
          <w:i w:val="false"/>
          <w:iCs/>
          <w:strike w:val="false"/>
          <w:dstrike w:val="false"/>
          <w:color w:val="000000"/>
          <w:sz w:val="22"/>
          <w:szCs w:val="22"/>
          <w:shd w:fill="auto" w:val="clear"/>
          <w:lang w:val="pt-BR" w:eastAsia="en-US"/>
        </w:rPr>
        <w:t>Os preços são fixos e irreajustáveis no prazo de um ano contado da data limite para a apresentação das propostas.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bCs/>
          <w:iCs/>
          <w:strike w:val="false"/>
          <w:dstrike w:val="false"/>
          <w:sz w:val="22"/>
          <w:szCs w:val="22"/>
          <w:shd w:fill="auto" w:val="clear"/>
          <w:lang w:val="pt-BR" w:eastAsia="en-US"/>
        </w:rPr>
        <w:t xml:space="preserve">Dentro do prazo de vigência do contrato e a partir do pedido da contratada, os preços contratados poderão sofrer reajuste após o interregno de um ano da referência acima mencionada, aplicando-se o </w:t>
      </w:r>
      <w:r>
        <w:rPr>
          <w:rFonts w:cs="Arial" w:ascii="Calibri" w:hAnsi="Calibri"/>
          <w:b w:val="false"/>
          <w:bCs/>
          <w:i w:val="false"/>
          <w:iCs/>
          <w:strike w:val="false"/>
          <w:dstrike w:val="false"/>
          <w:color w:val="000000"/>
          <w:sz w:val="22"/>
          <w:szCs w:val="22"/>
          <w:shd w:fill="auto" w:val="clear"/>
          <w:lang w:val="pt-BR" w:eastAsia="en-US"/>
        </w:rPr>
        <w:t>Índice Nacional de Custo da Construção do Mercado (INCC-M), da Fundação Getúlio Vargas – FGV. 20.1.1</w:t>
      </w:r>
      <w:r>
        <w:rPr>
          <w:rFonts w:cs="Arial" w:ascii="Calibri" w:hAnsi="Calibri"/>
          <w:bCs/>
          <w:iCs/>
          <w:strike w:val="false"/>
          <w:dstrike w:val="false"/>
          <w:sz w:val="22"/>
          <w:szCs w:val="22"/>
          <w:shd w:fill="auto" w:val="clear"/>
          <w:lang w:val="pt-BR" w:eastAsia="en-US"/>
        </w:rPr>
        <w:t xml:space="preserve"> exclusivamente para as obrigações iniciadas e concluídas após a ocorrência da anualidade.</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 w:val="false"/>
          <w:b w:val="false"/>
          <w:bCs/>
          <w:i w:val="false"/>
          <w:i w:val="false"/>
          <w:iCs/>
          <w:strike w:val="false"/>
          <w:dstrike w:val="false"/>
          <w:sz w:val="22"/>
          <w:szCs w:val="22"/>
          <w:lang w:val="pt-BR" w:eastAsia="en-US"/>
        </w:rPr>
      </w:pPr>
      <w:r>
        <w:rPr>
          <w:rFonts w:cs="Arial" w:ascii="Calibri" w:hAnsi="Calibri"/>
          <w:b w:val="false"/>
          <w:bCs/>
          <w:i w:val="false"/>
          <w:iCs/>
          <w:strike w:val="false"/>
          <w:dstrike w:val="false"/>
          <w:sz w:val="22"/>
          <w:szCs w:val="22"/>
          <w:lang w:val="pt-BR" w:eastAsia="en-US"/>
        </w:rPr>
        <w:t>Nos reajustes subsequentes ao primeiro, o interregno mínimo de um ano será contado a partir dos efeitos financeiros do último reajuste.</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Cs/>
          <w:iCs/>
          <w:sz w:val="22"/>
          <w:szCs w:val="22"/>
          <w:lang w:val="pt-BR" w:eastAsia="en-US"/>
        </w:rPr>
      </w:pPr>
      <w:r>
        <w:rPr>
          <w:rFonts w:cs="Arial" w:ascii="Calibri" w:hAnsi="Calibri"/>
          <w:b w:val="false"/>
          <w:bCs/>
          <w:i w:val="false"/>
          <w:iCs/>
          <w:strike w:val="false"/>
          <w:dstrike w:val="false"/>
          <w:sz w:val="22"/>
          <w:szCs w:val="22"/>
          <w:lang w:val="pt-BR" w:eastAsia="en-US"/>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Cs/>
          <w:iCs/>
          <w:sz w:val="22"/>
          <w:szCs w:val="22"/>
          <w:lang w:val="pt-BR" w:eastAsia="en-US"/>
        </w:rPr>
      </w:pPr>
      <w:r>
        <w:rPr>
          <w:rFonts w:cs="Arial" w:ascii="Calibri" w:hAnsi="Calibri"/>
          <w:bCs/>
          <w:iCs/>
          <w:sz w:val="22"/>
          <w:szCs w:val="22"/>
          <w:lang w:val="pt-BR" w:eastAsia="en-US"/>
        </w:rPr>
        <w:t>Nas aferições finais, o índice utilizado para reajuste será, obrigatoriamente, o definitivo.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Cs/>
          <w:iCs/>
          <w:sz w:val="22"/>
          <w:szCs w:val="22"/>
          <w:lang w:val="pt-BR" w:eastAsia="en-US"/>
        </w:rPr>
      </w:pPr>
      <w:r>
        <w:rPr>
          <w:rFonts w:cs="Arial" w:ascii="Calibri" w:hAnsi="Calibri"/>
          <w:bCs/>
          <w:iCs/>
          <w:sz w:val="22"/>
          <w:szCs w:val="22"/>
          <w:lang w:val="pt-BR" w:eastAsia="en-US"/>
        </w:rPr>
        <w:t>Caso o índice estabelecido para reajustamento venha a ser extinto ou de qualquer forma não possa mais ser utilizado, será adotado, em substituição, o que vier a ser determinado pela legislação então em vigor.</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Cs/>
          <w:iCs/>
          <w:sz w:val="22"/>
          <w:szCs w:val="22"/>
          <w:lang w:val="pt-BR" w:eastAsia="en-US"/>
        </w:rPr>
      </w:pPr>
      <w:r>
        <w:rPr>
          <w:rFonts w:cs="Arial" w:ascii="Calibri" w:hAnsi="Calibri"/>
          <w:bCs/>
          <w:iCs/>
          <w:sz w:val="22"/>
          <w:szCs w:val="22"/>
          <w:lang w:val="pt-BR" w:eastAsia="en-US"/>
        </w:rPr>
        <w:t xml:space="preserve">Na ausência de previsão legal quanto ao índice substituto, as partes elegerão novo índice oficial, para reajustamento do preço do valor remanescente, por meio de termo aditivo. </w:t>
      </w:r>
    </w:p>
    <w:p>
      <w:pPr>
        <w:pStyle w:val="Normal"/>
        <w:numPr>
          <w:ilvl w:val="1"/>
          <w:numId w:val="2"/>
        </w:numPr>
        <w:tabs>
          <w:tab w:val="clear" w:pos="709"/>
          <w:tab w:val="left" w:pos="1128" w:leader="none"/>
        </w:tabs>
        <w:suppressAutoHyphens w:val="true"/>
        <w:spacing w:lineRule="auto" w:line="276" w:before="0" w:after="0"/>
        <w:ind w:left="425" w:hanging="0"/>
        <w:jc w:val="both"/>
        <w:rPr>
          <w:rFonts w:ascii="Calibri" w:hAnsi="Calibri" w:cs="Arial"/>
          <w:bCs/>
          <w:iCs/>
          <w:sz w:val="22"/>
          <w:szCs w:val="22"/>
          <w:lang w:val="pt-BR" w:eastAsia="en-US"/>
        </w:rPr>
      </w:pPr>
      <w:r>
        <w:rPr>
          <w:rFonts w:cs="Arial" w:ascii="Calibri" w:hAnsi="Calibri"/>
          <w:bCs/>
          <w:iCs/>
          <w:sz w:val="22"/>
          <w:szCs w:val="22"/>
          <w:lang w:val="pt-BR" w:eastAsia="en-US"/>
        </w:rPr>
        <w:t>O reajuste será realizado por apostilamento.</w:t>
      </w:r>
    </w:p>
    <w:p>
      <w:pPr>
        <w:pStyle w:val="Normal"/>
        <w:tabs>
          <w:tab w:val="clear" w:pos="709"/>
          <w:tab w:val="left" w:pos="1128" w:leader="none"/>
        </w:tabs>
        <w:suppressAutoHyphens w:val="true"/>
        <w:spacing w:lineRule="auto" w:line="276" w:before="0" w:after="0"/>
        <w:ind w:left="425" w:hanging="0"/>
        <w:jc w:val="both"/>
        <w:rPr>
          <w:rFonts w:ascii="Calibri" w:hAnsi="Calibri" w:cs="Arial"/>
          <w:b w:val="false"/>
          <w:b w:val="false"/>
          <w:i w:val="false"/>
          <w:i w:val="false"/>
          <w:iCs/>
          <w:color w:val="000000"/>
          <w:sz w:val="22"/>
          <w:szCs w:val="22"/>
          <w:shd w:fill="B7B3CA" w:val="clear"/>
          <w:lang w:val="pt-BR" w:eastAsia="en-US"/>
        </w:rPr>
      </w:pPr>
      <w:r>
        <w:rPr>
          <w:rFonts w:cs="Arial" w:ascii="Calibri" w:hAnsi="Calibri"/>
          <w:b w:val="false"/>
          <w:i w:val="false"/>
          <w:iCs/>
          <w:color w:val="000000"/>
          <w:sz w:val="22"/>
          <w:szCs w:val="22"/>
          <w:shd w:fill="B7B3CA" w:val="clear"/>
          <w:lang w:val="pt-BR" w:eastAsia="en-US"/>
        </w:rPr>
      </w:r>
    </w:p>
    <w:p>
      <w:pPr>
        <w:pStyle w:val="Nivel1"/>
        <w:numPr>
          <w:ilvl w:val="0"/>
          <w:numId w:val="2"/>
        </w:numPr>
        <w:suppressAutoHyphens w:val="true"/>
        <w:spacing w:lineRule="auto" w:line="240" w:before="0" w:after="0"/>
        <w:rPr>
          <w:rFonts w:ascii="Arial" w:hAnsi="Arial" w:cs="Arial"/>
          <w:b w:val="false"/>
          <w:b w:val="false"/>
          <w:bCs w:val="false"/>
          <w:i w:val="false"/>
          <w:i w:val="false"/>
          <w:iCs w:val="false"/>
          <w:color w:val="auto"/>
          <w:sz w:val="20"/>
          <w:szCs w:val="20"/>
          <w:lang w:val="pt-BR" w:eastAsia="en-US"/>
        </w:rPr>
      </w:pPr>
      <w:r>
        <w:rPr>
          <w:rFonts w:cs="Arial" w:ascii="Calibri" w:hAnsi="Calibri"/>
          <w:bCs/>
          <w:color w:val="000000" w:themeColor="text1"/>
          <w:sz w:val="22"/>
          <w:szCs w:val="22"/>
          <w:lang w:eastAsia="en-US"/>
        </w:rPr>
        <w:t>GARANTIA DA EXECUÇÃO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sz w:val="22"/>
          <w:szCs w:val="22"/>
          <w:lang w:val="pt-BR" w:eastAsia="en-US"/>
        </w:rPr>
      </w:pPr>
      <w:r>
        <w:rPr>
          <w:rFonts w:cs="Arial" w:ascii="Calibri" w:hAnsi="Calibri"/>
          <w:bCs/>
          <w:i w:val="false"/>
          <w:iCs w:val="false"/>
          <w:color w:val="auto"/>
          <w:sz w:val="22"/>
          <w:szCs w:val="22"/>
          <w:lang w:val="pt-BR" w:eastAsia="en-US"/>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Cs/>
          <w:i w:val="false"/>
          <w:i w:val="false"/>
          <w:iCs w:val="false"/>
          <w:color w:val="auto"/>
          <w:sz w:val="22"/>
          <w:szCs w:val="22"/>
          <w:lang w:val="pt-BR" w:eastAsia="en-US"/>
        </w:rPr>
      </w:pPr>
      <w:r>
        <w:rPr>
          <w:rFonts w:cs="Arial" w:ascii="Calibri" w:hAnsi="Calibri"/>
          <w:b w:val="false"/>
          <w:bCs/>
          <w:i w:val="false"/>
          <w:iCs w:val="false"/>
          <w:strike w:val="false"/>
          <w:dstrike w:val="false"/>
          <w:color w:val="000000"/>
          <w:sz w:val="22"/>
          <w:szCs w:val="22"/>
          <w:shd w:fill="auto" w:val="clear"/>
          <w:lang w:val="pt-BR" w:eastAsia="en-US"/>
        </w:rPr>
        <w:t>No prazo máximo de 10 (dez) dias úteis, prorrogáveis por igual período, a critério do contratante, contados da assinatura do contrato, a contratada deverá apresentar comprovante</w:t>
      </w:r>
      <w:r>
        <w:rPr>
          <w:rFonts w:eastAsia="Calibri" w:cs="Arial" w:ascii="Calibri" w:hAnsi="Calibri"/>
          <w:b w:val="false"/>
          <w:bCs/>
          <w:i w:val="false"/>
          <w:iCs w:val="false"/>
          <w:strike w:val="false"/>
          <w:dstrike w:val="false"/>
          <w:color w:val="000000"/>
          <w:sz w:val="22"/>
          <w:szCs w:val="22"/>
          <w:shd w:fill="auto" w:val="clear"/>
          <w:lang w:val="pt-BR" w:eastAsia="en-US"/>
        </w:rPr>
        <w:t xml:space="preserve"> de prestação de garantia, podendo optar por caução em dinheiro ou títulos da dívida pública, seguro-garantia ou fiança bancária.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cs="Arial"/>
          <w:strike w:val="false"/>
          <w:dstrike w:val="false"/>
          <w:sz w:val="22"/>
          <w:szCs w:val="22"/>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 xml:space="preserve">A inobservância do prazo fixado para apresentação da garantia acarretará a aplicação de multa de 0,07% (sete centésimos por cento) do valor total do contrato por dia de atraso, até o máximo de 2% (dois por cento).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 xml:space="preserve">O atraso superior a 25 (vinte e cinco) dias autoriza a Administração a promover a rescisão do contrato por descumprimento ou cumprimento irregular de suas cláusulas, conforme dispõem os incisos I e II do art. 78 da Lei n. 8.666 de 1993. </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eastAsia="Calibri" w:cs="Arial" w:ascii="Calibri" w:hAnsi="Calibri"/>
          <w:b w:val="false"/>
          <w:bCs w:val="false"/>
          <w:i w:val="false"/>
          <w:iCs w:val="false"/>
          <w:strike w:val="false"/>
          <w:dstrike w:val="false"/>
          <w:color w:val="000000"/>
          <w:sz w:val="22"/>
          <w:szCs w:val="22"/>
          <w:shd w:fill="auto" w:val="clear"/>
          <w:lang w:val="pt-BR" w:eastAsia="en-US"/>
        </w:rPr>
        <w:t>A validade da garantia, qualquer que seja a modalidade escolhida, deverá abranger um período de 90 dias após o término da vigência contratual.</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 xml:space="preserve">A garantia assegurará, qualquer que seja a modalidade escolhida, o pagamento de: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 xml:space="preserve">Prejuízos advindos do não cumprimento do objeto do contrato e do não adimplemento das demais obrigações nele previstas;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Prejuízos diretos causados à Administração decorrentes de culpa ou dolo durante a execução do contrato;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 xml:space="preserve">Multas moratórias e punitivas aplicadas pela Administração à contratada; e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Obrigações trabalhistas e previdenciárias de qualquer natureza e para com o FGTS, não adimplidas pela contratada, quando couber.</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A modalidade seguro-garantia somente será aceita se contemplar todos os eventos indicados no item anterior, observada a legislação que rege a matéria.</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A garantia em dinheiro deverá ser efetuada em favor da Contratante, em conta específica na Caixa Econômica Federal, com correção monetária.</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No caso de garantia na modalidade de fiança bancária, deverá constar expressa renúncia do fiador aos benefícios do artigo 827 do Código Civil.</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 xml:space="preserve">No caso de alteração do valor do contrato, ou prorrogação de sua vigência, a garantia deverá ser ajustada à nova situação ou renovada, seguindo os mesmos parâmetros utilizados quando da contratação. </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Arial" w:hAnsi="Arial" w:cs="Arial"/>
          <w:b w:val="false"/>
          <w:b w:val="false"/>
          <w:bCs w:val="false"/>
          <w:i w:val="false"/>
          <w:i w:val="false"/>
          <w:iCs w:val="false"/>
          <w:strike w:val="false"/>
          <w:dstrike w:val="false"/>
          <w:color w:val="auto"/>
          <w:sz w:val="20"/>
          <w:szCs w:val="20"/>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A Contratante executará a garantia na forma prevista na legislação que rege a matéria.</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cs="Arial" w:ascii="Calibri" w:hAnsi="Calibri"/>
          <w:b w:val="false"/>
          <w:bCs w:val="false"/>
          <w:i w:val="false"/>
          <w:iCs w:val="false"/>
          <w:strike w:val="false"/>
          <w:dstrike w:val="false"/>
          <w:color w:val="000000"/>
          <w:sz w:val="22"/>
          <w:szCs w:val="22"/>
          <w:shd w:fill="auto" w:val="clear"/>
          <w:lang w:val="pt-BR" w:eastAsia="en-US"/>
        </w:rPr>
        <w:t>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O garantidor não é parte para figurar em processo administrativo instaurado pela </w:t>
      </w:r>
      <w:r>
        <w:rPr>
          <w:rFonts w:cs="Arial" w:ascii="Calibri" w:hAnsi="Calibri"/>
          <w:b w:val="false"/>
          <w:bCs w:val="false"/>
          <w:i w:val="false"/>
          <w:iCs w:val="false"/>
          <w:strike w:val="false"/>
          <w:dstrike w:val="false"/>
          <w:color w:val="000000"/>
          <w:sz w:val="22"/>
          <w:szCs w:val="22"/>
          <w:shd w:fill="auto" w:val="clear"/>
          <w:lang w:val="pt-BR" w:eastAsia="en-US"/>
        </w:rPr>
        <w:t xml:space="preserve">contratante com o objetivo de apurar prejuízos e/ou aplicar sanções à contratada. </w:t>
      </w:r>
    </w:p>
    <w:p>
      <w:pPr>
        <w:pStyle w:val="Normal"/>
        <w:numPr>
          <w:ilvl w:val="1"/>
          <w:numId w:val="2"/>
        </w:numPr>
        <w:tabs>
          <w:tab w:val="clear" w:pos="709"/>
          <w:tab w:val="left" w:pos="1128" w:leader="none"/>
          <w:tab w:val="left" w:pos="1533" w:leader="none"/>
        </w:tabs>
        <w:suppressAutoHyphens w:val="true"/>
        <w:spacing w:lineRule="auto" w:line="276" w:before="0" w:after="0"/>
        <w:ind w:left="425" w:hanging="0"/>
        <w:jc w:val="both"/>
        <w:rPr>
          <w:rFonts w:ascii="Calibri" w:hAnsi="Calibri" w:cs="Arial"/>
          <w:b w:val="false"/>
          <w:b w:val="false"/>
          <w:bCs w:val="false"/>
          <w:i w:val="false"/>
          <w:i w:val="false"/>
          <w:iCs w:val="false"/>
          <w:strike w:val="false"/>
          <w:dstrike w:val="false"/>
          <w:color w:val="auto"/>
          <w:sz w:val="22"/>
          <w:szCs w:val="22"/>
          <w:shd w:fill="auto" w:val="clear"/>
          <w:lang w:val="pt-BR" w:eastAsia="en-US"/>
        </w:rPr>
      </w:pPr>
      <w:r>
        <w:rPr>
          <w:rFonts w:eastAsia="Calibri" w:cs="Arial" w:ascii="Calibri" w:hAnsi="Calibri"/>
          <w:b w:val="false"/>
          <w:bCs w:val="false"/>
          <w:i w:val="false"/>
          <w:iCs w:val="false"/>
          <w:strike w:val="false"/>
          <w:dstrike w:val="false"/>
          <w:color w:val="000000"/>
          <w:sz w:val="22"/>
          <w:szCs w:val="22"/>
          <w:shd w:fill="auto" w:val="clear"/>
          <w:lang w:val="pt-BR" w:eastAsia="en-US"/>
        </w:rPr>
        <w:t>A contratada autoriza a contratante a reter, a qualquer tempo, a garantia, na forma prevista no neste Edital e no Contrato.</w:t>
      </w:r>
    </w:p>
    <w:p>
      <w:pPr>
        <w:pStyle w:val="Normal"/>
        <w:numPr>
          <w:ilvl w:val="0"/>
          <w:numId w:val="0"/>
        </w:numPr>
        <w:tabs>
          <w:tab w:val="clear" w:pos="709"/>
          <w:tab w:val="left" w:pos="1128" w:leader="none"/>
          <w:tab w:val="left" w:pos="1533" w:leader="none"/>
        </w:tabs>
        <w:suppressAutoHyphens w:val="true"/>
        <w:spacing w:lineRule="auto" w:line="276" w:before="0" w:after="0"/>
        <w:ind w:left="857" w:hanging="0"/>
        <w:jc w:val="both"/>
        <w:rPr>
          <w:rFonts w:eastAsia="Calibri"/>
        </w:rPr>
      </w:pPr>
      <w:r>
        <w:rPr>
          <w:rFonts w:eastAsia="Calibri"/>
        </w:rPr>
      </w:r>
    </w:p>
    <w:p>
      <w:pPr>
        <w:pStyle w:val="Nivel1"/>
        <w:numPr>
          <w:ilvl w:val="0"/>
          <w:numId w:val="2"/>
        </w:numPr>
        <w:suppressAutoHyphens w:val="true"/>
        <w:spacing w:lineRule="auto" w:line="240" w:before="0" w:after="0"/>
        <w:rPr>
          <w:rFonts w:ascii="Calibri" w:hAnsi="Calibri"/>
          <w:sz w:val="22"/>
          <w:szCs w:val="22"/>
        </w:rPr>
      </w:pPr>
      <w:r>
        <w:rPr>
          <w:rFonts w:cs="Arial" w:ascii="Calibri" w:hAnsi="Calibri"/>
          <w:bCs/>
          <w:color w:val="000000" w:themeColor="text1"/>
          <w:sz w:val="22"/>
          <w:szCs w:val="22"/>
          <w:lang w:eastAsia="en-US"/>
        </w:rPr>
        <w:t>SANÇÕES ADMINISTRATIVAS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Comete infração administrativa, nos termos da Lei nº 8.666, de 1993, a CONTRATADA que: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Inexecutar total ou parcialmente qualquer das obrigações assumidas em decorrência da contratação;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Ensejar o retardamento da execução do objeto;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Falhar ou fraudar na execução do contrato;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Comportar-se de modo inidôneo; ou</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Cometer fraude fiscal.</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 xml:space="preserve">Pela inexecução </w:t>
      </w:r>
      <w:r>
        <w:rPr>
          <w:rFonts w:cs="Arial" w:ascii="Calibri" w:hAnsi="Calibri"/>
          <w:sz w:val="22"/>
          <w:szCs w:val="22"/>
          <w:u w:val="single"/>
        </w:rPr>
        <w:t>total ou parcial</w:t>
      </w:r>
      <w:r>
        <w:rPr>
          <w:rFonts w:cs="Arial" w:ascii="Calibri" w:hAnsi="Calibri"/>
          <w:sz w:val="22"/>
          <w:szCs w:val="22"/>
        </w:rPr>
        <w:t xml:space="preserve"> do objeto deste contrato, a Administração pode aplicar à CONTRATADA as seguintes sanções:</w:t>
      </w:r>
    </w:p>
    <w:p>
      <w:pPr>
        <w:pStyle w:val="PargrafodaLista1"/>
        <w:widowControl/>
        <w:suppressAutoHyphens w:val="true"/>
        <w:bidi w:val="0"/>
        <w:spacing w:lineRule="auto" w:line="276" w:before="120" w:after="120"/>
        <w:ind w:left="1474" w:right="0" w:hanging="227"/>
        <w:jc w:val="both"/>
        <w:rPr>
          <w:rFonts w:ascii="Calibri" w:hAnsi="Calibri"/>
          <w:sz w:val="22"/>
          <w:szCs w:val="22"/>
        </w:rPr>
      </w:pPr>
      <w:r>
        <w:rPr>
          <w:rFonts w:cs="Arial" w:ascii="Calibri" w:hAnsi="Calibri"/>
          <w:b/>
          <w:bCs/>
          <w:sz w:val="22"/>
          <w:szCs w:val="22"/>
        </w:rPr>
        <w:t>a) Advertência por escrito</w:t>
      </w:r>
      <w:r>
        <w:rPr>
          <w:rFonts w:cs="Arial" w:ascii="Calibri" w:hAnsi="Calibri"/>
          <w:sz w:val="22"/>
          <w:szCs w:val="22"/>
        </w:rPr>
        <w:t>, quando do não cumprimento de quaisquer das obrigações contratuais consideradas faltas leves, assim entendidas aquelas que não acarretam prejuízos significativos para o serviço contratado;</w:t>
      </w:r>
    </w:p>
    <w:p>
      <w:pPr>
        <w:pStyle w:val="PargrafodaLista1"/>
        <w:widowControl/>
        <w:suppressAutoHyphens w:val="true"/>
        <w:bidi w:val="0"/>
        <w:spacing w:lineRule="auto" w:line="276" w:before="120" w:after="120"/>
        <w:ind w:left="1474" w:right="0" w:hanging="227"/>
        <w:jc w:val="both"/>
        <w:rPr>
          <w:rFonts w:ascii="Calibri" w:hAnsi="Calibri"/>
          <w:sz w:val="22"/>
          <w:szCs w:val="22"/>
        </w:rPr>
      </w:pPr>
      <w:r>
        <w:rPr>
          <w:rFonts w:cs="Arial" w:ascii="Calibri" w:hAnsi="Calibri"/>
          <w:b/>
          <w:bCs/>
          <w:sz w:val="22"/>
          <w:szCs w:val="22"/>
          <w:lang w:eastAsia="pt-BR"/>
        </w:rPr>
        <w:t>b) Multa de</w:t>
      </w:r>
      <w:r>
        <w:rPr>
          <w:rFonts w:cs="Arial" w:ascii="Calibri" w:hAnsi="Calibri"/>
          <w:sz w:val="22"/>
          <w:szCs w:val="22"/>
          <w:lang w:eastAsia="pt-BR"/>
        </w:rPr>
        <w:t xml:space="preserve">: </w:t>
      </w:r>
    </w:p>
    <w:p>
      <w:pPr>
        <w:pStyle w:val="Normal"/>
        <w:widowControl/>
        <w:numPr>
          <w:ilvl w:val="0"/>
          <w:numId w:val="0"/>
        </w:numPr>
        <w:suppressAutoHyphens w:val="true"/>
        <w:bidi w:val="0"/>
        <w:spacing w:lineRule="auto" w:line="276" w:before="120" w:after="120"/>
        <w:ind w:left="4354" w:right="0" w:hanging="0"/>
        <w:jc w:val="both"/>
        <w:rPr>
          <w:rFonts w:ascii="Calibri" w:hAnsi="Calibri" w:cs="Arial"/>
          <w:sz w:val="22"/>
          <w:szCs w:val="22"/>
          <w:lang w:val="pt-BR" w:eastAsia="pt-BR"/>
        </w:rPr>
      </w:pPr>
      <w:r>
        <w:rPr>
          <w:rFonts w:cs="Arial" w:ascii="Calibri" w:hAnsi="Calibri"/>
          <w:sz w:val="22"/>
          <w:szCs w:val="22"/>
          <w:lang w:val="pt-BR" w:eastAsia="pt-BR"/>
        </w:rPr>
        <w:t xml:space="preserve">(1) 0,1% (um décimo por cento) até 0,2% (dois décimos por cento) por dia sobre o valor adjudicado em caso de atraso na execução dos serviços, limitada a incidência a </w:t>
      </w:r>
      <w:r>
        <w:rPr>
          <w:rFonts w:cs="Arial" w:ascii="Calibri" w:hAnsi="Calibri"/>
          <w:color w:val="auto"/>
          <w:sz w:val="22"/>
          <w:szCs w:val="22"/>
          <w:lang w:val="pt-BR" w:eastAsia="pt-BR"/>
        </w:rPr>
        <w:t xml:space="preserve">15 (quinze) </w:t>
      </w:r>
      <w:r>
        <w:rPr>
          <w:rFonts w:cs="Arial" w:ascii="Calibri" w:hAnsi="Calibri"/>
          <w:sz w:val="22"/>
          <w:szCs w:val="22"/>
          <w:lang w:val="pt-BR" w:eastAsia="pt-BR"/>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Normal"/>
        <w:widowControl/>
        <w:numPr>
          <w:ilvl w:val="0"/>
          <w:numId w:val="0"/>
        </w:numPr>
        <w:suppressAutoHyphens w:val="true"/>
        <w:bidi w:val="0"/>
        <w:spacing w:lineRule="auto" w:line="276" w:before="120" w:after="120"/>
        <w:ind w:left="4354" w:right="0" w:hanging="0"/>
        <w:jc w:val="both"/>
        <w:rPr>
          <w:rFonts w:ascii="Calibri" w:hAnsi="Calibri" w:cs="Arial"/>
          <w:sz w:val="22"/>
          <w:szCs w:val="22"/>
          <w:lang w:val="pt-BR" w:eastAsia="pt-BR"/>
        </w:rPr>
      </w:pPr>
      <w:r>
        <w:rPr>
          <w:rFonts w:cs="Arial" w:ascii="Calibri" w:hAnsi="Calibri"/>
          <w:sz w:val="22"/>
          <w:szCs w:val="22"/>
          <w:lang w:val="pt-BR" w:eastAsia="pt-BR"/>
        </w:rPr>
        <w:t>(2) 0,1% (um décimo por cento) até 10% (dez por cento) sobre o valor adjudicado, em caso de atraso na execução do objeto, por período superior ao previsto no subitem acima, ou de inexecução parcial da obrigação assumida;</w:t>
      </w:r>
    </w:p>
    <w:p>
      <w:pPr>
        <w:pStyle w:val="Normal"/>
        <w:widowControl/>
        <w:numPr>
          <w:ilvl w:val="0"/>
          <w:numId w:val="0"/>
        </w:numPr>
        <w:suppressAutoHyphens w:val="true"/>
        <w:bidi w:val="0"/>
        <w:spacing w:lineRule="auto" w:line="276" w:before="120" w:after="120"/>
        <w:ind w:left="4354" w:right="0" w:hanging="0"/>
        <w:jc w:val="both"/>
        <w:rPr>
          <w:rFonts w:ascii="Calibri" w:hAnsi="Calibri" w:cs="Arial"/>
          <w:sz w:val="22"/>
          <w:szCs w:val="22"/>
          <w:lang w:val="pt-BR" w:eastAsia="pt-BR"/>
        </w:rPr>
      </w:pPr>
      <w:r>
        <w:rPr>
          <w:rFonts w:cs="Arial" w:ascii="Calibri" w:hAnsi="Calibri"/>
          <w:sz w:val="22"/>
          <w:szCs w:val="22"/>
          <w:lang w:val="pt-BR" w:eastAsia="pt-BR"/>
        </w:rPr>
        <w:t>(3) 0,1% (um décimo por cento) até 15% (quinze por cento) sobre o valor adjudicado, em caso de inexecução total da obrigação assumida;</w:t>
      </w:r>
    </w:p>
    <w:p>
      <w:pPr>
        <w:pStyle w:val="Normal"/>
        <w:widowControl/>
        <w:numPr>
          <w:ilvl w:val="0"/>
          <w:numId w:val="0"/>
        </w:numPr>
        <w:suppressAutoHyphens w:val="true"/>
        <w:bidi w:val="0"/>
        <w:spacing w:lineRule="auto" w:line="276" w:before="120" w:after="120"/>
        <w:ind w:left="4354" w:right="0" w:hanging="0"/>
        <w:jc w:val="both"/>
        <w:rPr>
          <w:rFonts w:ascii="Calibri" w:hAnsi="Calibri" w:cs="Arial"/>
          <w:sz w:val="22"/>
          <w:szCs w:val="22"/>
          <w:lang w:val="pt-BR" w:eastAsia="pt-BR"/>
        </w:rPr>
      </w:pPr>
      <w:r>
        <w:rPr>
          <w:rFonts w:cs="Arial" w:ascii="Calibri" w:hAnsi="Calibri"/>
          <w:sz w:val="22"/>
          <w:szCs w:val="22"/>
          <w:lang w:val="pt-BR" w:eastAsia="pt-BR"/>
        </w:rPr>
        <w:t xml:space="preserve">(4) 0,2% a 3,2% por dia sobre o valor mensal do contrato, conforme detalhamento constante das </w:t>
      </w:r>
      <w:r>
        <w:rPr>
          <w:rFonts w:cs="Arial" w:ascii="Calibri" w:hAnsi="Calibri"/>
          <w:b/>
          <w:bCs/>
          <w:sz w:val="22"/>
          <w:szCs w:val="22"/>
          <w:lang w:val="pt-BR" w:eastAsia="pt-BR"/>
        </w:rPr>
        <w:t>tabelas 1 e 2</w:t>
      </w:r>
      <w:r>
        <w:rPr>
          <w:rFonts w:cs="Arial" w:ascii="Calibri" w:hAnsi="Calibri"/>
          <w:sz w:val="22"/>
          <w:szCs w:val="22"/>
          <w:lang w:val="pt-BR" w:eastAsia="pt-BR"/>
        </w:rPr>
        <w:t>, abaixo;</w:t>
      </w:r>
    </w:p>
    <w:p>
      <w:pPr>
        <w:pStyle w:val="Normal"/>
        <w:widowControl/>
        <w:numPr>
          <w:ilvl w:val="0"/>
          <w:numId w:val="0"/>
        </w:numPr>
        <w:suppressAutoHyphens w:val="true"/>
        <w:bidi w:val="0"/>
        <w:spacing w:lineRule="auto" w:line="276" w:before="120" w:after="120"/>
        <w:ind w:left="4354" w:right="0" w:hanging="0"/>
        <w:jc w:val="both"/>
        <w:rPr>
          <w:rFonts w:ascii="Calibri" w:hAnsi="Calibri"/>
          <w:sz w:val="22"/>
          <w:szCs w:val="22"/>
        </w:rPr>
      </w:pPr>
      <w:r>
        <w:rPr>
          <w:rFonts w:cs="Arial" w:ascii="Calibri" w:hAnsi="Calibri"/>
          <w:sz w:val="22"/>
          <w:szCs w:val="22"/>
          <w:lang w:val="pt-BR" w:eastAsia="pt-BR"/>
        </w:rPr>
        <w:t>(5) 0,07% (sete centésimos por cento) do valor do contrato por dia de atraso na apresentação da garantia (seja para reforço ou por ocasião de prorrogação), observado o máximo de 2% (dois por cento). O atraso</w:t>
      </w:r>
      <w:r>
        <w:rPr>
          <w:rFonts w:cs="Arial" w:ascii="Calibri" w:hAnsi="Calibri"/>
          <w:sz w:val="22"/>
          <w:szCs w:val="22"/>
          <w:lang w:eastAsia="pt-BR"/>
        </w:rPr>
        <w:t xml:space="preserve"> superior a 25 (vinte e cinco) dias autorizará a Administração CONTRATANTE a promover a rescisão do contrato;</w:t>
      </w:r>
    </w:p>
    <w:p>
      <w:pPr>
        <w:pStyle w:val="Normal"/>
        <w:widowControl/>
        <w:numPr>
          <w:ilvl w:val="0"/>
          <w:numId w:val="0"/>
        </w:numPr>
        <w:suppressAutoHyphens w:val="true"/>
        <w:bidi w:val="0"/>
        <w:spacing w:lineRule="auto" w:line="276" w:before="120" w:after="120"/>
        <w:ind w:left="4354" w:right="0" w:hanging="0"/>
        <w:jc w:val="both"/>
        <w:rPr>
          <w:rFonts w:ascii="Calibri" w:hAnsi="Calibri"/>
          <w:sz w:val="22"/>
          <w:szCs w:val="22"/>
        </w:rPr>
      </w:pPr>
      <w:r>
        <w:rPr>
          <w:rFonts w:cs="Arial" w:ascii="Calibri" w:hAnsi="Calibri"/>
          <w:sz w:val="22"/>
          <w:szCs w:val="22"/>
          <w:lang w:eastAsia="pt-BR"/>
        </w:rPr>
        <w:t>(6) As penalidades de multa decorrentes de fatos diversos serão consideradas independentes entre si.</w:t>
      </w:r>
    </w:p>
    <w:p>
      <w:pPr>
        <w:pStyle w:val="PargrafodaLista1"/>
        <w:widowControl/>
        <w:suppressAutoHyphens w:val="true"/>
        <w:bidi w:val="0"/>
        <w:spacing w:lineRule="auto" w:line="276" w:before="120" w:after="120"/>
        <w:ind w:left="1474" w:right="0" w:hanging="227"/>
        <w:jc w:val="both"/>
        <w:rPr>
          <w:rFonts w:ascii="Calibri" w:hAnsi="Calibri"/>
          <w:sz w:val="22"/>
          <w:szCs w:val="22"/>
        </w:rPr>
      </w:pPr>
      <w:r>
        <w:rPr>
          <w:rFonts w:cs="Arial" w:ascii="Calibri" w:hAnsi="Calibri"/>
          <w:b w:val="false"/>
          <w:bCs w:val="false"/>
          <w:sz w:val="22"/>
          <w:szCs w:val="22"/>
          <w:lang w:eastAsia="pt-BR"/>
        </w:rPr>
        <w:t>c) Suspensão de licitar e impedimento de contratar com o órgão, entidade ou unidade administrativa pela qual a Administração Pública opera e atua concretamente, pelo prazo de até dois anos, conforme art. 87, III da Lei 8.666/93;</w:t>
      </w:r>
    </w:p>
    <w:p>
      <w:pPr>
        <w:pStyle w:val="PargrafodaLista1"/>
        <w:widowControl/>
        <w:suppressAutoHyphens w:val="true"/>
        <w:bidi w:val="0"/>
        <w:spacing w:lineRule="auto" w:line="276" w:before="120" w:after="120"/>
        <w:ind w:left="1474" w:right="0" w:hanging="227"/>
        <w:jc w:val="both"/>
        <w:rPr>
          <w:rFonts w:ascii="Calibri" w:hAnsi="Calibri"/>
          <w:sz w:val="22"/>
          <w:szCs w:val="22"/>
        </w:rPr>
      </w:pPr>
      <w:r>
        <w:rPr>
          <w:rFonts w:cs="Arial" w:ascii="Calibri" w:hAnsi="Calibri"/>
          <w:b w:val="false"/>
          <w:bCs w:val="false"/>
          <w:sz w:val="22"/>
          <w:szCs w:val="22"/>
          <w:lang w:eastAsia="pt-BR"/>
        </w:rPr>
        <w:t>d) Impedimento de licitar e contratar com a União e entidades federais, pelo prazo de até 5 (cinco) anos, conforme artigo 47 da Lei 12.462/2011;</w:t>
      </w:r>
    </w:p>
    <w:p>
      <w:pPr>
        <w:pStyle w:val="PargrafodaLista1"/>
        <w:widowControl/>
        <w:suppressAutoHyphens w:val="true"/>
        <w:bidi w:val="0"/>
        <w:spacing w:lineRule="auto" w:line="276" w:before="120" w:after="120"/>
        <w:ind w:left="1474" w:right="0" w:hanging="227"/>
        <w:jc w:val="both"/>
        <w:rPr>
          <w:rFonts w:ascii="Calibri" w:hAnsi="Calibri"/>
          <w:sz w:val="22"/>
          <w:szCs w:val="22"/>
        </w:rPr>
      </w:pPr>
      <w:r>
        <w:rPr>
          <w:rFonts w:cs="Arial" w:ascii="Calibri" w:hAnsi="Calibri"/>
          <w:b w:val="false"/>
          <w:bCs w:val="false"/>
          <w:sz w:val="22"/>
          <w:szCs w:val="22"/>
          <w:lang w:eastAsia="pt-BR"/>
        </w:rPr>
        <w:t xml:space="preserve">e) </w:t>
      </w:r>
      <w:r>
        <w:rPr>
          <w:rFonts w:cs="Arial" w:ascii="Calibri" w:hAnsi="Calibri"/>
          <w:sz w:val="22"/>
          <w:szCs w:val="22"/>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 xml:space="preserve">As sanções previstas nos subitens </w:t>
      </w:r>
      <w:r>
        <w:rPr>
          <w:rFonts w:cs="Arial" w:ascii="Calibri" w:hAnsi="Calibri"/>
          <w:sz w:val="22"/>
          <w:szCs w:val="22"/>
          <w:lang w:eastAsia="pt-BR"/>
        </w:rPr>
        <w:t xml:space="preserve">“a”, “c”, “d” e “e” </w:t>
      </w:r>
      <w:r>
        <w:rPr>
          <w:rFonts w:cs="Arial" w:ascii="Calibri" w:hAnsi="Calibri"/>
          <w:sz w:val="22"/>
          <w:szCs w:val="22"/>
        </w:rPr>
        <w:t>poderão ser aplicadas à CONTRATADA juntamente com as de multa, descontando-a dos pagamentos a serem efetuados.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Para efeito de aplicação de multas, às infrações são atribuídos graus, de acordo com as tabelas 1 e 2:</w:t>
      </w:r>
    </w:p>
    <w:p>
      <w:pPr>
        <w:pStyle w:val="Normal"/>
        <w:suppressAutoHyphens w:val="true"/>
        <w:spacing w:lineRule="auto" w:line="276" w:before="120" w:after="120"/>
        <w:ind w:right="-30" w:hanging="0"/>
        <w:jc w:val="center"/>
        <w:rPr>
          <w:rFonts w:ascii="Calibri" w:hAnsi="Calibri"/>
          <w:sz w:val="22"/>
          <w:szCs w:val="22"/>
        </w:rPr>
      </w:pPr>
      <w:r>
        <w:rPr>
          <w:rFonts w:cs="Arial" w:ascii="Calibri" w:hAnsi="Calibri"/>
          <w:b/>
          <w:bCs/>
          <w:sz w:val="22"/>
          <w:szCs w:val="22"/>
        </w:rPr>
        <w:t>Tabela 1</w:t>
      </w:r>
    </w:p>
    <w:tbl>
      <w:tblPr>
        <w:tblW w:w="9180" w:type="dxa"/>
        <w:jc w:val="left"/>
        <w:tblInd w:w="187" w:type="dxa"/>
        <w:tblLayout w:type="fixed"/>
        <w:tblCellMar>
          <w:top w:w="75" w:type="dxa"/>
          <w:left w:w="75" w:type="dxa"/>
          <w:bottom w:w="75" w:type="dxa"/>
          <w:right w:w="75" w:type="dxa"/>
        </w:tblCellMar>
        <w:tblLook w:firstRow="0" w:noVBand="0" w:lastRow="0" w:firstColumn="0" w:lastColumn="0" w:noHBand="0" w:val="0000"/>
      </w:tblPr>
      <w:tblGrid>
        <w:gridCol w:w="3575"/>
        <w:gridCol w:w="5604"/>
      </w:tblGrid>
      <w:tr>
        <w:trPr>
          <w:trHeight w:val="180" w:hRule="atLeast"/>
        </w:trPr>
        <w:tc>
          <w:tcPr>
            <w:tcW w:w="357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b/>
                <w:bCs/>
                <w:sz w:val="20"/>
                <w:szCs w:val="20"/>
              </w:rPr>
              <w:t>GRAU</w:t>
            </w:r>
          </w:p>
        </w:tc>
        <w:tc>
          <w:tcPr>
            <w:tcW w:w="560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b/>
                <w:bCs/>
                <w:sz w:val="20"/>
                <w:szCs w:val="20"/>
              </w:rPr>
              <w:t>CORRESPONDÊNCIA</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1</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0,2%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2</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0,4%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3</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0,8%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4</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1,6%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5</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3,2% ao dia sobre o valor mensal do contrato</w:t>
            </w:r>
          </w:p>
        </w:tc>
      </w:tr>
    </w:tbl>
    <w:p>
      <w:pPr>
        <w:pStyle w:val="Normal"/>
        <w:suppressAutoHyphens w:val="true"/>
        <w:spacing w:lineRule="auto" w:line="276" w:before="120" w:after="120"/>
        <w:ind w:right="-30" w:hanging="0"/>
        <w:jc w:val="center"/>
        <w:rPr>
          <w:rFonts w:cs="Arial"/>
          <w:b/>
          <w:b/>
          <w:bCs/>
        </w:rPr>
      </w:pPr>
      <w:r>
        <w:rPr>
          <w:rFonts w:cs="Arial"/>
          <w:b/>
          <w:bCs/>
        </w:rPr>
      </w:r>
    </w:p>
    <w:p>
      <w:pPr>
        <w:pStyle w:val="Normal"/>
        <w:suppressAutoHyphens w:val="true"/>
        <w:spacing w:lineRule="auto" w:line="276" w:before="120" w:after="120"/>
        <w:ind w:right="-30" w:hanging="0"/>
        <w:jc w:val="center"/>
        <w:rPr>
          <w:rFonts w:ascii="Calibri" w:hAnsi="Calibri"/>
          <w:sz w:val="22"/>
          <w:szCs w:val="22"/>
        </w:rPr>
      </w:pPr>
      <w:r>
        <w:rPr>
          <w:rFonts w:cs="Arial" w:ascii="Calibri" w:hAnsi="Calibri"/>
          <w:b/>
          <w:bCs/>
          <w:sz w:val="22"/>
          <w:szCs w:val="22"/>
        </w:rPr>
        <w:t>Tabela 2</w:t>
      </w:r>
    </w:p>
    <w:tbl>
      <w:tblPr>
        <w:tblW w:w="9180" w:type="dxa"/>
        <w:jc w:val="left"/>
        <w:tblInd w:w="187" w:type="dxa"/>
        <w:tblLayout w:type="fixed"/>
        <w:tblCellMar>
          <w:top w:w="75" w:type="dxa"/>
          <w:left w:w="75" w:type="dxa"/>
          <w:bottom w:w="75" w:type="dxa"/>
          <w:right w:w="75" w:type="dxa"/>
        </w:tblCellMar>
        <w:tblLook w:firstRow="0" w:noVBand="0" w:lastRow="0" w:firstColumn="0" w:lastColumn="0" w:noHBand="0" w:val="0000"/>
      </w:tblPr>
      <w:tblGrid>
        <w:gridCol w:w="2239"/>
        <w:gridCol w:w="4981"/>
        <w:gridCol w:w="1960"/>
      </w:tblGrid>
      <w:tr>
        <w:trPr>
          <w:trHeight w:val="60" w:hRule="atLeast"/>
        </w:trPr>
        <w:tc>
          <w:tcPr>
            <w:tcW w:w="9180" w:type="dxa"/>
            <w:gridSpan w:val="3"/>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b/>
                <w:bCs/>
                <w:sz w:val="20"/>
                <w:szCs w:val="20"/>
              </w:rPr>
              <w:t>INFRAÇÃO</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b/>
                <w:bCs/>
                <w:sz w:val="20"/>
                <w:szCs w:val="20"/>
              </w:rPr>
              <w:t>ITEM</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b/>
                <w:bCs/>
                <w:sz w:val="20"/>
                <w:szCs w:val="20"/>
              </w:rPr>
              <w:t>DESCRIÇÃO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b/>
                <w:bCs/>
                <w:sz w:val="20"/>
                <w:szCs w:val="20"/>
              </w:rPr>
              <w:t>GRAU</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1</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Permitir situação que crie a possibilidade de causar dano físico, lesão corporal ou conseqüências letais,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05</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2</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Suspender ou interromper, salvo motivo de força maior ou caso fortuito, os serviços contratuais por dia e por unidade de atendimento;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04</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3</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Manter funcionário sem qualificação para executar os serviços contratados, por empregado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03</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4</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Recusar-se a executar serviço determinado pela fiscalização, por serviço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02</w:t>
            </w:r>
          </w:p>
        </w:tc>
      </w:tr>
      <w:tr>
        <w:trPr>
          <w:trHeight w:val="225" w:hRule="atLeast"/>
        </w:trPr>
        <w:tc>
          <w:tcPr>
            <w:tcW w:w="9180" w:type="dxa"/>
            <w:gridSpan w:val="3"/>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b/>
                <w:bCs/>
                <w:sz w:val="20"/>
                <w:szCs w:val="20"/>
              </w:rPr>
              <w:t>Para os itens a seguir, deixar de:</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7</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Cumprir determinação formal ou instrução complementar do órgão fiscalizador,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02</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8</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Substituir empregado que se conduza de modo inconveniente ou não atenda às necessidades do serviço, por funcionário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01</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9</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Cumprir quaisquer dos itens do Edital e seus Anexos não previstos nesta tabela de multas, após reincidência formalmente notificada pelo órgão fiscalizador, por item e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03</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10</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Indicar e manter durante a execução do contrato os prepostos previstos no edital/contrato;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0"/>
                <w:szCs w:val="20"/>
              </w:rPr>
            </w:pPr>
            <w:r>
              <w:rPr>
                <w:rFonts w:cs="Arial" w:ascii="Calibri" w:hAnsi="Calibri"/>
                <w:sz w:val="20"/>
                <w:szCs w:val="20"/>
              </w:rPr>
              <w:t>01</w:t>
            </w:r>
          </w:p>
        </w:tc>
      </w:tr>
    </w:tbl>
    <w:p>
      <w:pPr>
        <w:pStyle w:val="Normal"/>
        <w:suppressAutoHyphens w:val="true"/>
        <w:spacing w:lineRule="auto" w:line="276" w:before="0" w:after="0"/>
        <w:ind w:right="-30" w:hanging="0"/>
        <w:jc w:val="both"/>
        <w:rPr>
          <w:rFonts w:ascii="Calibri" w:hAnsi="Calibri"/>
          <w:sz w:val="22"/>
          <w:szCs w:val="22"/>
        </w:rPr>
      </w:pPr>
      <w:r>
        <w:rPr>
          <w:rFonts w:ascii="Calibri" w:hAnsi="Calibri"/>
          <w:sz w:val="22"/>
          <w:szCs w:val="22"/>
        </w:rPr>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Também fica sujeitas às penalidades do art. 87, III e IV da Lei nº 8.666, de 1993, a Contratada que: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Tenham sofrido condenação definitiva por praticar, por meio dolosos, fraude fiscal no recolhimento de quaisquer tributos;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Tenham praticado atos ilícitos visando a frustrar os objetivos da licitação;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Demonstrem não possuir idoneidade para contratar com a Administração em virtude de atos ilícitos praticados. </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 xml:space="preserve">A aplicação de qualquer das penalidades previstas realizar-se-á em processo administrativo que assegurará o contraditório e a ampla defesa à CONTRATADA, </w:t>
      </w:r>
      <w:r>
        <w:rPr>
          <w:rFonts w:cs="Arial" w:ascii="Calibri" w:hAnsi="Calibri"/>
          <w:sz w:val="22"/>
          <w:szCs w:val="22"/>
          <w:lang w:val="pt-BR" w:eastAsia="zh-CN"/>
        </w:rPr>
        <w:t>observando-se o procedimento previsto na Lei nº 8.666, de 1993, e subsidiariamente a Lei nº 9.784, de 1999.</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lang w:val="pt-BR" w:eastAsia="zh-CN"/>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lang w:val="pt-BR" w:eastAsia="zh-CN"/>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Caso a Contratante determine, a multa deverá ser recolhida no prazo máximo de 15 (quinze)</w:t>
      </w:r>
      <w:r>
        <w:rPr>
          <w:rFonts w:cs="Arial" w:ascii="Calibri" w:hAnsi="Calibri"/>
          <w:color w:val="FF0000"/>
          <w:sz w:val="22"/>
          <w:szCs w:val="22"/>
        </w:rPr>
        <w:t xml:space="preserve"> </w:t>
      </w:r>
      <w:r>
        <w:rPr>
          <w:rFonts w:cs="Arial" w:ascii="Calibri" w:hAnsi="Calibri"/>
          <w:sz w:val="22"/>
          <w:szCs w:val="22"/>
        </w:rPr>
        <w:t>dias, a contar da data do recebimento da comunicação enviada pela autoridade competente.</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As penalidades serão obrigatoriamente registradas no SICAF.</w:t>
      </w:r>
    </w:p>
    <w:p>
      <w:pPr>
        <w:pStyle w:val="Normal"/>
        <w:suppressAutoHyphens w:val="true"/>
        <w:spacing w:lineRule="auto" w:line="276" w:before="6" w:after="6"/>
        <w:ind w:left="432" w:right="-30" w:hanging="0"/>
        <w:jc w:val="both"/>
        <w:rPr>
          <w:rFonts w:ascii="Calibri" w:hAnsi="Calibri" w:cs="Arial"/>
          <w:sz w:val="22"/>
          <w:szCs w:val="22"/>
        </w:rPr>
      </w:pPr>
      <w:r>
        <w:rPr>
          <w:rFonts w:cs="Arial" w:ascii="Calibri" w:hAnsi="Calibri"/>
          <w:sz w:val="22"/>
          <w:szCs w:val="22"/>
        </w:rPr>
      </w:r>
    </w:p>
    <w:p>
      <w:pPr>
        <w:pStyle w:val="Normal"/>
        <w:numPr>
          <w:ilvl w:val="0"/>
          <w:numId w:val="2"/>
        </w:numPr>
        <w:tabs>
          <w:tab w:val="clear" w:pos="709"/>
          <w:tab w:val="left" w:pos="400" w:leader="none"/>
        </w:tabs>
        <w:suppressAutoHyphens w:val="true"/>
        <w:spacing w:before="0" w:after="120"/>
        <w:ind w:left="0" w:hanging="0"/>
        <w:jc w:val="both"/>
        <w:rPr>
          <w:rFonts w:ascii="Calibri" w:hAnsi="Calibri"/>
          <w:sz w:val="22"/>
          <w:szCs w:val="22"/>
        </w:rPr>
      </w:pPr>
      <w:r>
        <w:rPr>
          <w:rFonts w:cs="Arial" w:ascii="Calibri" w:hAnsi="Calibri"/>
          <w:b/>
          <w:bCs/>
          <w:sz w:val="22"/>
          <w:szCs w:val="22"/>
        </w:rPr>
        <w:t>CRITÉRIOS DE SELEÇÃO DO FORNECEDOR</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As exigências de habilitação jurídica e de regularidade fiscal e trabalhista são as usuais para a generalidade dos objetos, conforme disciplinado no edital.</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b w:val="false"/>
          <w:b w:val="false"/>
          <w:bCs w:val="false"/>
          <w:sz w:val="22"/>
          <w:szCs w:val="22"/>
          <w:shd w:fill="auto" w:val="clear"/>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Qualificação Técnica: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eastAsia="Calibri" w:cs="Arial"/>
          <w:b w:val="false"/>
          <w:b w:val="false"/>
          <w:bCs w:val="false"/>
          <w:i w:val="false"/>
          <w:i w:val="false"/>
          <w:iCs w:val="false"/>
          <w:strike w:val="false"/>
          <w:dstrike w:val="false"/>
          <w:color w:val="auto"/>
          <w:sz w:val="22"/>
          <w:szCs w:val="22"/>
          <w:shd w:fill="auto" w:val="clear"/>
          <w:lang w:val="pt-BR" w:eastAsia="en-US"/>
        </w:rPr>
      </w:pPr>
      <w:r>
        <w:rPr>
          <w:rFonts w:eastAsia="Calibri" w:cs="Arial" w:ascii="Calibri" w:hAnsi="Calibri"/>
          <w:b w:val="false"/>
          <w:bCs w:val="false"/>
          <w:i w:val="false"/>
          <w:iCs w:val="false"/>
          <w:strike w:val="false"/>
          <w:dstrike w:val="false"/>
          <w:color w:val="000000"/>
          <w:sz w:val="22"/>
          <w:szCs w:val="22"/>
          <w:shd w:fill="auto" w:val="clear"/>
          <w:lang w:val="pt-BR" w:eastAsia="en-US"/>
        </w:rPr>
        <w:t>Registro ou inscrição da empresa contratada no CREA (Conselho Regional de Engenharia e Agronomia) e/ou CAU (Conselho de Arquitetura e Urbanismo), conforme as áreas de atuação previstas no Projeto Básico, em plena validade;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eastAsia="Calibri" w:cs="Arial"/>
          <w:b w:val="false"/>
          <w:b w:val="false"/>
          <w:bCs w:val="false"/>
          <w:i w:val="false"/>
          <w:i w:val="false"/>
          <w:iCs w:val="false"/>
          <w:strike w:val="false"/>
          <w:dstrike w:val="false"/>
          <w:color w:val="auto"/>
          <w:sz w:val="22"/>
          <w:szCs w:val="22"/>
          <w:shd w:fill="auto" w:val="clear"/>
          <w:lang w:val="pt-BR" w:eastAsia="en-US"/>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Quanto à capacitação técnico-operacional: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shd w:fill="auto" w:val="clear"/>
        </w:rPr>
      </w:pPr>
      <w:r>
        <w:rPr>
          <w:rFonts w:eastAsia="Calibri" w:cs="Arial" w:ascii="Calibri" w:hAnsi="Calibri"/>
          <w:b w:val="false"/>
          <w:bCs w:val="false"/>
          <w:i w:val="false"/>
          <w:iCs w:val="false"/>
          <w:strike w:val="false"/>
          <w:dstrike w:val="false"/>
          <w:color w:val="000000"/>
          <w:sz w:val="22"/>
          <w:szCs w:val="22"/>
          <w:shd w:fill="auto" w:val="clear"/>
          <w:lang w:val="pt-BR" w:eastAsia="en-US"/>
        </w:rPr>
        <w:t>Execução de laje de concreto armado;</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shd w:fill="auto" w:val="clear"/>
        </w:rPr>
      </w:pPr>
      <w:r>
        <w:rPr>
          <w:rFonts w:eastAsia="Calibri" w:cs="Arial" w:ascii="Calibri" w:hAnsi="Calibri"/>
          <w:b w:val="false"/>
          <w:bCs w:val="false"/>
          <w:i w:val="false"/>
          <w:iCs w:val="false"/>
          <w:strike w:val="false"/>
          <w:dstrike w:val="false"/>
          <w:color w:val="000000"/>
          <w:sz w:val="22"/>
          <w:szCs w:val="22"/>
          <w:shd w:fill="auto" w:val="clear"/>
          <w:lang w:val="pt-BR" w:eastAsia="en-US"/>
        </w:rPr>
        <w:t>Execução de alvenaria de blocos cerâmicos;</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shd w:fill="auto" w:val="clear"/>
        </w:rPr>
      </w:pPr>
      <w:r>
        <w:rPr>
          <w:rFonts w:eastAsia="Calibri" w:cs="Arial" w:ascii="Calibri" w:hAnsi="Calibri"/>
          <w:b w:val="false"/>
          <w:bCs w:val="false"/>
          <w:i w:val="false"/>
          <w:iCs w:val="false"/>
          <w:strike w:val="false"/>
          <w:dstrike w:val="false"/>
          <w:color w:val="000000"/>
          <w:sz w:val="22"/>
          <w:szCs w:val="22"/>
          <w:shd w:fill="auto" w:val="clear"/>
          <w:lang w:val="pt-BR" w:eastAsia="en-US"/>
        </w:rPr>
        <w:t>Execução de piso granilite;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eastAsia="Calibri" w:cs="Arial"/>
          <w:b w:val="false"/>
          <w:b w:val="false"/>
          <w:bCs w:val="false"/>
          <w:i w:val="false"/>
          <w:i w:val="false"/>
          <w:iCs w:val="false"/>
          <w:strike w:val="false"/>
          <w:dstrike w:val="false"/>
          <w:color w:val="auto"/>
          <w:sz w:val="22"/>
          <w:szCs w:val="22"/>
          <w:shd w:fill="auto" w:val="clear"/>
          <w:lang w:val="pt-BR" w:eastAsia="en-US"/>
        </w:rPr>
      </w:pPr>
      <w:r>
        <w:rPr>
          <w:rFonts w:eastAsia="Calibri" w:cs="Arial" w:ascii="Calibri" w:hAnsi="Calibri"/>
          <w:b w:val="false"/>
          <w:bCs w:val="false"/>
          <w:i w:val="false"/>
          <w:iCs w:val="false"/>
          <w:strike w:val="false"/>
          <w:dstrike w:val="false"/>
          <w:color w:val="000000"/>
          <w:sz w:val="22"/>
          <w:szCs w:val="22"/>
          <w:shd w:fill="auto" w:val="clear"/>
          <w:lang w:val="pt-BR" w:eastAsia="en-US"/>
        </w:rPr>
        <w:t>Os atestados exigidos no subitem anterior, para serem aceitos, deverão ter as seguintes informações:</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eastAsia="Calibri" w:cs="Arial"/>
          <w:b w:val="false"/>
          <w:b w:val="false"/>
          <w:bCs w:val="false"/>
          <w:i w:val="false"/>
          <w:i w:val="false"/>
          <w:iCs w:val="false"/>
          <w:strike w:val="false"/>
          <w:dstrike w:val="false"/>
          <w:color w:val="auto"/>
          <w:sz w:val="22"/>
          <w:szCs w:val="22"/>
          <w:shd w:fill="auto" w:val="clear"/>
          <w:lang w:val="pt-BR" w:eastAsia="en-US"/>
        </w:rPr>
      </w:pP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Execução de laje pré-moldada em concreto: 166,5 m²;</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eastAsia="Calibri" w:cs="Arial"/>
          <w:b w:val="false"/>
          <w:b w:val="false"/>
          <w:bCs w:val="false"/>
          <w:i w:val="false"/>
          <w:i w:val="false"/>
          <w:iCs w:val="false"/>
          <w:strike w:val="false"/>
          <w:dstrike w:val="false"/>
          <w:outline w:val="false"/>
          <w:shadow w:val="false"/>
          <w:color w:val="auto"/>
          <w:sz w:val="22"/>
          <w:szCs w:val="22"/>
          <w:u w:val="none"/>
          <w:shd w:fill="auto" w:val="clear"/>
          <w:em w:val="none"/>
          <w:lang w:val="pt-BR" w:eastAsia="en-US"/>
        </w:rPr>
      </w:pP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Execução de alvenaria de blocos cerâmicos: 220,84 m²;</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eastAsia="Calibri" w:cs="Arial"/>
          <w:b w:val="false"/>
          <w:b w:val="false"/>
          <w:bCs w:val="false"/>
          <w:i w:val="false"/>
          <w:i w:val="false"/>
          <w:iCs w:val="false"/>
          <w:strike w:val="false"/>
          <w:dstrike w:val="false"/>
          <w:outline w:val="false"/>
          <w:shadow w:val="false"/>
          <w:color w:val="auto"/>
          <w:sz w:val="22"/>
          <w:szCs w:val="22"/>
          <w:u w:val="none"/>
          <w:shd w:fill="auto" w:val="clear"/>
          <w:em w:val="none"/>
          <w:lang w:val="pt-BR" w:eastAsia="en-US"/>
        </w:rPr>
      </w:pP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Execução de piso granilite: 170,23 m²;</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eastAsia="Calibri" w:cs="Arial"/>
          <w:b w:val="false"/>
          <w:b w:val="false"/>
          <w:bCs w:val="false"/>
          <w:i w:val="false"/>
          <w:i w:val="false"/>
          <w:iCs w:val="false"/>
          <w:strike w:val="false"/>
          <w:dstrike w:val="false"/>
          <w:color w:val="auto"/>
          <w:sz w:val="22"/>
          <w:szCs w:val="22"/>
          <w:shd w:fill="auto" w:val="clear"/>
          <w:lang w:val="pt-BR" w:eastAsia="en-US"/>
        </w:rPr>
      </w:pPr>
      <w:r>
        <w:rPr>
          <w:rFonts w:eastAsia="Calibri" w:cs="Arial" w:ascii="Calibri" w:hAnsi="Calibri"/>
          <w:b w:val="false"/>
          <w:bCs w:val="false"/>
          <w:i w:val="false"/>
          <w:iCs w:val="false"/>
          <w:strike w:val="false"/>
          <w:dstrike w:val="false"/>
          <w:color w:val="000000"/>
          <w:sz w:val="22"/>
          <w:szCs w:val="22"/>
          <w:shd w:fill="auto" w:val="clear"/>
          <w:lang w:val="pt-BR" w:eastAsia="en-US"/>
        </w:rPr>
        <w:t>Embora a implantação da estação de tratamento de esgoto sanitário seja um item de relevância e valor significativo, ele não será exigido para demonstração da capacidade técnico-operacional das licitantes, de forma a não limitar a disputa nem restringir o caráter competitivo da licitação.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eastAsia="Calibri" w:cs="Arial"/>
          <w:b w:val="false"/>
          <w:b w:val="false"/>
          <w:bCs w:val="false"/>
          <w:i w:val="false"/>
          <w:i w:val="false"/>
          <w:iCs w:val="false"/>
          <w:strike w:val="false"/>
          <w:dstrike w:val="false"/>
          <w:color w:val="auto"/>
          <w:sz w:val="22"/>
          <w:szCs w:val="22"/>
          <w:shd w:fill="auto" w:val="clear"/>
          <w:lang w:val="pt-BR" w:eastAsia="en-US"/>
        </w:rPr>
      </w:pPr>
      <w:r>
        <w:rPr>
          <w:rFonts w:eastAsia="Calibri" w:cs="Arial" w:ascii="Calibri" w:hAnsi="Calibri"/>
          <w:b w:val="false"/>
          <w:bCs w:val="false"/>
          <w:i w:val="false"/>
          <w:iCs w:val="false"/>
          <w:strike w:val="false"/>
          <w:dstrike w:val="false"/>
          <w:color w:val="000000"/>
          <w:sz w:val="22"/>
          <w:szCs w:val="22"/>
          <w:shd w:fill="auto" w:val="clear"/>
          <w:lang w:val="pt-BR" w:eastAsia="en-US"/>
        </w:rPr>
        <w:t>Será admitida, para fins de comprovação de quantitativo mínimo do serviço, a apresentação de diferentes atestados de serviços executados de forma concomitante.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eastAsia="Calibri" w:cs="Arial"/>
          <w:b w:val="false"/>
          <w:b w:val="false"/>
          <w:bCs w:val="false"/>
          <w:i w:val="false"/>
          <w:i w:val="false"/>
          <w:iCs w:val="false"/>
          <w:strike w:val="false"/>
          <w:dstrike w:val="false"/>
          <w:color w:val="auto"/>
          <w:sz w:val="22"/>
          <w:szCs w:val="22"/>
          <w:shd w:fill="auto" w:val="clear"/>
          <w:lang w:val="pt-BR" w:eastAsia="en-US"/>
        </w:rPr>
      </w:pPr>
      <w:r>
        <w:rPr>
          <w:rFonts w:eastAsia="Calibri" w:cs="Arial" w:ascii="Calibri" w:hAnsi="Calibri"/>
          <w:b w:val="false"/>
          <w:bCs w:val="false"/>
          <w:i w:val="false"/>
          <w:iCs w:val="false"/>
          <w:strike w:val="false"/>
          <w:dstrike w:val="false"/>
          <w:color w:val="000000"/>
          <w:sz w:val="22"/>
          <w:szCs w:val="22"/>
          <w:shd w:fill="auto" w:val="clear"/>
          <w:lang w:val="pt-BR" w:eastAsia="en-US"/>
        </w:rPr>
        <w:t>Comprovação da capacitação técnico-profissional, mediante apresentação de Certidão de Acervo Técnico – CAT, expedida pelo CREA, CAU ou CRT da região pertinente, nos termos da legislação aplicável, em nome do(s) responsável(is) técnico(s) e/ou membros da equipe técnica que participarão da obra, que demonstre a Anotação de Responsabilidade Técnica – ART, o Registro de Responsabilidade Técnica – RRT ou o Termo de Responsabilidade Técnica - TRT, relativo à execução dos serviços que compõem as parcelas de maior relevância técnica e valor significativo da contratação, a saber:</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eastAsia="Calibri" w:cs="Arial"/>
          <w:b w:val="false"/>
          <w:b w:val="false"/>
          <w:bCs w:val="false"/>
          <w:i w:val="false"/>
          <w:i w:val="false"/>
          <w:iCs w:val="false"/>
          <w:strike w:val="false"/>
          <w:dstrike w:val="false"/>
          <w:color w:val="auto"/>
          <w:sz w:val="22"/>
          <w:szCs w:val="22"/>
          <w:shd w:fill="auto" w:val="clear"/>
          <w:lang w:val="pt-BR" w:eastAsia="en-US"/>
        </w:rPr>
      </w:pPr>
      <w:r>
        <w:rPr>
          <w:rFonts w:eastAsia="Calibri" w:cs="Arial" w:ascii="Calibri" w:hAnsi="Calibri"/>
          <w:b w:val="false"/>
          <w:bCs w:val="false"/>
          <w:i w:val="false"/>
          <w:iCs w:val="false"/>
          <w:strike w:val="false"/>
          <w:dstrike w:val="false"/>
          <w:color w:val="000000"/>
          <w:sz w:val="22"/>
          <w:szCs w:val="22"/>
          <w:shd w:fill="auto" w:val="clear"/>
          <w:lang w:val="pt-BR" w:eastAsia="en-US"/>
        </w:rPr>
        <w:t>Para o Engenheiro Civil, serviços elencados no subitem 16.2.2 com respectivos quantitativos descritos no subitem 16.2.3.</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 proponente, quando solicitada, deverá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A proposta deverá contemplar os quantitativos e orientações previstas neste Projeto Básico e Anexos.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cs="Arial" w:ascii="Calibri" w:hAnsi="Calibri"/>
          <w:sz w:val="22"/>
          <w:szCs w:val="22"/>
        </w:rPr>
        <w:t>Os critérios de aceitabilidade de preços serão: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lang w:val="pt-BR" w:eastAsia="zh-CN"/>
        </w:rPr>
        <w:t>Valor Globa</w:t>
      </w:r>
      <w:r>
        <w:rPr>
          <w:rFonts w:cs="Arial" w:ascii="Calibri" w:hAnsi="Calibri"/>
          <w:color w:val="auto"/>
          <w:sz w:val="22"/>
          <w:szCs w:val="22"/>
          <w:lang w:val="pt-BR" w:eastAsia="zh-CN"/>
        </w:rPr>
        <w:t xml:space="preserve">l: R$ 1.402.093,19 </w:t>
      </w:r>
      <w:r>
        <w:rPr>
          <w:rFonts w:cs="Arial" w:ascii="Calibri" w:hAnsi="Calibri"/>
          <w:b w:val="false"/>
          <w:bCs w:val="false"/>
          <w:i w:val="false"/>
          <w:strike w:val="false"/>
          <w:dstrike w:val="false"/>
          <w:outline w:val="false"/>
          <w:shadow w:val="false"/>
          <w:color w:val="auto"/>
          <w:sz w:val="22"/>
          <w:szCs w:val="22"/>
          <w:u w:val="none"/>
          <w:em w:val="none"/>
          <w:lang w:val="pt-BR" w:eastAsia="zh-CN"/>
        </w:rPr>
        <w:t>(um milh</w:t>
      </w:r>
      <w:r>
        <w:rPr>
          <w:rFonts w:cs="Arial" w:ascii="Calibri" w:hAnsi="Calibri"/>
          <w:b w:val="false"/>
          <w:bCs w:val="false"/>
          <w:i w:val="false"/>
          <w:strike w:val="false"/>
          <w:dstrike w:val="false"/>
          <w:outline w:val="false"/>
          <w:shadow w:val="false"/>
          <w:sz w:val="22"/>
          <w:szCs w:val="22"/>
          <w:u w:val="none"/>
          <w:em w:val="none"/>
          <w:lang w:val="pt-BR" w:eastAsia="zh-CN"/>
        </w:rPr>
        <w:t>ão, quatrocentos e dois mil, noventa e três reais e dezenove centavos).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Valores unitários: conforme planilha de composição de preços anexa ao edital.</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respectivos.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rFonts w:ascii="Calibri" w:hAnsi="Calibri"/>
          <w:sz w:val="22"/>
          <w:szCs w:val="22"/>
        </w:rPr>
      </w:pPr>
      <w:r>
        <w:rPr>
          <w:rFonts w:cs="Arial" w:ascii="Calibri" w:hAnsi="Calibri"/>
          <w:sz w:val="22"/>
          <w:szCs w:val="22"/>
        </w:rPr>
        <w:t>Caso o Regime de Execução seja o de empreitada por preço unitário, os custos unitários dos itens materialmente relevantes das propostas não podem exceder os custos unitários estabelecidos no orçamento estimado pela administração pública, sendo considerados itens materialmente relevantes aqueles de maior impacto no valor total da proposta e que, somados, representem pelo menos oitenta por cento do valor total do orçamento estimado ou que sejam considerados essenciais à funcionalidade da obra.</w:t>
      </w:r>
    </w:p>
    <w:p>
      <w:pPr>
        <w:pStyle w:val="Normal"/>
        <w:tabs>
          <w:tab w:val="clear" w:pos="709"/>
          <w:tab w:val="left" w:pos="273" w:leader="none"/>
          <w:tab w:val="left" w:pos="1701" w:leader="none"/>
          <w:tab w:val="left" w:pos="1865" w:leader="none"/>
          <w:tab w:val="left" w:pos="2269" w:leader="none"/>
        </w:tabs>
        <w:suppressAutoHyphens w:val="true"/>
        <w:spacing w:lineRule="auto" w:line="276" w:before="63" w:after="63"/>
        <w:ind w:hanging="0"/>
        <w:jc w:val="both"/>
        <w:rPr>
          <w:rFonts w:ascii="Calibri" w:hAnsi="Calibri" w:cs="Arial"/>
          <w:sz w:val="22"/>
          <w:szCs w:val="22"/>
        </w:rPr>
      </w:pPr>
      <w:r>
        <w:rPr>
          <w:rFonts w:cs="Arial" w:ascii="Calibri" w:hAnsi="Calibri"/>
          <w:sz w:val="22"/>
          <w:szCs w:val="22"/>
        </w:rPr>
      </w:r>
    </w:p>
    <w:p>
      <w:pPr>
        <w:pStyle w:val="Normal"/>
        <w:numPr>
          <w:ilvl w:val="0"/>
          <w:numId w:val="2"/>
        </w:numPr>
        <w:tabs>
          <w:tab w:val="clear" w:pos="709"/>
          <w:tab w:val="left" w:pos="400" w:leader="none"/>
        </w:tabs>
        <w:suppressAutoHyphens w:val="true"/>
        <w:spacing w:before="0" w:after="120"/>
        <w:ind w:left="0" w:hanging="0"/>
        <w:jc w:val="both"/>
        <w:rPr>
          <w:rFonts w:ascii="Calibri" w:hAnsi="Calibri"/>
          <w:sz w:val="22"/>
          <w:szCs w:val="22"/>
        </w:rPr>
      </w:pPr>
      <w:r>
        <w:rPr>
          <w:rFonts w:cs="Arial" w:ascii="Calibri" w:hAnsi="Calibri"/>
          <w:b/>
          <w:bCs/>
          <w:sz w:val="22"/>
          <w:szCs w:val="22"/>
        </w:rPr>
        <w:t>ESTIMATIVA DE PREÇOS E PREÇOS REFERENCIAIS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O custo estimado da contratação é de </w:t>
      </w:r>
      <w:r>
        <w:rPr>
          <w:rFonts w:eastAsia="Calibri" w:cs="Arial" w:ascii="Calibri" w:hAnsi="Calibri"/>
          <w:b w:val="false"/>
          <w:bCs w:val="false"/>
          <w:i w:val="false"/>
          <w:iCs w:val="false"/>
          <w:strike w:val="false"/>
          <w:dstrike w:val="false"/>
          <w:color w:val="000000"/>
          <w:sz w:val="22"/>
          <w:szCs w:val="22"/>
          <w:shd w:fill="auto" w:val="clear"/>
          <w:lang w:val="pt-BR" w:eastAsia="zh-CN"/>
        </w:rPr>
        <w:t xml:space="preserve">R$ 1.402.093,19 </w:t>
      </w: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zh-CN"/>
        </w:rPr>
        <w:t>(um milhão, quatrocentos e dois mil, noventa e três reais e dezenove centavos).</w:t>
      </w:r>
    </w:p>
    <w:p>
      <w:pPr>
        <w:pStyle w:val="Normal"/>
        <w:suppressAutoHyphens w:val="true"/>
        <w:spacing w:lineRule="auto" w:line="276" w:before="6" w:after="6"/>
        <w:ind w:left="432" w:right="-30" w:hanging="432"/>
        <w:jc w:val="both"/>
        <w:rPr>
          <w:rFonts w:cs="Arial"/>
        </w:rPr>
      </w:pPr>
      <w:r>
        <w:rPr>
          <w:rFonts w:cs="Arial"/>
        </w:rPr>
      </w:r>
    </w:p>
    <w:p>
      <w:pPr>
        <w:pStyle w:val="Normal"/>
        <w:numPr>
          <w:ilvl w:val="0"/>
          <w:numId w:val="2"/>
        </w:numPr>
        <w:tabs>
          <w:tab w:val="clear" w:pos="709"/>
          <w:tab w:val="left" w:pos="400" w:leader="none"/>
        </w:tabs>
        <w:suppressAutoHyphens w:val="true"/>
        <w:spacing w:before="0" w:after="120"/>
        <w:ind w:left="0" w:hanging="0"/>
        <w:jc w:val="both"/>
        <w:rPr>
          <w:rFonts w:ascii="Calibri" w:hAnsi="Calibri"/>
          <w:sz w:val="22"/>
          <w:szCs w:val="22"/>
        </w:rPr>
      </w:pPr>
      <w:r>
        <w:rPr>
          <w:rFonts w:cs="Arial" w:ascii="Calibri" w:hAnsi="Calibri"/>
          <w:b/>
          <w:bCs/>
          <w:sz w:val="22"/>
          <w:szCs w:val="22"/>
        </w:rPr>
        <w:t>DOS RECURSOS ORÇAMENTÁRIOS</w:t>
      </w:r>
    </w:p>
    <w:p>
      <w:pPr>
        <w:pStyle w:val="Normal"/>
        <w:numPr>
          <w:ilvl w:val="1"/>
          <w:numId w:val="2"/>
        </w:numPr>
        <w:tabs>
          <w:tab w:val="clear" w:pos="709"/>
          <w:tab w:val="left" w:pos="1128" w:leader="none"/>
        </w:tabs>
        <w:suppressAutoHyphens w:val="true"/>
        <w:spacing w:lineRule="auto" w:line="276" w:before="120" w:after="120"/>
        <w:ind w:left="425" w:hanging="0"/>
        <w:jc w:val="both"/>
        <w:rPr>
          <w:rFonts w:ascii="Calibri" w:hAnsi="Calibri" w:eastAsia="Calibri" w:cs="Arial"/>
          <w:b w:val="false"/>
          <w:b w:val="false"/>
          <w:bCs w:val="false"/>
          <w:i w:val="false"/>
          <w:i w:val="false"/>
          <w:iCs w:val="false"/>
          <w:strike w:val="false"/>
          <w:dstrike w:val="false"/>
          <w:color w:val="auto"/>
          <w:sz w:val="22"/>
          <w:szCs w:val="22"/>
          <w:shd w:fill="auto" w:val="clear"/>
          <w:lang w:val="pt-BR" w:eastAsia="en-US"/>
        </w:rPr>
      </w:pPr>
      <w:r>
        <w:rPr>
          <w:rFonts w:eastAsia="Calibri" w:cs="Arial" w:ascii="Calibri" w:hAnsi="Calibri"/>
          <w:b w:val="false"/>
          <w:bCs w:val="false"/>
          <w:i w:val="false"/>
          <w:iCs w:val="false"/>
          <w:strike w:val="false"/>
          <w:dstrike w:val="false"/>
          <w:color w:val="000000"/>
          <w:sz w:val="22"/>
          <w:szCs w:val="22"/>
          <w:shd w:fill="auto" w:val="clear"/>
          <w:lang w:val="pt-BR" w:eastAsia="en-US"/>
        </w:rPr>
        <w:t>As despesas decorrentes da presente contratação correrão à conta de recursos específicos consignados no Orçamento Geral da União deste exercício, na dotação abaixo discriminada:</w:t>
      </w:r>
    </w:p>
    <w:p>
      <w:pPr>
        <w:pStyle w:val="Normal"/>
        <w:suppressAutoHyphens w:val="true"/>
        <w:spacing w:lineRule="auto" w:line="276" w:before="0" w:after="0"/>
        <w:ind w:hanging="0"/>
        <w:jc w:val="both"/>
        <w:rPr>
          <w:shd w:fill="auto" w:val="clear"/>
        </w:rPr>
      </w:pPr>
      <w:r>
        <w:rPr>
          <w:rFonts w:eastAsia="Calibri" w:cs="Arial" w:ascii="Calibri" w:hAnsi="Calibri"/>
          <w:b w:val="false"/>
          <w:bCs w:val="false"/>
          <w:i w:val="false"/>
          <w:iCs w:val="false"/>
          <w:strike w:val="false"/>
          <w:dstrike w:val="false"/>
          <w:color w:val="000000"/>
          <w:sz w:val="22"/>
          <w:szCs w:val="22"/>
          <w:shd w:fill="auto" w:val="clear"/>
          <w:lang w:val="pt-BR" w:eastAsia="en-US"/>
        </w:rPr>
        <w:tab/>
        <w:t>Ação Orçamentária</w:t>
      </w: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 </w:t>
      </w:r>
      <w:r>
        <w:rPr>
          <w:rFonts w:eastAsia="Calibri" w:cs="Arial" w:ascii="Calibri" w:hAnsi="Calibri"/>
          <w:b w:val="false"/>
          <w:bCs w:val="false"/>
          <w:i w:val="false"/>
          <w:iCs w:val="false"/>
          <w:strike w:val="false"/>
          <w:dstrike w:val="false"/>
          <w:color w:val="000000"/>
          <w:sz w:val="22"/>
          <w:szCs w:val="22"/>
          <w:shd w:fill="auto" w:val="clear"/>
          <w:lang w:val="pt-BR" w:eastAsia="en-US"/>
        </w:rPr>
        <w:t>15R4</w:t>
      </w:r>
    </w:p>
    <w:p>
      <w:pPr>
        <w:pStyle w:val="Normal"/>
        <w:suppressAutoHyphens w:val="true"/>
        <w:spacing w:lineRule="auto" w:line="276" w:before="0" w:after="0"/>
        <w:ind w:hanging="0"/>
        <w:jc w:val="both"/>
        <w:rPr>
          <w:shd w:fill="auto" w:val="clear"/>
        </w:rPr>
      </w:pPr>
      <w:r>
        <w:rPr>
          <w:rFonts w:eastAsia="Calibri" w:cs="Arial" w:ascii="Calibri" w:hAnsi="Calibri"/>
          <w:b w:val="false"/>
          <w:bCs w:val="false"/>
          <w:i w:val="false"/>
          <w:iCs w:val="false"/>
          <w:strike w:val="false"/>
          <w:dstrike w:val="false"/>
          <w:color w:val="000000"/>
          <w:sz w:val="22"/>
          <w:szCs w:val="22"/>
          <w:shd w:fill="auto" w:val="clear"/>
          <w:lang w:val="pt-BR" w:eastAsia="en-US"/>
        </w:rPr>
        <w:tab/>
        <w:t>PO: 0000</w:t>
      </w:r>
    </w:p>
    <w:p>
      <w:pPr>
        <w:pStyle w:val="Normal"/>
        <w:suppressAutoHyphens w:val="true"/>
        <w:spacing w:lineRule="auto" w:line="276" w:before="0" w:after="0"/>
        <w:ind w:hanging="0"/>
        <w:jc w:val="both"/>
        <w:rPr>
          <w:shd w:fill="auto" w:val="clear"/>
        </w:rPr>
      </w:pPr>
      <w:r>
        <w:rPr>
          <w:rFonts w:eastAsia="Calibri" w:cs="Arial" w:ascii="Calibri" w:hAnsi="Calibri"/>
          <w:b w:val="false"/>
          <w:bCs w:val="false"/>
          <w:i w:val="false"/>
          <w:iCs w:val="false"/>
          <w:strike w:val="false"/>
          <w:dstrike w:val="false"/>
          <w:color w:val="000000"/>
          <w:sz w:val="22"/>
          <w:szCs w:val="22"/>
          <w:shd w:fill="auto" w:val="clear"/>
          <w:lang w:val="pt-BR" w:eastAsia="en-US"/>
        </w:rPr>
        <w:tab/>
        <w:t>GND: 4</w:t>
      </w:r>
    </w:p>
    <w:p>
      <w:pPr>
        <w:pStyle w:val="Normal"/>
        <w:suppressAutoHyphens w:val="true"/>
        <w:spacing w:lineRule="auto" w:line="276" w:before="0" w:after="0"/>
        <w:ind w:hanging="0"/>
        <w:jc w:val="both"/>
        <w:rPr>
          <w:shd w:fill="auto" w:val="clear"/>
        </w:rPr>
      </w:pPr>
      <w:r>
        <w:rPr>
          <w:rFonts w:eastAsia="Calibri" w:cs="Arial" w:ascii="Calibri" w:hAnsi="Calibri"/>
          <w:b w:val="false"/>
          <w:bCs w:val="false"/>
          <w:i w:val="false"/>
          <w:iCs w:val="false"/>
          <w:strike w:val="false"/>
          <w:dstrike w:val="false"/>
          <w:color w:val="000000"/>
          <w:sz w:val="22"/>
          <w:szCs w:val="22"/>
          <w:shd w:fill="auto" w:val="clear"/>
          <w:lang w:val="pt-BR" w:eastAsia="en-US"/>
        </w:rPr>
        <w:tab/>
        <w:t>Gestor: SETEC</w:t>
      </w:r>
    </w:p>
    <w:p>
      <w:pPr>
        <w:pStyle w:val="Normal"/>
        <w:suppressAutoHyphens w:val="true"/>
        <w:spacing w:lineRule="auto" w:line="276" w:before="0" w:after="120"/>
        <w:ind w:right="-15" w:hanging="0"/>
        <w:jc w:val="both"/>
        <w:rPr>
          <w:rFonts w:ascii="Calibri" w:hAnsi="Calibri"/>
          <w:sz w:val="22"/>
          <w:szCs w:val="22"/>
        </w:rPr>
      </w:pPr>
      <w:r>
        <w:rPr/>
      </w:r>
    </w:p>
    <w:p>
      <w:pPr>
        <w:pStyle w:val="Normal"/>
        <w:suppressAutoHyphens w:val="true"/>
        <w:spacing w:lineRule="auto" w:line="276" w:before="0" w:after="120"/>
        <w:ind w:right="-15" w:hanging="0"/>
        <w:jc w:val="both"/>
        <w:rPr>
          <w:rFonts w:ascii="Calibri" w:hAnsi="Calibri"/>
          <w:sz w:val="22"/>
          <w:szCs w:val="22"/>
        </w:rPr>
      </w:pPr>
      <w:r>
        <w:rPr>
          <w:rFonts w:cs="Arial" w:ascii="Calibri" w:hAnsi="Calibri"/>
          <w:sz w:val="22"/>
          <w:szCs w:val="22"/>
        </w:rPr>
        <w:t xml:space="preserve">Integram este Projeto Básico, para todos os fins e efeitos, os seguintes </w:t>
      </w:r>
      <w:r>
        <w:rPr>
          <w:rFonts w:cs="Arial" w:ascii="Calibri" w:hAnsi="Calibri"/>
          <w:b/>
          <w:sz w:val="22"/>
          <w:szCs w:val="22"/>
        </w:rPr>
        <w:t>Anexos</w:t>
      </w:r>
      <w:r>
        <w:rPr>
          <w:rFonts w:cs="Arial" w:ascii="Calibri" w:hAnsi="Calibri"/>
          <w:sz w:val="22"/>
          <w:szCs w:val="22"/>
        </w:rPr>
        <w:t>:</w:t>
      </w:r>
    </w:p>
    <w:p>
      <w:pPr>
        <w:pStyle w:val="Normal"/>
        <w:numPr>
          <w:ilvl w:val="0"/>
          <w:numId w:val="4"/>
        </w:numPr>
        <w:suppressAutoHyphens w:val="true"/>
        <w:spacing w:lineRule="auto" w:line="276" w:before="0" w:after="0"/>
        <w:ind w:left="1080" w:right="-15" w:hanging="360"/>
        <w:jc w:val="both"/>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 – Estudos Técnicos Preliminares;</w:t>
      </w:r>
    </w:p>
    <w:p>
      <w:pPr>
        <w:pStyle w:val="Normal"/>
        <w:numPr>
          <w:ilvl w:val="0"/>
          <w:numId w:val="4"/>
        </w:numPr>
        <w:suppressAutoHyphens w:val="true"/>
        <w:spacing w:lineRule="auto" w:line="276" w:before="0" w:after="0"/>
        <w:ind w:left="1080" w:right="-15" w:hanging="360"/>
        <w:jc w:val="both"/>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II – Memorial Descritivo e Especificações Técnicas;</w:t>
      </w:r>
    </w:p>
    <w:p>
      <w:pPr>
        <w:pStyle w:val="Normal"/>
        <w:numPr>
          <w:ilvl w:val="0"/>
          <w:numId w:val="4"/>
        </w:numPr>
        <w:suppressAutoHyphens w:val="true"/>
        <w:spacing w:lineRule="auto" w:line="276" w:before="0" w:after="0"/>
        <w:ind w:left="1080" w:right="-15" w:hanging="360"/>
        <w:jc w:val="both"/>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III – Planilha Orçamentária Sintética (Memória de cálculo e Composições Unitárias);</w:t>
      </w:r>
    </w:p>
    <w:p>
      <w:pPr>
        <w:pStyle w:val="Normal"/>
        <w:numPr>
          <w:ilvl w:val="0"/>
          <w:numId w:val="4"/>
        </w:numPr>
        <w:suppressAutoHyphens w:val="true"/>
        <w:spacing w:lineRule="auto" w:line="276" w:before="0" w:after="0"/>
        <w:ind w:left="1080" w:right="-15" w:hanging="360"/>
        <w:jc w:val="both"/>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IV – Planilha de Composição de BDI;</w:t>
      </w:r>
    </w:p>
    <w:p>
      <w:pPr>
        <w:pStyle w:val="Normal"/>
        <w:numPr>
          <w:ilvl w:val="0"/>
          <w:numId w:val="5"/>
        </w:numPr>
        <w:suppressAutoHyphens w:val="true"/>
        <w:spacing w:lineRule="auto" w:line="276" w:before="0" w:after="0"/>
        <w:ind w:left="1080" w:right="-15" w:hanging="360"/>
        <w:jc w:val="both"/>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V – Cronograma físico-financeiro;</w:t>
      </w:r>
    </w:p>
    <w:p>
      <w:pPr>
        <w:pStyle w:val="Normal"/>
        <w:numPr>
          <w:ilvl w:val="0"/>
          <w:numId w:val="5"/>
        </w:numPr>
        <w:suppressAutoHyphens w:val="true"/>
        <w:spacing w:lineRule="auto" w:line="276" w:before="0" w:after="0"/>
        <w:ind w:left="1080" w:right="-15" w:hanging="360"/>
        <w:jc w:val="both"/>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VI – Projetos (Projeto Arquitetônico, Projeto Hidrossanitário, Projeto Estrutural, Projeto Elétrico, Projeto de Cabeamento Estruturado e Projeto de Prevenção e Combate a Incêndio);</w:t>
      </w:r>
    </w:p>
    <w:p>
      <w:pPr>
        <w:pStyle w:val="Normal"/>
        <w:numPr>
          <w:ilvl w:val="0"/>
          <w:numId w:val="5"/>
        </w:numPr>
        <w:suppressAutoHyphens w:val="true"/>
        <w:spacing w:lineRule="auto" w:line="276" w:before="0" w:after="0"/>
        <w:ind w:left="1080" w:right="-15" w:hanging="360"/>
        <w:jc w:val="both"/>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VII – Documentos referentes à responsabilidade técnica (ART/RRT referentes à totalidade das peças técnicas produzidas por profissional habilitado).</w:t>
      </w:r>
    </w:p>
    <w:p>
      <w:pPr>
        <w:pStyle w:val="Normal"/>
        <w:suppressAutoHyphens w:val="true"/>
        <w:spacing w:lineRule="auto" w:line="276" w:before="0" w:after="120"/>
        <w:ind w:hanging="0"/>
        <w:rPr>
          <w:rFonts w:ascii="Calibri" w:hAnsi="Calibri" w:cs="Arial"/>
          <w:color w:val="auto"/>
          <w:sz w:val="22"/>
          <w:szCs w:val="22"/>
          <w:shd w:fill="auto" w:val="clear"/>
          <w:lang w:val="pt-BR" w:eastAsia="zh-CN"/>
        </w:rPr>
      </w:pPr>
      <w:r>
        <w:rPr>
          <w:rFonts w:cs="Arial" w:ascii="Calibri" w:hAnsi="Calibri"/>
          <w:color w:val="000000"/>
          <w:sz w:val="22"/>
          <w:szCs w:val="22"/>
          <w:shd w:fill="auto" w:val="clear"/>
          <w:lang w:val="pt-BR" w:eastAsia="zh-CN"/>
        </w:rPr>
      </w:r>
    </w:p>
    <w:p>
      <w:pPr>
        <w:pStyle w:val="Normal"/>
        <w:suppressAutoHyphens w:val="true"/>
        <w:spacing w:lineRule="auto" w:line="276" w:before="0" w:after="120"/>
        <w:ind w:hanging="0"/>
        <w:rPr>
          <w:rFonts w:ascii="Calibri" w:hAnsi="Calibri" w:cs="Arial"/>
          <w:color w:val="auto"/>
          <w:sz w:val="22"/>
          <w:szCs w:val="22"/>
          <w:shd w:fill="auto" w:val="clear"/>
          <w:lang w:val="pt-BR" w:eastAsia="zh-CN"/>
        </w:rPr>
      </w:pPr>
      <w:r>
        <w:rPr>
          <w:rFonts w:cs="Arial" w:ascii="Calibri" w:hAnsi="Calibri"/>
          <w:bCs/>
          <w:color w:val="000000"/>
          <w:sz w:val="22"/>
          <w:szCs w:val="22"/>
          <w:shd w:fill="auto" w:val="clear"/>
          <w:lang w:val="pt-BR" w:eastAsia="zh-CN"/>
        </w:rPr>
        <w:t>Petrolina</w:t>
      </w:r>
      <w:r>
        <w:rPr>
          <w:rFonts w:cs="Arial" w:ascii="Calibri" w:hAnsi="Calibri"/>
          <w:color w:val="000000"/>
          <w:sz w:val="22"/>
          <w:szCs w:val="22"/>
          <w:shd w:fill="auto" w:val="clear"/>
          <w:lang w:val="pt-BR" w:eastAsia="zh-CN"/>
        </w:rPr>
        <w:t xml:space="preserve">, 30 de maio de </w:t>
      </w:r>
      <w:bookmarkStart w:id="0" w:name="_GoBack"/>
      <w:bookmarkEnd w:id="0"/>
      <w:r>
        <w:rPr>
          <w:rFonts w:cs="Arial" w:ascii="Calibri" w:hAnsi="Calibri"/>
          <w:color w:val="000000"/>
          <w:sz w:val="22"/>
          <w:szCs w:val="22"/>
          <w:shd w:fill="auto" w:val="clear"/>
          <w:lang w:val="pt-BR" w:eastAsia="zh-CN"/>
        </w:rPr>
        <w:t>2022.</w:t>
      </w:r>
    </w:p>
    <w:p>
      <w:pPr>
        <w:pStyle w:val="Normal"/>
        <w:suppressAutoHyphens w:val="true"/>
        <w:spacing w:lineRule="auto" w:line="276" w:before="0" w:after="120"/>
        <w:ind w:left="360" w:hanging="0"/>
        <w:rPr>
          <w:rFonts w:ascii="Calibri" w:hAnsi="Calibri" w:cs="Arial"/>
          <w:sz w:val="22"/>
          <w:szCs w:val="22"/>
        </w:rPr>
      </w:pPr>
      <w:r>
        <w:rPr>
          <w:rFonts w:cs="Arial" w:ascii="Calibri" w:hAnsi="Calibri"/>
          <w:sz w:val="22"/>
          <w:szCs w:val="22"/>
        </w:rPr>
      </w:r>
    </w:p>
    <w:p>
      <w:pPr>
        <w:pStyle w:val="Normal"/>
        <w:suppressAutoHyphens w:val="true"/>
        <w:spacing w:lineRule="auto" w:line="276" w:before="0" w:after="120"/>
        <w:ind w:left="360" w:hanging="0"/>
        <w:rPr>
          <w:rFonts w:ascii="Calibri" w:hAnsi="Calibri" w:cs="Arial"/>
          <w:sz w:val="22"/>
          <w:szCs w:val="22"/>
        </w:rPr>
      </w:pPr>
      <w:r>
        <w:rPr>
          <w:rFonts w:cs="Arial" w:ascii="Calibri" w:hAnsi="Calibri"/>
          <w:sz w:val="22"/>
          <w:szCs w:val="22"/>
        </w:rPr>
      </w:r>
    </w:p>
    <w:p>
      <w:pPr>
        <w:pStyle w:val="Normal"/>
        <w:suppressAutoHyphens w:val="true"/>
        <w:spacing w:lineRule="auto" w:line="276" w:before="0" w:after="120"/>
        <w:ind w:left="360" w:hanging="0"/>
        <w:jc w:val="center"/>
        <w:rPr>
          <w:rFonts w:ascii="Calibri" w:hAnsi="Calibri"/>
          <w:sz w:val="22"/>
          <w:szCs w:val="22"/>
        </w:rPr>
      </w:pPr>
      <w:r>
        <w:rPr>
          <w:rFonts w:cs="Arial" w:ascii="Calibri" w:hAnsi="Calibri"/>
          <w:sz w:val="22"/>
          <w:szCs w:val="22"/>
        </w:rPr>
        <w:t>__________________________________</w:t>
      </w:r>
    </w:p>
    <w:p>
      <w:pPr>
        <w:pStyle w:val="Contedodatabela"/>
        <w:snapToGrid w:val="false"/>
        <w:spacing w:before="0" w:after="0"/>
        <w:jc w:val="center"/>
        <w:rPr>
          <w:rFonts w:ascii="Calibri" w:hAnsi="Calibri" w:eastAsia="Calibri" w:cs="Arial"/>
          <w:b w:val="false"/>
          <w:b w:val="false"/>
          <w:bCs w:val="false"/>
          <w:i/>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Lais Sampaio Machado</w:t>
      </w:r>
    </w:p>
    <w:p>
      <w:pPr>
        <w:pStyle w:val="Contedodatabela"/>
        <w:snapToGrid w:val="false"/>
        <w:spacing w:before="0" w:after="0"/>
        <w:jc w:val="center"/>
        <w:rPr>
          <w:rFonts w:ascii="Calibri" w:hAnsi="Calibri" w:eastAsia="Calibri" w:cs="Arial"/>
          <w:b w:val="false"/>
          <w:b w:val="false"/>
          <w:bCs w:val="false"/>
          <w:i/>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Engenheira Civil</w:t>
      </w:r>
    </w:p>
    <w:p>
      <w:pPr>
        <w:pStyle w:val="Contedodatabela"/>
        <w:suppressAutoHyphens w:val="true"/>
        <w:snapToGrid w:val="false"/>
        <w:spacing w:lineRule="auto" w:line="240" w:before="0" w:after="0"/>
        <w:ind w:hanging="0"/>
        <w:jc w:val="center"/>
        <w:rPr>
          <w:rFonts w:ascii="Calibri" w:hAnsi="Calibri" w:eastAsia="Calibri" w:cs="Arial"/>
          <w:b w:val="false"/>
          <w:b w:val="false"/>
          <w:bCs w:val="false"/>
          <w:i/>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SIAPE 2329263</w:t>
      </w:r>
    </w:p>
    <w:p>
      <w:pPr>
        <w:pStyle w:val="Normal"/>
        <w:suppressAutoHyphens w:val="true"/>
        <w:spacing w:lineRule="auto" w:line="276" w:before="0" w:after="120"/>
        <w:ind w:hanging="0"/>
        <w:rPr>
          <w:rFonts w:ascii="Calibri" w:hAnsi="Calibri"/>
          <w:sz w:val="22"/>
          <w:szCs w:val="22"/>
        </w:rPr>
      </w:pPr>
      <w:r>
        <w:rPr/>
      </w:r>
    </w:p>
    <w:p>
      <w:pPr>
        <w:pStyle w:val="Normal"/>
        <w:suppressAutoHyphens w:val="true"/>
        <w:spacing w:lineRule="auto" w:line="276" w:before="0" w:after="120"/>
        <w:ind w:hanging="0"/>
        <w:rPr>
          <w:rFonts w:ascii="Calibri" w:hAnsi="Calibri"/>
          <w:sz w:val="22"/>
          <w:szCs w:val="22"/>
        </w:rPr>
      </w:pPr>
      <w:r>
        <w:rPr/>
      </w:r>
    </w:p>
    <w:p>
      <w:pPr>
        <w:pStyle w:val="Normal"/>
        <w:suppressAutoHyphens w:val="true"/>
        <w:spacing w:lineRule="auto" w:line="276" w:before="0" w:after="120"/>
        <w:ind w:hanging="0"/>
        <w:rPr>
          <w:rFonts w:ascii="Calibri" w:hAnsi="Calibri"/>
          <w:sz w:val="22"/>
          <w:szCs w:val="22"/>
        </w:rPr>
      </w:pPr>
      <w:r>
        <w:rPr>
          <w:rFonts w:cs="Arial" w:ascii="Calibri" w:hAnsi="Calibri"/>
          <w:b/>
          <w:i w:val="false"/>
          <w:color w:val="000000"/>
          <w:sz w:val="22"/>
          <w:szCs w:val="22"/>
          <w:lang w:val="pt-BR" w:eastAsia="zh-CN"/>
        </w:rPr>
        <w:t>Aprovo:</w:t>
      </w:r>
    </w:p>
    <w:p>
      <w:pPr>
        <w:pStyle w:val="Normal"/>
        <w:jc w:val="both"/>
        <w:rPr>
          <w:rFonts w:ascii="Calibri" w:hAnsi="Calibri" w:cs="Arial"/>
          <w:b w:val="false"/>
          <w:b w:val="false"/>
          <w:i w:val="false"/>
          <w:i w:val="false"/>
          <w:color w:val="000000"/>
          <w:sz w:val="22"/>
          <w:szCs w:val="22"/>
          <w:lang w:val="pt-BR" w:eastAsia="zh-CN"/>
        </w:rPr>
      </w:pPr>
      <w:r>
        <w:rPr>
          <w:rFonts w:cs="Arial" w:ascii="Calibri" w:hAnsi="Calibri"/>
          <w:b w:val="false"/>
          <w:i w:val="false"/>
          <w:color w:val="000000"/>
          <w:sz w:val="22"/>
          <w:szCs w:val="22"/>
          <w:lang w:val="pt-BR" w:eastAsia="zh-CN"/>
        </w:rPr>
        <w:t xml:space="preserve">O Presente Projeto Básico, de acordo com o § 5°, art. 8° da Lei de 12.462/2011, cuja finalidade é subsidiar os licitantes de todas as informações necessárias à </w:t>
      </w:r>
      <w:r>
        <w:rPr>
          <w:rFonts w:cs="Arial" w:ascii="Calibri" w:hAnsi="Calibri"/>
          <w:b/>
          <w:bCs/>
          <w:i w:val="false"/>
          <w:iCs w:val="false"/>
          <w:color w:val="000000"/>
          <w:sz w:val="22"/>
          <w:szCs w:val="22"/>
          <w:u w:val="none"/>
          <w:lang w:val="pt-BR" w:eastAsia="zh-CN"/>
        </w:rPr>
        <w:t>CONSTRUÇÃO DO BLOCO DE ENGENHARIA CIVIL, ADEQUAÇÃO DAS INSTALAÇÕES DE COMBATE A INCÊNDIO E IMPLANTAÇÃO DA ESTAÇÃO DE TRATAMENTO DE ESGOTO NO CAMPUS SALGUEIRO</w:t>
      </w:r>
      <w:r>
        <w:rPr>
          <w:rFonts w:cs="Arial" w:ascii="Calibri" w:hAnsi="Calibri"/>
          <w:b w:val="false"/>
          <w:i w:val="false"/>
          <w:color w:val="000000"/>
          <w:sz w:val="22"/>
          <w:szCs w:val="22"/>
          <w:lang w:val="pt-BR" w:eastAsia="zh-CN"/>
        </w:rPr>
        <w:t xml:space="preserve"> a partir da assinatura do contrato, estando presente os elementos necessários a identificação do objeto, seus custos e todos os critérios para participação de forma clara e objetiva.</w:t>
      </w:r>
    </w:p>
    <w:p>
      <w:pPr>
        <w:pStyle w:val="Normal"/>
        <w:rPr>
          <w:b w:val="false"/>
          <w:b w:val="false"/>
          <w:i w:val="false"/>
          <w:i w:val="false"/>
          <w:color w:val="000000"/>
        </w:rPr>
      </w:pPr>
      <w:r>
        <w:rPr>
          <w:b w:val="false"/>
          <w:i w:val="false"/>
          <w:color w:val="000000"/>
        </w:rPr>
      </w:r>
    </w:p>
    <w:p>
      <w:pPr>
        <w:pStyle w:val="Normal"/>
        <w:rPr>
          <w:b w:val="false"/>
          <w:b w:val="false"/>
          <w:i w:val="false"/>
          <w:i w:val="false"/>
          <w:color w:val="000000"/>
        </w:rPr>
      </w:pPr>
      <w:r>
        <w:rPr>
          <w:b w:val="false"/>
          <w:i w:val="false"/>
          <w:color w:val="000000"/>
        </w:rPr>
      </w:r>
    </w:p>
    <w:p>
      <w:pPr>
        <w:pStyle w:val="Normal"/>
        <w:suppressAutoHyphens w:val="true"/>
        <w:spacing w:lineRule="auto" w:line="276" w:before="0" w:after="120"/>
        <w:ind w:hanging="0"/>
        <w:rPr>
          <w:rFonts w:ascii="Calibri" w:hAnsi="Calibri" w:cs="Arial"/>
          <w:color w:val="auto"/>
          <w:sz w:val="22"/>
          <w:szCs w:val="22"/>
          <w:shd w:fill="auto" w:val="clear"/>
          <w:lang w:val="pt-BR" w:eastAsia="zh-CN"/>
        </w:rPr>
      </w:pPr>
      <w:r>
        <w:rPr>
          <w:rFonts w:cs="Arial" w:ascii="Calibri" w:hAnsi="Calibri"/>
          <w:b w:val="false"/>
          <w:bCs/>
          <w:i w:val="false"/>
          <w:color w:val="000000"/>
          <w:sz w:val="22"/>
          <w:szCs w:val="22"/>
          <w:shd w:fill="auto" w:val="clear"/>
          <w:lang w:val="pt-BR" w:eastAsia="zh-CN"/>
        </w:rPr>
        <w:t>Petrolina</w:t>
      </w:r>
      <w:r>
        <w:rPr>
          <w:rFonts w:cs="Arial" w:ascii="Calibri" w:hAnsi="Calibri"/>
          <w:b w:val="false"/>
          <w:i w:val="false"/>
          <w:color w:val="000000"/>
          <w:sz w:val="22"/>
          <w:szCs w:val="22"/>
          <w:shd w:fill="auto" w:val="clear"/>
          <w:lang w:val="pt-BR" w:eastAsia="zh-CN"/>
        </w:rPr>
        <w:t xml:space="preserve">, 30 de maio de </w:t>
      </w:r>
      <w:bookmarkStart w:id="1" w:name="_GoBack1"/>
      <w:bookmarkEnd w:id="1"/>
      <w:r>
        <w:rPr>
          <w:rFonts w:cs="Arial" w:ascii="Calibri" w:hAnsi="Calibri"/>
          <w:b w:val="false"/>
          <w:i w:val="false"/>
          <w:color w:val="000000"/>
          <w:sz w:val="22"/>
          <w:szCs w:val="22"/>
          <w:shd w:fill="auto" w:val="clear"/>
          <w:lang w:val="pt-BR" w:eastAsia="zh-CN"/>
        </w:rPr>
        <w:t>2022.</w:t>
      </w:r>
    </w:p>
    <w:p>
      <w:pPr>
        <w:pStyle w:val="Normal"/>
        <w:suppressAutoHyphens w:val="true"/>
        <w:spacing w:lineRule="auto" w:line="276" w:before="0" w:after="120"/>
        <w:ind w:hanging="0"/>
        <w:rPr>
          <w:b w:val="false"/>
          <w:b w:val="false"/>
          <w:i w:val="false"/>
          <w:i w:val="false"/>
          <w:color w:val="000000"/>
        </w:rPr>
      </w:pPr>
      <w:r>
        <w:rPr>
          <w:b w:val="false"/>
          <w:i w:val="false"/>
          <w:color w:val="000000"/>
        </w:rPr>
      </w:r>
    </w:p>
    <w:p>
      <w:pPr>
        <w:pStyle w:val="Normal"/>
        <w:suppressAutoHyphens w:val="true"/>
        <w:spacing w:lineRule="auto" w:line="276" w:before="0" w:after="120"/>
        <w:ind w:left="360" w:hanging="0"/>
        <w:rPr>
          <w:b w:val="false"/>
          <w:b w:val="false"/>
          <w:i w:val="false"/>
          <w:i w:val="false"/>
          <w:color w:val="000000"/>
        </w:rPr>
      </w:pPr>
      <w:r>
        <w:rPr>
          <w:b w:val="false"/>
          <w:i w:val="false"/>
          <w:color w:val="000000"/>
        </w:rPr>
      </w:r>
    </w:p>
    <w:p>
      <w:pPr>
        <w:pStyle w:val="Normal"/>
        <w:suppressAutoHyphens w:val="true"/>
        <w:spacing w:lineRule="auto" w:line="276" w:before="0" w:after="120"/>
        <w:ind w:left="360" w:hanging="0"/>
        <w:jc w:val="center"/>
        <w:rPr>
          <w:rFonts w:ascii="Calibri" w:hAnsi="Calibri"/>
          <w:sz w:val="22"/>
          <w:szCs w:val="22"/>
        </w:rPr>
      </w:pPr>
      <w:r>
        <w:rPr>
          <w:rFonts w:cs="Arial" w:ascii="Calibri" w:hAnsi="Calibri"/>
          <w:sz w:val="22"/>
          <w:szCs w:val="22"/>
        </w:rPr>
        <w:t>__________________________________</w:t>
      </w:r>
    </w:p>
    <w:p>
      <w:pPr>
        <w:pStyle w:val="Normal"/>
        <w:suppressAutoHyphens w:val="true"/>
        <w:spacing w:lineRule="auto" w:line="276" w:before="0" w:after="0"/>
        <w:ind w:left="360" w:hanging="0"/>
        <w:jc w:val="center"/>
        <w:rPr>
          <w:rFonts w:ascii="Calibri" w:hAnsi="Calibri" w:cs="Arial"/>
          <w:b w:val="false"/>
          <w:b w:val="false"/>
          <w:bCs w:val="false"/>
          <w:i w:val="false"/>
          <w:i w:val="false"/>
          <w:iCs w:val="false"/>
          <w:sz w:val="22"/>
          <w:szCs w:val="22"/>
          <w:lang w:val="pt-BR" w:eastAsia="zh-CN"/>
        </w:rPr>
      </w:pPr>
      <w:r>
        <w:rPr>
          <w:rFonts w:cs="Arial" w:ascii="Calibri" w:hAnsi="Calibri"/>
          <w:b w:val="false"/>
          <w:bCs w:val="false"/>
          <w:i w:val="false"/>
          <w:iCs w:val="false"/>
          <w:color w:val="000000"/>
          <w:sz w:val="22"/>
          <w:szCs w:val="22"/>
          <w:lang w:val="pt-BR" w:eastAsia="zh-CN"/>
        </w:rPr>
        <w:t>Maria Leopoldina Veras Camelo</w:t>
      </w:r>
    </w:p>
    <w:p>
      <w:pPr>
        <w:pStyle w:val="Normal"/>
        <w:suppressAutoHyphens w:val="true"/>
        <w:spacing w:lineRule="auto" w:line="276" w:before="0" w:after="0"/>
        <w:ind w:left="360" w:hanging="0"/>
        <w:jc w:val="center"/>
        <w:rPr>
          <w:rFonts w:ascii="Calibri" w:hAnsi="Calibri" w:cs="Arial"/>
          <w:b w:val="false"/>
          <w:b w:val="false"/>
          <w:bCs w:val="false"/>
          <w:i w:val="false"/>
          <w:i w:val="false"/>
          <w:iCs w:val="false"/>
          <w:sz w:val="22"/>
          <w:szCs w:val="22"/>
          <w:lang w:val="pt-BR" w:eastAsia="zh-CN"/>
        </w:rPr>
      </w:pPr>
      <w:r>
        <w:rPr>
          <w:rFonts w:cs="Arial" w:ascii="Calibri" w:hAnsi="Calibri"/>
          <w:b w:val="false"/>
          <w:bCs w:val="false"/>
          <w:i w:val="false"/>
          <w:iCs w:val="false"/>
          <w:color w:val="000000"/>
          <w:sz w:val="22"/>
          <w:szCs w:val="22"/>
          <w:lang w:val="pt-BR" w:eastAsia="zh-CN"/>
        </w:rPr>
        <w:t>Reitora</w:t>
      </w:r>
    </w:p>
    <w:p>
      <w:pPr>
        <w:pStyle w:val="Normal"/>
        <w:suppressAutoHyphens w:val="true"/>
        <w:spacing w:lineRule="auto" w:line="276" w:before="0" w:after="0"/>
        <w:ind w:left="360" w:hanging="0"/>
        <w:jc w:val="center"/>
        <w:rPr>
          <w:rFonts w:ascii="Calibri" w:hAnsi="Calibri" w:cs="Arial"/>
          <w:b w:val="false"/>
          <w:b w:val="false"/>
          <w:bCs w:val="false"/>
          <w:sz w:val="22"/>
          <w:szCs w:val="22"/>
          <w:lang w:val="pt-BR" w:eastAsia="zh-CN"/>
        </w:rPr>
      </w:pPr>
      <w:r>
        <w:rPr>
          <w:rFonts w:cs="Arial" w:ascii="Calibri" w:hAnsi="Calibri"/>
          <w:b w:val="false"/>
          <w:bCs w:val="false"/>
          <w:i w:val="false"/>
          <w:iCs w:val="false"/>
          <w:color w:val="000000"/>
          <w:sz w:val="22"/>
          <w:szCs w:val="22"/>
          <w:lang w:val="pt-BR" w:eastAsia="zh-CN"/>
        </w:rPr>
        <w:t>IFSertãoPE</w:t>
      </w:r>
    </w:p>
    <w:sectPr>
      <w:headerReference w:type="default" r:id="rId2"/>
      <w:footerReference w:type="default" r:id="rId3"/>
      <w:type w:val="nextPage"/>
      <w:pgSz w:w="11906" w:h="16838"/>
      <w:pgMar w:left="1694" w:right="1656" w:header="1418" w:top="3671" w:footer="1026"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Light">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sz w:val="15"/>
        <w:szCs w:val="15"/>
      </w:rPr>
    </w:pPr>
    <w:r>
      <w:rPr>
        <w:sz w:val="15"/>
      </w:rPr>
      <w:fldChar w:fldCharType="begin"/>
    </w:r>
    <w:r>
      <w:rPr>
        <w:sz w:val="15"/>
      </w:rPr>
      <w:instrText> PAGE </w:instrText>
    </w:r>
    <w:r>
      <w:rPr>
        <w:sz w:val="15"/>
      </w:rPr>
      <w:fldChar w:fldCharType="separate"/>
    </w:r>
    <w:r>
      <w:rPr>
        <w:sz w:val="15"/>
      </w:rPr>
      <w:t>33</w:t>
    </w:r>
    <w:r>
      <w:rPr>
        <w:sz w:val="15"/>
      </w:rPr>
      <w:fldChar w:fldCharType="end"/>
    </w:r>
  </w:p>
  <w:p>
    <w:pPr>
      <w:pStyle w:val="Rodap"/>
      <w:rPr>
        <w:rFonts w:ascii="Calibri" w:hAnsi="Calibri"/>
      </w:rPr>
    </w:pPr>
    <w:r>
      <w:rPr>
        <w:rFonts w:ascii="Calibri" w:hAnsi="Calibri"/>
        <w:sz w:val="15"/>
        <w:szCs w:val="15"/>
      </w:rPr>
      <w:t>________________________________________________________________________________________________________</w:t>
    </w:r>
  </w:p>
  <w:p>
    <w:pPr>
      <w:pStyle w:val="Rodap"/>
      <w:rPr>
        <w:rFonts w:ascii="Calibri" w:hAnsi="Calibri"/>
      </w:rPr>
    </w:pPr>
    <w:r>
      <w:rPr>
        <w:rFonts w:ascii="Calibri" w:hAnsi="Calibri"/>
        <w:sz w:val="15"/>
        <w:szCs w:val="15"/>
      </w:rPr>
      <w:t>Câmara Nacional de Modelos de Licitações e Contratos da Consultoria-Geral da União</w:t>
    </w:r>
  </w:p>
  <w:p>
    <w:pPr>
      <w:pStyle w:val="Rodap"/>
      <w:rPr>
        <w:rFonts w:ascii="Calibri" w:hAnsi="Calibri"/>
      </w:rPr>
    </w:pPr>
    <w:r>
      <w:rPr>
        <w:rFonts w:ascii="Calibri" w:hAnsi="Calibri"/>
        <w:sz w:val="15"/>
        <w:szCs w:val="15"/>
      </w:rPr>
      <w:t xml:space="preserve">Modelo de Projeto Básico – Obra - Regime Diferenciado de Contratações (RDC) </w:t>
    </w:r>
  </w:p>
  <w:p>
    <w:pPr>
      <w:pStyle w:val="Rodap"/>
      <w:rPr>
        <w:rFonts w:ascii="Calibri" w:hAnsi="Calibri"/>
      </w:rPr>
    </w:pPr>
    <w:r>
      <w:rPr>
        <w:rFonts w:ascii="Calibri" w:hAnsi="Calibri"/>
        <w:sz w:val="15"/>
        <w:szCs w:val="15"/>
      </w:rPr>
      <w:t>Atualização: Outubro/2020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0" allowOverlap="1" relativeHeight="34">
          <wp:simplePos x="0" y="0"/>
          <wp:positionH relativeFrom="column">
            <wp:posOffset>2410460</wp:posOffset>
          </wp:positionH>
          <wp:positionV relativeFrom="paragraph">
            <wp:posOffset>-138430</wp:posOffset>
          </wp:positionV>
          <wp:extent cx="543560" cy="57594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543560" cy="575945"/>
                  </a:xfrm>
                  <a:prstGeom prst="rect">
                    <a:avLst/>
                  </a:prstGeom>
                </pic:spPr>
              </pic:pic>
            </a:graphicData>
          </a:graphic>
        </wp:anchor>
      </w:drawing>
      <w:drawing>
        <wp:anchor behindDoc="1" distT="0" distB="0" distL="0" distR="0" simplePos="0" locked="0" layoutInCell="0" allowOverlap="1" relativeHeight="67">
          <wp:simplePos x="0" y="0"/>
          <wp:positionH relativeFrom="column">
            <wp:posOffset>24130</wp:posOffset>
          </wp:positionH>
          <wp:positionV relativeFrom="paragraph">
            <wp:posOffset>-95885</wp:posOffset>
          </wp:positionV>
          <wp:extent cx="1440180" cy="374650"/>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tretch>
                    <a:fillRect/>
                  </a:stretch>
                </pic:blipFill>
                <pic:spPr bwMode="auto">
                  <a:xfrm>
                    <a:off x="0" y="0"/>
                    <a:ext cx="1440180" cy="374650"/>
                  </a:xfrm>
                  <a:prstGeom prst="rect">
                    <a:avLst/>
                  </a:prstGeom>
                </pic:spPr>
              </pic:pic>
            </a:graphicData>
          </a:graphic>
        </wp:anchor>
      </w:drawing>
    </w:r>
  </w:p>
  <w:p>
    <w:pPr>
      <w:pStyle w:val="Cabealho"/>
      <w:rPr>
        <w:rFonts w:ascii="Calibri" w:hAnsi="Calibri"/>
      </w:rPr>
    </w:pPr>
    <w:r>
      <w:rPr>
        <w:rFonts w:ascii="Calibri" w:hAnsi="Calibri"/>
      </w:rPr>
    </w:r>
  </w:p>
  <w:p>
    <w:pPr>
      <w:pStyle w:val="Cabealho"/>
      <w:rPr>
        <w:rFonts w:ascii="Calibri" w:hAnsi="Calibri"/>
      </w:rPr>
    </w:pPr>
    <w:r>
      <w:rPr>
        <w:rFonts w:ascii="Calibri" w:hAnsi="Calibri"/>
      </w:rPr>
    </w:r>
  </w:p>
  <w:p>
    <w:pPr>
      <w:pStyle w:val="Normal"/>
      <w:spacing w:before="0" w:after="0"/>
      <w:jc w:val="center"/>
      <w:rPr>
        <w:rFonts w:ascii="Calibri" w:hAnsi="Calibri"/>
      </w:rPr>
    </w:pPr>
    <w:r>
      <w:rPr>
        <w:rFonts w:eastAsia="Calibri" w:cs="Arial" w:ascii="Calibri" w:hAnsi="Calibri"/>
        <w:b/>
        <w:sz w:val="17"/>
      </w:rPr>
      <w:t>MINISTÉRIO DA EDUCAÇÃO</w:t>
    </w:r>
  </w:p>
  <w:p>
    <w:pPr>
      <w:pStyle w:val="Normal"/>
      <w:spacing w:before="0" w:after="0"/>
      <w:jc w:val="center"/>
      <w:rPr>
        <w:rFonts w:ascii="Calibri" w:hAnsi="Calibri"/>
      </w:rPr>
    </w:pPr>
    <w:r>
      <w:rPr>
        <w:rFonts w:eastAsia="Calibri" w:cs="Arial" w:ascii="Calibri" w:hAnsi="Calibri"/>
        <w:sz w:val="17"/>
      </w:rPr>
      <w:t>SECRETARIA DE EDUCAÇÃO PROFISSIONAL E TECNOLÓGICA</w:t>
    </w:r>
  </w:p>
  <w:p>
    <w:pPr>
      <w:pStyle w:val="Normal"/>
      <w:spacing w:before="0" w:after="0"/>
      <w:jc w:val="center"/>
      <w:rPr>
        <w:rFonts w:ascii="Calibri" w:hAnsi="Calibri"/>
      </w:rPr>
    </w:pPr>
    <w:r>
      <w:rPr>
        <w:rFonts w:eastAsia="Calibri" w:cs="Arial" w:ascii="Calibri" w:hAnsi="Calibri"/>
        <w:sz w:val="17"/>
      </w:rPr>
      <w:t>INSTITUTO FEDERAL DE EDUCAÇÃO, CIÊNCIA E TECNOLOGIA SERTÃO PERNAMBUCANO</w:t>
    </w:r>
  </w:p>
  <w:p>
    <w:pPr>
      <w:pStyle w:val="Normal"/>
      <w:spacing w:before="0" w:after="0"/>
      <w:jc w:val="center"/>
      <w:rPr>
        <w:rFonts w:ascii="Calibri" w:hAnsi="Calibri"/>
      </w:rPr>
    </w:pPr>
    <w:r>
      <w:rPr>
        <w:rFonts w:eastAsia="Calibri" w:cs="Arial" w:ascii="Calibri" w:hAnsi="Calibri"/>
        <w:sz w:val="17"/>
      </w:rPr>
      <w:t>REITORIA – DIRETORIA DE ENGENHARIA E INFRAESTRUTURA</w:t>
    </w:r>
  </w:p>
  <w:p>
    <w:pPr>
      <w:pStyle w:val="Normal"/>
      <w:spacing w:before="0" w:after="0"/>
      <w:jc w:val="center"/>
      <w:rPr>
        <w:rFonts w:eastAsia="Calibri" w:cs="Arial"/>
        <w:sz w:val="17"/>
      </w:rPr>
    </w:pPr>
    <w:r>
      <w:rPr>
        <w:rFonts w:eastAsia="Calibri" w:cs="Arial"/>
        <w:sz w:val="17"/>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
      <w:numFmt w:val="decimal"/>
      <w:lvlText w:val="%1."/>
      <w:lvlJc w:val="left"/>
      <w:pPr>
        <w:tabs>
          <w:tab w:val="num" w:pos="0"/>
        </w:tabs>
        <w:ind w:left="360" w:hanging="360"/>
      </w:pPr>
      <w:rPr>
        <w:sz w:val="20"/>
        <w:b/>
        <w:szCs w:val="20"/>
        <w:bCs/>
        <w:rFonts w:ascii="Calibri" w:hAnsi="Calibri"/>
      </w:rPr>
    </w:lvl>
    <w:lvl w:ilvl="1">
      <w:start w:val="1"/>
      <w:numFmt w:val="decimal"/>
      <w:lvlText w:val="%1.%2."/>
      <w:lvlJc w:val="left"/>
      <w:pPr>
        <w:tabs>
          <w:tab w:val="num" w:pos="0"/>
        </w:tabs>
        <w:ind w:left="432" w:hanging="432"/>
      </w:pPr>
      <w:rPr>
        <w:sz w:val="20"/>
        <w:i w:val="false"/>
        <w:b w:val="false"/>
        <w:szCs w:val="20"/>
        <w:rFonts w:ascii="Calibri" w:hAnsi="Calibri"/>
        <w:color w:val="auto"/>
      </w:rPr>
    </w:lvl>
    <w:lvl w:ilvl="2">
      <w:start w:val="1"/>
      <w:numFmt w:val="decimal"/>
      <w:lvlText w:val="%1.%2.%3."/>
      <w:lvlJc w:val="left"/>
      <w:pPr>
        <w:tabs>
          <w:tab w:val="num" w:pos="0"/>
        </w:tabs>
        <w:ind w:left="1224" w:hanging="504"/>
      </w:pPr>
      <w:rPr>
        <w:sz w:val="20"/>
        <w:b w:val="false"/>
        <w:szCs w:val="20"/>
        <w:rFonts w:ascii="Calibri" w:hAnsi="Calibri"/>
        <w:color w:val="auto"/>
      </w:rPr>
    </w:lvl>
    <w:lvl w:ilvl="3">
      <w:start w:val="1"/>
      <w:numFmt w:val="decimal"/>
      <w:lvlText w:val="%1.%2.%3.%4."/>
      <w:lvlJc w:val="left"/>
      <w:pPr>
        <w:tabs>
          <w:tab w:val="num" w:pos="0"/>
        </w:tabs>
        <w:ind w:left="1728" w:hanging="648"/>
      </w:pPr>
      <w:rPr>
        <w:sz w:val="20"/>
        <w:szCs w:val="20"/>
        <w:rFonts w:ascii="Calibri" w:hAnsi="Calibri"/>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720" w:hanging="360"/>
      </w:pPr>
      <w:rPr>
        <w:sz w:val="20"/>
        <w:b/>
        <w:szCs w:val="20"/>
        <w:bCs/>
        <w:rFonts w:ascii="Arial" w:hAnsi="Arial"/>
      </w:rPr>
    </w:lvl>
    <w:lvl w:ilvl="1">
      <w:start w:val="1"/>
      <w:numFmt w:val="decimal"/>
      <w:lvlText w:val="%1.%2."/>
      <w:lvlJc w:val="left"/>
      <w:pPr>
        <w:tabs>
          <w:tab w:val="num" w:pos="0"/>
        </w:tabs>
        <w:ind w:left="1080" w:hanging="720"/>
      </w:pPr>
      <w:rPr>
        <w:sz w:val="20"/>
        <w:b w:val="false"/>
        <w:szCs w:val="20"/>
        <w:rFonts w:ascii="Arial" w:hAnsi="Arial"/>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decimal"/>
      <w:lvlText w:val="%1."/>
      <w:lvlJc w:val="left"/>
      <w:pPr>
        <w:tabs>
          <w:tab w:val="num" w:pos="0"/>
        </w:tabs>
        <w:ind w:left="502" w:hanging="360"/>
      </w:pPr>
      <w:rPr>
        <w:dstrike w:val="false"/>
        <w:strike w:val="false"/>
        <w:i w:val="false"/>
        <w:u w:val="none"/>
        <w:b/>
        <w:effect w:val="none"/>
      </w:rPr>
    </w:lvl>
    <w:lvl w:ilvl="1">
      <w:start w:val="1"/>
      <w:numFmt w:val="decimal"/>
      <w:lvlText w:val="%1.%2."/>
      <w:lvlJc w:val="left"/>
      <w:pPr>
        <w:tabs>
          <w:tab w:val="num" w:pos="0"/>
        </w:tabs>
        <w:ind w:left="858" w:hanging="432"/>
      </w:pPr>
      <w:rPr>
        <w:dstrike w:val="false"/>
        <w:strike w:val="false"/>
        <w:u w:val="none"/>
        <w:b w:val="false"/>
        <w:effect w:val="none"/>
      </w:rPr>
    </w:lvl>
    <w:lvl w:ilvl="2">
      <w:start w:val="1"/>
      <w:numFmt w:val="decimal"/>
      <w:lvlText w:val="%1.%2.%3."/>
      <w:lvlJc w:val="left"/>
      <w:pPr>
        <w:tabs>
          <w:tab w:val="num" w:pos="0"/>
        </w:tabs>
        <w:ind w:left="1224" w:hanging="504"/>
      </w:pPr>
      <w:rPr>
        <w:dstrike w:val="false"/>
        <w:strike w:val="false"/>
        <w:i w:val="false"/>
        <w:u w:val="none"/>
        <w:effect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mirrorMargins/>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66fce"/>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zh-CN" w:bidi="ar-SA"/>
    </w:rPr>
  </w:style>
  <w:style w:type="paragraph" w:styleId="Ttulo1">
    <w:name w:val="Heading 1"/>
    <w:basedOn w:val="Normal"/>
    <w:next w:val="Normal"/>
    <w:link w:val="Ttulo1Char"/>
    <w:uiPriority w:val="9"/>
    <w:qFormat/>
    <w:rsid w:val="005c354c"/>
    <w:pPr>
      <w:keepNext w:val="true"/>
      <w:keepLines/>
      <w:spacing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Ttulo2">
    <w:name w:val="Heading 2"/>
    <w:basedOn w:val="Normal"/>
    <w:next w:val="Normal"/>
    <w:qFormat/>
    <w:pPr>
      <w:keepNext w:val="true"/>
      <w:numPr>
        <w:ilvl w:val="1"/>
        <w:numId w:val="1"/>
      </w:numPr>
      <w:tabs>
        <w:tab w:val="clear" w:pos="709"/>
        <w:tab w:val="left" w:pos="1701" w:leader="none"/>
      </w:tabs>
      <w:ind w:left="0" w:right="-1" w:hanging="0"/>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672b4"/>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character" w:styleId="DefaultParagraphFont" w:default="1">
    <w:name w:val="Default Paragraph Font"/>
    <w:uiPriority w:val="1"/>
    <w:semiHidden/>
    <w:unhideWhenUsed/>
    <w:qFormat/>
    <w:rPr/>
  </w:style>
  <w:style w:type="character" w:styleId="WW8Num3z0" w:customStyle="1">
    <w:name w:val="WW8Num3z0"/>
    <w:qFormat/>
    <w:rPr>
      <w:sz w:val="20"/>
      <w:szCs w:val="20"/>
    </w:rPr>
  </w:style>
  <w:style w:type="character" w:styleId="WW8Num3z1" w:customStyle="1">
    <w:name w:val="WW8Num3z1"/>
    <w:qFormat/>
    <w:rPr>
      <w:color w:val="auto"/>
    </w:rPr>
  </w:style>
  <w:style w:type="character" w:styleId="WW8Num4z0" w:customStyle="1">
    <w:name w:val="WW8Num4z0"/>
    <w:qFormat/>
    <w:rPr>
      <w:sz w:val="20"/>
      <w:szCs w:val="20"/>
    </w:rPr>
  </w:style>
  <w:style w:type="character" w:styleId="WW8Num4z1" w:customStyle="1">
    <w:name w:val="WW8Num4z1"/>
    <w:qFormat/>
    <w:rPr>
      <w:color w:val="auto"/>
    </w:rPr>
  </w:style>
  <w:style w:type="character" w:styleId="AbsatzStandardschriftart" w:customStyle="1">
    <w:name w:val="Absatz-Standardschriftart"/>
    <w:qFormat/>
    <w:rPr/>
  </w:style>
  <w:style w:type="character" w:styleId="WW8Num6z1" w:customStyle="1">
    <w:name w:val="WW8Num6z1"/>
    <w:qFormat/>
    <w:rPr>
      <w:i w:val="false"/>
    </w:rPr>
  </w:style>
  <w:style w:type="character" w:styleId="WW8Num7z0" w:customStyle="1">
    <w:name w:val="WW8Num7z0"/>
    <w:qFormat/>
    <w:rPr>
      <w:rFonts w:eastAsia="Arial Unicode MS"/>
    </w:rPr>
  </w:style>
  <w:style w:type="character" w:styleId="WW8Num7z1" w:customStyle="1">
    <w:name w:val="WW8Num7z1"/>
    <w:qFormat/>
    <w:rPr>
      <w:rFonts w:cs="Times New Roman"/>
      <w:b w:val="false"/>
      <w:i/>
      <w:color w:val="FF0000"/>
    </w:rPr>
  </w:style>
  <w:style w:type="character" w:styleId="Fontepargpadro2" w:customStyle="1">
    <w:name w:val="Fonte parág. padrão2"/>
    <w:qFormat/>
    <w:rPr/>
  </w:style>
  <w:style w:type="character" w:styleId="WW8Num2z1" w:customStyle="1">
    <w:name w:val="WW8Num2z1"/>
    <w:qFormat/>
    <w:rPr>
      <w:i w:val="false"/>
    </w:rPr>
  </w:style>
  <w:style w:type="character" w:styleId="WW8Num5z1" w:customStyle="1">
    <w:name w:val="WW8Num5z1"/>
    <w:qFormat/>
    <w:rPr>
      <w:i w:val="false"/>
    </w:rPr>
  </w:style>
  <w:style w:type="character" w:styleId="WWAbsatzStandardschriftart" w:customStyle="1">
    <w:name w:val="WW-Absatz-Standardschriftart"/>
    <w:qFormat/>
    <w:rPr/>
  </w:style>
  <w:style w:type="character" w:styleId="WW8Num1z0" w:customStyle="1">
    <w:name w:val="WW8Num1z0"/>
    <w:qFormat/>
    <w:rPr>
      <w:rFonts w:ascii="Symbol" w:hAnsi="Symbol" w:cs="Symbol"/>
    </w:rPr>
  </w:style>
  <w:style w:type="character" w:styleId="WW8Num1z2" w:customStyle="1">
    <w:name w:val="WW8Num1z2"/>
    <w:qFormat/>
    <w:rPr>
      <w:rFonts w:ascii="Courier New" w:hAnsi="Courier New" w:cs="Courier New"/>
    </w:rPr>
  </w:style>
  <w:style w:type="character" w:styleId="WW8Num1z3" w:customStyle="1">
    <w:name w:val="WW8Num1z3"/>
    <w:qFormat/>
    <w:rPr>
      <w:rFonts w:ascii="Wingdings" w:hAnsi="Wingdings" w:cs="Wingdings"/>
    </w:rPr>
  </w:style>
  <w:style w:type="character" w:styleId="WW8Num5z0" w:customStyle="1">
    <w:name w:val="WW8Num5z0"/>
    <w:qFormat/>
    <w:rPr>
      <w:b/>
      <w:i w:val="false"/>
    </w:rPr>
  </w:style>
  <w:style w:type="character" w:styleId="WW8Num8z1" w:customStyle="1">
    <w:name w:val="WW8Num8z1"/>
    <w:qFormat/>
    <w:rPr>
      <w:i w:val="false"/>
    </w:rPr>
  </w:style>
  <w:style w:type="character" w:styleId="WW8Num11z0" w:customStyle="1">
    <w:name w:val="WW8Num11z0"/>
    <w:qFormat/>
    <w:rPr>
      <w:rFonts w:cs="Tahoma"/>
    </w:rPr>
  </w:style>
  <w:style w:type="character" w:styleId="WW8Num12z1" w:customStyle="1">
    <w:name w:val="WW8Num12z1"/>
    <w:qFormat/>
    <w:rPr>
      <w:color w:val="auto"/>
    </w:rPr>
  </w:style>
  <w:style w:type="character" w:styleId="WW8Num13z0" w:customStyle="1">
    <w:name w:val="WW8Num13z0"/>
    <w:qFormat/>
    <w:rPr>
      <w:b/>
      <w:i w:val="false"/>
    </w:rPr>
  </w:style>
  <w:style w:type="character" w:styleId="WW8Num13z1" w:customStyle="1">
    <w:name w:val="WW8Num13z1"/>
    <w:qFormat/>
    <w:rPr>
      <w:b/>
      <w:i w:val="false"/>
      <w:color w:val="auto"/>
    </w:rPr>
  </w:style>
  <w:style w:type="character" w:styleId="WW8Num15z0" w:customStyle="1">
    <w:name w:val="WW8Num15z0"/>
    <w:qFormat/>
    <w:rPr>
      <w:color w:val="0000FF"/>
    </w:rPr>
  </w:style>
  <w:style w:type="character" w:styleId="WW8Num16z0" w:customStyle="1">
    <w:name w:val="WW8Num16z0"/>
    <w:qFormat/>
    <w:rPr>
      <w:b w:val="false"/>
    </w:rPr>
  </w:style>
  <w:style w:type="character" w:styleId="WW8Num18z0" w:customStyle="1">
    <w:name w:val="WW8Num18z0"/>
    <w:qFormat/>
    <w:rPr>
      <w:rFonts w:ascii="Ecofont_Spranq_eco_Sans" w:hAnsi="Ecofont_Spranq_eco_Sans" w:cs="Arial"/>
      <w:i/>
      <w:color w:val="FF0000"/>
    </w:rPr>
  </w:style>
  <w:style w:type="character" w:styleId="WW8Num20z0" w:customStyle="1">
    <w:name w:val="WW8Num20z0"/>
    <w:qFormat/>
    <w:rPr>
      <w:rFonts w:cs="Tahoma"/>
    </w:rPr>
  </w:style>
  <w:style w:type="character" w:styleId="WW8Num21z0" w:customStyle="1">
    <w:name w:val="WW8Num21z0"/>
    <w:qFormat/>
    <w:rPr>
      <w:b w:val="false"/>
    </w:rPr>
  </w:style>
  <w:style w:type="character" w:styleId="WW8Num24z0" w:customStyle="1">
    <w:name w:val="WW8Num24z0"/>
    <w:qFormat/>
    <w:rPr>
      <w:b/>
      <w:i w:val="false"/>
    </w:rPr>
  </w:style>
  <w:style w:type="character" w:styleId="WW8Num24z1" w:customStyle="1">
    <w:name w:val="WW8Num24z1"/>
    <w:qFormat/>
    <w:rPr>
      <w:b/>
      <w:i w:val="false"/>
      <w:color w:val="auto"/>
    </w:rPr>
  </w:style>
  <w:style w:type="character" w:styleId="Fontepargpadro1" w:customStyle="1">
    <w:name w:val="Fonte parág. padrão1"/>
    <w:qFormat/>
    <w:rPr/>
  </w:style>
  <w:style w:type="character" w:styleId="TextodebaloChar" w:customStyle="1">
    <w:name w:val="Texto de balão Char"/>
    <w:qFormat/>
    <w:rPr>
      <w:rFonts w:ascii="Tahoma" w:hAnsi="Tahoma" w:cs="Tahoma"/>
      <w:sz w:val="16"/>
      <w:szCs w:val="16"/>
    </w:rPr>
  </w:style>
  <w:style w:type="character" w:styleId="Ttulo2Char" w:customStyle="1">
    <w:name w:val="Título 2 Char"/>
    <w:qFormat/>
    <w:rPr>
      <w:b/>
      <w:color w:val="000000"/>
      <w:sz w:val="24"/>
    </w:rPr>
  </w:style>
  <w:style w:type="character" w:styleId="Normalchar1" w:customStyle="1">
    <w:name w:val="normal__char1"/>
    <w:qFormat/>
    <w:rPr>
      <w:rFonts w:ascii="Arial" w:hAnsi="Arial" w:cs="Arial"/>
      <w:strike w:val="false"/>
      <w:dstrike w:val="false"/>
      <w:sz w:val="24"/>
      <w:szCs w:val="24"/>
      <w:u w:val="none"/>
    </w:rPr>
  </w:style>
  <w:style w:type="character" w:styleId="Applestylespan" w:customStyle="1">
    <w:name w:val="apple-style-span"/>
    <w:basedOn w:val="Fontepargpadro1"/>
    <w:qFormat/>
    <w:rPr/>
  </w:style>
  <w:style w:type="character" w:styleId="LinkdaInternet">
    <w:name w:val="Link da Internet"/>
    <w:rPr>
      <w:color w:val="000080"/>
      <w:u w:val="single"/>
    </w:rPr>
  </w:style>
  <w:style w:type="character" w:styleId="Strong">
    <w:name w:val="Strong"/>
    <w:uiPriority w:val="22"/>
    <w:qFormat/>
    <w:rPr>
      <w:b/>
      <w:bCs/>
    </w:rPr>
  </w:style>
  <w:style w:type="character" w:styleId="Nfase">
    <w:name w:val="Ênfase"/>
    <w:uiPriority w:val="20"/>
    <w:qFormat/>
    <w:rPr>
      <w:i/>
      <w:iCs/>
    </w:rPr>
  </w:style>
  <w:style w:type="character" w:styleId="Citao2Char" w:customStyle="1">
    <w:name w:val="citação 2 Char"/>
    <w:qFormat/>
    <w:rPr>
      <w:rFonts w:ascii="Ecofont_Spranq_eco_Sans" w:hAnsi="Ecofont_Spranq_eco_Sans" w:eastAsia="Calibri" w:cs="Tahoma"/>
      <w:i/>
      <w:iCs/>
      <w:color w:val="000000"/>
      <w:lang w:val="pt-BR" w:bidi="ar-SA"/>
    </w:rPr>
  </w:style>
  <w:style w:type="character" w:styleId="CorpodetextoChar" w:customStyle="1">
    <w:name w:val="Corpo de texto Char"/>
    <w:qFormat/>
    <w:rPr>
      <w:sz w:val="24"/>
      <w:lang w:val="pt-BR" w:bidi="ar-SA"/>
    </w:rPr>
  </w:style>
  <w:style w:type="character" w:styleId="FootnoteCharacters" w:customStyle="1">
    <w:name w:val="Footnote Characters"/>
    <w:qFormat/>
    <w:rPr>
      <w:color w:val="FF0000"/>
      <w:vertAlign w:val="superscript"/>
    </w:rPr>
  </w:style>
  <w:style w:type="character" w:styleId="Appleconvertedspace" w:customStyle="1">
    <w:name w:val="apple-converted-space"/>
    <w:basedOn w:val="Fontepargpadro1"/>
    <w:qFormat/>
    <w:rPr/>
  </w:style>
  <w:style w:type="character" w:styleId="SombreamentoMdio1nfase3Char" w:customStyle="1">
    <w:name w:val="Sombreamento Médio 1 - Ênfase 3 Char"/>
    <w:qFormat/>
    <w:rPr>
      <w:rFonts w:ascii="Ecofont_Spranq_eco_Sans" w:hAnsi="Ecofont_Spranq_eco_Sans" w:eastAsia="Calibri" w:cs="Tahoma"/>
      <w:i/>
      <w:iCs/>
      <w:color w:val="000000"/>
      <w:szCs w:val="24"/>
      <w:lang w:val="pt-BR" w:bidi="ar-SA"/>
    </w:rPr>
  </w:style>
  <w:style w:type="character" w:styleId="TextodecomentrioChar" w:customStyle="1">
    <w:name w:val="Texto de comentário Char"/>
    <w:link w:val="Textodecomentrio"/>
    <w:uiPriority w:val="99"/>
    <w:qFormat/>
    <w:rPr>
      <w:rFonts w:ascii="Ecofont_Spranq_eco_Sans" w:hAnsi="Ecofont_Spranq_eco_Sans" w:cs="Tahoma"/>
    </w:rPr>
  </w:style>
  <w:style w:type="character" w:styleId="MediumGrid2Accent2Char" w:customStyle="1">
    <w:name w:val="Medium Grid 2 - Accent 2 Char"/>
    <w:link w:val="GradeMdia2-nfase21"/>
    <w:qFormat/>
    <w:rPr>
      <w:rFonts w:ascii="Ecofont_Spranq_eco_Sans" w:hAnsi="Ecofont_Spranq_eco_Sans" w:eastAsia="Calibri" w:cs="Ecofont_Spranq_eco_Sans"/>
      <w:i/>
      <w:iCs/>
      <w:color w:val="000000"/>
      <w:szCs w:val="24"/>
      <w:shd w:fill="FFFFCC" w:val="clear"/>
      <w:lang w:val="x-none"/>
    </w:rPr>
  </w:style>
  <w:style w:type="character" w:styleId="Refdecomentrio1" w:customStyle="1">
    <w:name w:val="Ref. de comentário1"/>
    <w:qFormat/>
    <w:rPr>
      <w:sz w:val="16"/>
      <w:szCs w:val="16"/>
    </w:rPr>
  </w:style>
  <w:style w:type="character" w:styleId="AssuntodocomentrioChar" w:customStyle="1">
    <w:name w:val="Assunto do comentário Char"/>
    <w:qFormat/>
    <w:rPr>
      <w:rFonts w:ascii="Ecofont_Spranq_eco_Sans" w:hAnsi="Ecofont_Spranq_eco_Sans" w:cs="Tahoma"/>
      <w:b/>
      <w:bCs/>
    </w:rPr>
  </w:style>
  <w:style w:type="character" w:styleId="Bullets" w:customStyle="1">
    <w:name w:val="Bullets"/>
    <w:qFormat/>
    <w:rPr>
      <w:rFonts w:ascii="OpenSymbol" w:hAnsi="OpenSymbol" w:eastAsia="OpenSymbol" w:cs="OpenSymbol"/>
    </w:rPr>
  </w:style>
  <w:style w:type="character" w:styleId="Refdecomentrio2" w:customStyle="1">
    <w:name w:val="Ref. de comentário2"/>
    <w:qFormat/>
    <w:rPr>
      <w:sz w:val="16"/>
      <w:szCs w:val="16"/>
    </w:rPr>
  </w:style>
  <w:style w:type="character" w:styleId="TextodecomentrioChar1" w:customStyle="1">
    <w:name w:val="Texto de comentário Char1"/>
    <w:qFormat/>
    <w:rPr>
      <w:rFonts w:ascii="Ecofont_Spranq_eco_Sans" w:hAnsi="Ecofont_Spranq_eco_Sans" w:cs="Tahoma"/>
      <w:lang w:eastAsia="zh-CN"/>
    </w:rPr>
  </w:style>
  <w:style w:type="character" w:styleId="CabealhoChar" w:customStyle="1">
    <w:name w:val="Cabeçalho Char"/>
    <w:qFormat/>
    <w:rPr>
      <w:rFonts w:ascii="Ecofont_Spranq_eco_Sans" w:hAnsi="Ecofont_Spranq_eco_Sans" w:cs="Tahoma"/>
      <w:sz w:val="24"/>
      <w:szCs w:val="24"/>
      <w:lang w:eastAsia="zh-CN"/>
    </w:rPr>
  </w:style>
  <w:style w:type="character" w:styleId="RodapChar" w:customStyle="1">
    <w:name w:val="Rodapé Char"/>
    <w:qFormat/>
    <w:rPr>
      <w:rFonts w:ascii="Ecofont_Spranq_eco_Sans" w:hAnsi="Ecofont_Spranq_eco_Sans" w:cs="Tahoma"/>
      <w:sz w:val="24"/>
      <w:szCs w:val="24"/>
      <w:lang w:eastAsia="zh-CN"/>
    </w:rPr>
  </w:style>
  <w:style w:type="character" w:styleId="TextodebaloChar1" w:customStyle="1">
    <w:name w:val="Texto de balão Char1"/>
    <w:link w:val="Textodebalo"/>
    <w:uiPriority w:val="99"/>
    <w:semiHidden/>
    <w:qFormat/>
    <w:rsid w:val="00b05d91"/>
    <w:rPr>
      <w:rFonts w:ascii="Segoe UI" w:hAnsi="Segoe UI" w:cs="Segoe UI"/>
      <w:sz w:val="18"/>
      <w:szCs w:val="18"/>
      <w:lang w:val="pt-BR" w:eastAsia="zh-CN"/>
    </w:rPr>
  </w:style>
  <w:style w:type="character" w:styleId="CitaoChar1" w:customStyle="1">
    <w:name w:val="Citação Char1"/>
    <w:uiPriority w:val="29"/>
    <w:qFormat/>
    <w:rsid w:val="008c1a93"/>
    <w:rPr>
      <w:rFonts w:ascii="Ecofont_Spranq_eco_Sans" w:hAnsi="Ecofont_Spranq_eco_Sans" w:cs="Tahoma"/>
      <w:i/>
      <w:iCs/>
      <w:color w:val="404040"/>
      <w:sz w:val="24"/>
      <w:szCs w:val="24"/>
      <w:lang w:eastAsia="zh-CN"/>
    </w:rPr>
  </w:style>
  <w:style w:type="character" w:styleId="Annotationreference">
    <w:name w:val="annotation reference"/>
    <w:uiPriority w:val="99"/>
    <w:unhideWhenUsed/>
    <w:qFormat/>
    <w:rsid w:val="008c1a93"/>
    <w:rPr>
      <w:sz w:val="16"/>
      <w:szCs w:val="16"/>
    </w:rPr>
  </w:style>
  <w:style w:type="character" w:styleId="TextodecomentrioChar2" w:customStyle="1">
    <w:name w:val="Texto de comentário Char2"/>
    <w:uiPriority w:val="99"/>
    <w:semiHidden/>
    <w:qFormat/>
    <w:rsid w:val="008c1a93"/>
    <w:rPr>
      <w:rFonts w:ascii="Ecofont_Spranq_eco_Sans" w:hAnsi="Ecofont_Spranq_eco_Sans" w:cs="Tahoma"/>
      <w:lang w:eastAsia="zh-CN"/>
    </w:rPr>
  </w:style>
  <w:style w:type="character" w:styleId="ColorfulGridAccent1Char" w:customStyle="1">
    <w:name w:val="Colorful Grid - Accent 1 Char"/>
    <w:link w:val="GradeColorida-nfase11"/>
    <w:uiPriority w:val="29"/>
    <w:qFormat/>
    <w:rsid w:val="00d04412"/>
    <w:rPr>
      <w:rFonts w:ascii="Ecofont_Spranq_eco_Sans" w:hAnsi="Ecofont_Spranq_eco_Sans" w:eastAsia="Calibri" w:cs="Tahoma"/>
      <w:i/>
      <w:iCs/>
      <w:color w:val="000000"/>
      <w:szCs w:val="24"/>
      <w:shd w:fill="FFFFCC" w:val="clear"/>
    </w:rPr>
  </w:style>
  <w:style w:type="character" w:styleId="AssuntodocomentrioChar1" w:customStyle="1">
    <w:name w:val="Assunto do comentário Char1"/>
    <w:link w:val="Assuntodocomentrio"/>
    <w:uiPriority w:val="99"/>
    <w:semiHidden/>
    <w:qFormat/>
    <w:rsid w:val="005a38b3"/>
    <w:rPr>
      <w:rFonts w:ascii="Ecofont_Spranq_eco_Sans" w:hAnsi="Ecofont_Spranq_eco_Sans" w:cs="Tahoma"/>
      <w:b/>
      <w:bCs/>
      <w:lang w:eastAsia="zh-CN"/>
    </w:rPr>
  </w:style>
  <w:style w:type="character" w:styleId="Ttulo3Char" w:customStyle="1">
    <w:name w:val="Título 3 Char"/>
    <w:basedOn w:val="DefaultParagraphFont"/>
    <w:link w:val="Ttulo3"/>
    <w:uiPriority w:val="9"/>
    <w:semiHidden/>
    <w:qFormat/>
    <w:rsid w:val="00c672b4"/>
    <w:rPr>
      <w:rFonts w:ascii="Calibri Light" w:hAnsi="Calibri Light" w:eastAsia="" w:cs="" w:asciiTheme="majorHAnsi" w:cstheme="majorBidi" w:eastAsiaTheme="majorEastAsia" w:hAnsiTheme="majorHAnsi"/>
      <w:color w:val="1F3763" w:themeColor="accent1" w:themeShade="7f"/>
      <w:sz w:val="24"/>
      <w:szCs w:val="24"/>
      <w:lang w:val="pt-BR" w:eastAsia="zh-CN"/>
    </w:rPr>
  </w:style>
  <w:style w:type="character" w:styleId="MenoPendente1" w:customStyle="1">
    <w:name w:val="Menção Pendente1"/>
    <w:basedOn w:val="DefaultParagraphFont"/>
    <w:uiPriority w:val="99"/>
    <w:semiHidden/>
    <w:unhideWhenUsed/>
    <w:qFormat/>
    <w:rsid w:val="00a70973"/>
    <w:rPr>
      <w:color w:val="808080"/>
      <w:shd w:fill="E6E6E6" w:val="clear"/>
    </w:rPr>
  </w:style>
  <w:style w:type="character" w:styleId="GradeColoridanfase1Char" w:customStyle="1">
    <w:name w:val="Grade Colorida - Ênfase 1 Char"/>
    <w:qFormat/>
    <w:rsid w:val="000a5cce"/>
    <w:rPr>
      <w:rFonts w:ascii="Ecofont_Spranq_eco_Sans" w:hAnsi="Ecofont_Spranq_eco_Sans" w:eastAsia="Calibri" w:cs="Ecofont_Spranq_eco_Sans"/>
      <w:i/>
      <w:iCs/>
      <w:color w:val="000000"/>
      <w:szCs w:val="24"/>
      <w:shd w:fill="FFFFCC" w:val="clear"/>
      <w:lang w:val="x-none"/>
    </w:rPr>
  </w:style>
  <w:style w:type="character" w:styleId="CitaoChar" w:customStyle="1">
    <w:name w:val="Citação Char"/>
    <w:basedOn w:val="DefaultParagraphFont"/>
    <w:link w:val="Citao"/>
    <w:uiPriority w:val="29"/>
    <w:qFormat/>
    <w:rsid w:val="00c40535"/>
    <w:rPr>
      <w:rFonts w:ascii="Arial" w:hAnsi="Arial" w:eastAsia="Calibri"/>
      <w:i/>
      <w:iCs/>
      <w:color w:val="000000"/>
      <w:szCs w:val="24"/>
      <w:shd w:fill="FFFFCC" w:val="clear"/>
      <w:lang w:val="x-none" w:eastAsia="en-US"/>
    </w:rPr>
  </w:style>
  <w:style w:type="character" w:styleId="Nivel1Char" w:customStyle="1">
    <w:name w:val="Nivel1 Char"/>
    <w:basedOn w:val="Ttulo1Char"/>
    <w:link w:val="Nivel1"/>
    <w:qFormat/>
    <w:rsid w:val="005c354c"/>
    <w:rPr>
      <w:rFonts w:ascii="Arial" w:hAnsi="Arial" w:eastAsia="" w:cs="" w:cstheme="majorBidi" w:eastAsiaTheme="majorEastAsia"/>
      <w:b/>
      <w:bCs w:val="false"/>
      <w:color w:val="000000"/>
      <w:sz w:val="28"/>
      <w:szCs w:val="28"/>
      <w:lang w:val="pt-BR" w:eastAsia="pt-BR"/>
    </w:rPr>
  </w:style>
  <w:style w:type="character" w:styleId="Ttulo1Char" w:customStyle="1">
    <w:name w:val="Título 1 Char"/>
    <w:basedOn w:val="DefaultParagraphFont"/>
    <w:link w:val="Ttulo1"/>
    <w:uiPriority w:val="9"/>
    <w:qFormat/>
    <w:rsid w:val="005c354c"/>
    <w:rPr>
      <w:rFonts w:ascii="Calibri Light" w:hAnsi="Calibri Light" w:eastAsia="" w:cs="" w:asciiTheme="majorHAnsi" w:cstheme="majorBidi" w:eastAsiaTheme="majorEastAsia" w:hAnsiTheme="majorHAnsi"/>
      <w:b/>
      <w:bCs/>
      <w:color w:val="2F5496" w:themeColor="accent1" w:themeShade="bf"/>
      <w:sz w:val="28"/>
      <w:szCs w:val="28"/>
      <w:lang w:val="pt-BR" w:eastAsia="zh-CN"/>
    </w:rPr>
  </w:style>
  <w:style w:type="character" w:styleId="QuoteChar" w:customStyle="1">
    <w:name w:val="Quote Char"/>
    <w:link w:val="Citao1"/>
    <w:qFormat/>
    <w:rsid w:val="00a825ec"/>
    <w:rPr>
      <w:rFonts w:ascii="Ecofont_Spranq_eco_Sans" w:hAnsi="Ecofont_Spranq_eco_Sans" w:eastAsia="Calibri"/>
      <w:i/>
      <w:iCs/>
      <w:color w:val="000000"/>
      <w:szCs w:val="24"/>
      <w:shd w:fill="FFFFCC" w:val="clear"/>
      <w:lang w:val="x-none" w:eastAsia="zh-CN"/>
    </w:rPr>
  </w:style>
  <w:style w:type="character" w:styleId="Nivel4Char" w:customStyle="1">
    <w:name w:val="Nivel 4 Char"/>
    <w:basedOn w:val="DefaultParagraphFont"/>
    <w:link w:val="Nivel4"/>
    <w:qFormat/>
    <w:locked/>
    <w:rsid w:val="002e6fd7"/>
    <w:rPr>
      <w:rFonts w:ascii="Ecofont_Spranq_eco_Sans" w:hAnsi="Ecofont_Spranq_eco_Sans" w:eastAsia="Arial Unicode MS" w:cs="Arial"/>
    </w:rPr>
  </w:style>
  <w:style w:type="character" w:styleId="Nivel5Char" w:customStyle="1">
    <w:name w:val="Nivel 5 Char"/>
    <w:basedOn w:val="Nivel4Char"/>
    <w:link w:val="Nivel5"/>
    <w:qFormat/>
    <w:locked/>
    <w:rsid w:val="002e6fd7"/>
    <w:rPr>
      <w:rFonts w:ascii="Ecofont_Spranq_eco_Sans" w:hAnsi="Ecofont_Spranq_eco_Sans" w:eastAsia="Arial Unicode MS" w:cs="Arial"/>
    </w:rPr>
  </w:style>
  <w:style w:type="character" w:styleId="Manoel" w:customStyle="1">
    <w:name w:val="Manoel"/>
    <w:qFormat/>
    <w:rsid w:val="002e6fd7"/>
    <w:rPr>
      <w:rFonts w:ascii="Arial" w:hAnsi="Arial" w:cs="Arial"/>
      <w:color w:val="7030A0"/>
      <w:sz w:val="20"/>
    </w:rPr>
  </w:style>
  <w:style w:type="character" w:styleId="Normaltextrun" w:customStyle="1">
    <w:name w:val="normaltextrun"/>
    <w:basedOn w:val="DefaultParagraphFont"/>
    <w:qFormat/>
    <w:rsid w:val="00476fed"/>
    <w:rPr/>
  </w:style>
  <w:style w:type="character" w:styleId="Eop" w:customStyle="1">
    <w:name w:val="eop"/>
    <w:basedOn w:val="DefaultParagraphFont"/>
    <w:qFormat/>
    <w:rsid w:val="00476fed"/>
    <w:rPr/>
  </w:style>
  <w:style w:type="character" w:styleId="Scxw225528099" w:customStyle="1">
    <w:name w:val="scxw225528099"/>
    <w:basedOn w:val="DefaultParagraphFont"/>
    <w:qFormat/>
    <w:rsid w:val="00476fed"/>
    <w:rPr/>
  </w:style>
  <w:style w:type="paragraph" w:styleId="Ttulo" w:customStyle="1">
    <w:name w:val="Título"/>
    <w:basedOn w:val="Normal"/>
    <w:next w:val="Corpodotexto"/>
    <w:qFormat/>
    <w:pPr>
      <w:keepNext w:val="true"/>
      <w:spacing w:before="240" w:after="120"/>
    </w:pPr>
    <w:rPr>
      <w:rFonts w:ascii="Liberation Sans" w:hAnsi="Liberation Sans" w:eastAsia="WenQuanYi Micro Hei" w:cs="Lohit Hindi"/>
      <w:sz w:val="28"/>
      <w:szCs w:val="28"/>
    </w:rPr>
  </w:style>
  <w:style w:type="paragraph" w:styleId="Corpodotexto">
    <w:name w:val="Body Text"/>
    <w:basedOn w:val="Normal"/>
    <w:pPr>
      <w:jc w:val="both"/>
    </w:pPr>
    <w:rPr>
      <w:rFonts w:ascii="Times New Roman" w:hAnsi="Times New Roman" w:cs="Times New Roman"/>
      <w:szCs w:val="20"/>
    </w:rPr>
  </w:style>
  <w:style w:type="paragraph" w:styleId="Lista">
    <w:name w:val="List"/>
    <w:basedOn w:val="Corpodotexto"/>
    <w:pPr/>
    <w:rPr>
      <w:rFonts w:cs="Lohit Hindi"/>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ohit Hindi"/>
    </w:rPr>
  </w:style>
  <w:style w:type="paragraph" w:styleId="Caption">
    <w:name w:val="caption"/>
    <w:basedOn w:val="Normal"/>
    <w:qFormat/>
    <w:pPr>
      <w:suppressLineNumbers/>
      <w:spacing w:before="120" w:after="120"/>
    </w:pPr>
    <w:rPr>
      <w:rFonts w:cs="Lohit Hindi"/>
      <w:i/>
      <w:iCs/>
    </w:rPr>
  </w:style>
  <w:style w:type="paragraph" w:styleId="Legenda1" w:customStyle="1">
    <w:name w:val="Legenda1"/>
    <w:basedOn w:val="Normal"/>
    <w:qFormat/>
    <w:pPr>
      <w:suppressLineNumbers/>
      <w:spacing w:before="120" w:after="120"/>
    </w:pPr>
    <w:rPr>
      <w:rFonts w:cs="Lohit Hindi"/>
      <w:i/>
      <w:iCs/>
    </w:rPr>
  </w:style>
  <w:style w:type="paragraph" w:styleId="GradeClaranfase31" w:customStyle="1">
    <w:name w:val="Grade Clara - Ênfase 31"/>
    <w:basedOn w:val="Normal"/>
    <w:qFormat/>
    <w:pPr>
      <w:ind w:left="720" w:hanging="0"/>
    </w:pPr>
    <w:rPr/>
  </w:style>
  <w:style w:type="paragraph" w:styleId="NormalWeb">
    <w:name w:val="Normal (Web)"/>
    <w:basedOn w:val="Normal"/>
    <w:uiPriority w:val="99"/>
    <w:qFormat/>
    <w:pPr>
      <w:spacing w:before="280" w:after="280"/>
    </w:pPr>
    <w:rPr>
      <w:rFonts w:ascii="Times New Roman" w:hAnsi="Times New Roman" w:cs="Times New Roman"/>
    </w:rPr>
  </w:style>
  <w:style w:type="paragraph" w:styleId="Textodebalo1" w:customStyle="1">
    <w:name w:val="Texto de balão1"/>
    <w:basedOn w:val="Normal"/>
    <w:qFormat/>
    <w:pPr/>
    <w:rPr>
      <w:rFonts w:ascii="Tahoma" w:hAnsi="Tahoma"/>
      <w:sz w:val="16"/>
      <w:szCs w:val="16"/>
    </w:rPr>
  </w:style>
  <w:style w:type="paragraph" w:styleId="Nvel2" w:customStyle="1">
    <w:name w:val="Nível 2"/>
    <w:basedOn w:val="Normal"/>
    <w:next w:val="Normal"/>
    <w:qFormat/>
    <w:pPr>
      <w:spacing w:before="0" w:after="120"/>
      <w:jc w:val="both"/>
    </w:pPr>
    <w:rPr>
      <w:rFonts w:ascii="Arial" w:hAnsi="Arial" w:cs="Times New Roman"/>
      <w:b/>
      <w:szCs w:val="20"/>
    </w:rPr>
  </w:style>
  <w:style w:type="paragraph" w:styleId="Citao2" w:customStyle="1">
    <w:name w:val="citação 2"/>
    <w:basedOn w:val="Normal"/>
    <w:qFormat/>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eastAsia="Calibri"/>
      <w:i/>
      <w:iCs/>
      <w:color w:val="000000"/>
      <w:sz w:val="20"/>
      <w:szCs w:val="20"/>
    </w:rPr>
  </w:style>
  <w:style w:type="paragraph" w:styleId="Ad" w:customStyle="1">
    <w:name w:val="ad"/>
    <w:basedOn w:val="Normal"/>
    <w:qFormat/>
    <w:pPr>
      <w:spacing w:lineRule="auto" w:line="360"/>
      <w:ind w:left="993" w:hanging="284"/>
      <w:jc w:val="both"/>
    </w:pPr>
    <w:rPr>
      <w:rFonts w:ascii="Times New Roman" w:hAnsi="Times New Roman" w:cs="Times New Roman"/>
      <w:color w:val="000000"/>
    </w:rPr>
  </w:style>
  <w:style w:type="paragraph" w:styleId="A6" w:customStyle="1">
    <w:name w:val="a6"/>
    <w:qFormat/>
    <w:pPr>
      <w:widowControl/>
      <w:suppressAutoHyphens w:val="true"/>
      <w:bidi w:val="0"/>
      <w:spacing w:before="0" w:after="120"/>
      <w:ind w:left="1134" w:hanging="0"/>
      <w:jc w:val="both"/>
    </w:pPr>
    <w:rPr>
      <w:rFonts w:ascii="Times New Roman" w:hAnsi="Times New Roman" w:eastAsia="Times New Roman" w:cs="Times New Roman"/>
      <w:bCs/>
      <w:iCs/>
      <w:color w:val="auto"/>
      <w:kern w:val="0"/>
      <w:sz w:val="20"/>
      <w:szCs w:val="20"/>
      <w:lang w:val="pt-BR" w:eastAsia="zh-CN" w:bidi="ar-SA"/>
    </w:rPr>
  </w:style>
  <w:style w:type="paragraph" w:styleId="Corpodotextorecuado">
    <w:name w:val="Body Text Indent"/>
    <w:basedOn w:val="Normal"/>
    <w:pPr>
      <w:spacing w:before="0" w:after="120"/>
      <w:ind w:left="283" w:hanging="0"/>
    </w:pPr>
    <w:rPr>
      <w:rFonts w:ascii="Times New Roman" w:hAnsi="Times New Roman" w:cs="Times New Roman"/>
      <w:szCs w:val="22"/>
    </w:rPr>
  </w:style>
  <w:style w:type="paragraph" w:styleId="Notaderodap">
    <w:name w:val="Footnote Text"/>
    <w:basedOn w:val="Normal"/>
    <w:pPr>
      <w:widowControl w:val="false"/>
      <w:suppressLineNumbers/>
      <w:ind w:left="283" w:hanging="283"/>
    </w:pPr>
    <w:rPr>
      <w:rFonts w:ascii="Times New Roman" w:hAnsi="Times New Roman" w:eastAsia="Arial Unicode MS" w:cs="Times New Roman"/>
      <w:sz w:val="20"/>
      <w:szCs w:val="20"/>
    </w:rPr>
  </w:style>
  <w:style w:type="paragraph" w:styleId="SombreamentoMdio1nfase31" w:customStyle="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eastAsia="Calibri"/>
      <w:i/>
      <w:iCs/>
      <w:color w:val="000000"/>
      <w:sz w:val="20"/>
    </w:rPr>
  </w:style>
  <w:style w:type="paragraph" w:styleId="Textodecomentrio1" w:customStyle="1">
    <w:name w:val="Texto de comentário1"/>
    <w:basedOn w:val="Normal"/>
    <w:qFormat/>
    <w:pPr/>
    <w:rPr>
      <w:sz w:val="20"/>
      <w:szCs w:val="20"/>
    </w:rPr>
  </w:style>
  <w:style w:type="paragraph" w:styleId="Citao1" w:customStyle="1">
    <w:name w:val="Citação1"/>
    <w:basedOn w:val="Normal"/>
    <w:next w:val="Normal"/>
    <w:link w:val="QuoteChar"/>
    <w:qFormat/>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eastAsia="Calibri" w:cs="Times New Roman"/>
      <w:i/>
      <w:iCs/>
      <w:color w:val="000000"/>
      <w:sz w:val="20"/>
      <w:lang w:val="x-none"/>
    </w:rPr>
  </w:style>
  <w:style w:type="paragraph" w:styleId="Assuntodocomentrio1" w:customStyle="1">
    <w:name w:val="Assunto do comentário1"/>
    <w:basedOn w:val="Textodecomentrio1"/>
    <w:next w:val="Textodecomentrio1"/>
    <w:qFormat/>
    <w:pPr/>
    <w:rPr>
      <w:b/>
      <w:bCs/>
    </w:rPr>
  </w:style>
  <w:style w:type="paragraph" w:styleId="PargrafodaLista1" w:customStyle="1">
    <w:name w:val="Parágrafo da Lista1"/>
    <w:basedOn w:val="Normal"/>
    <w:qFormat/>
    <w:pPr>
      <w:ind w:left="720" w:hanging="0"/>
    </w:pPr>
    <w:rPr/>
  </w:style>
  <w:style w:type="paragraph" w:styleId="Textodecomentrio2" w:customStyle="1">
    <w:name w:val="Texto de comentário2"/>
    <w:basedOn w:val="Normal"/>
    <w:qFormat/>
    <w:pPr/>
    <w:rPr>
      <w:sz w:val="20"/>
      <w:szCs w:val="20"/>
    </w:rPr>
  </w:style>
  <w:style w:type="paragraph" w:styleId="CabealhoeRodap">
    <w:name w:val="Cabeçalho e Rodapé"/>
    <w:basedOn w:val="Normal"/>
    <w:qFormat/>
    <w:pPr/>
    <w:rPr/>
  </w:style>
  <w:style w:type="paragraph" w:styleId="Cabealho">
    <w:name w:val="Header"/>
    <w:basedOn w:val="Normal"/>
    <w:pPr>
      <w:tabs>
        <w:tab w:val="clear" w:pos="709"/>
        <w:tab w:val="center" w:pos="4252" w:leader="none"/>
        <w:tab w:val="right" w:pos="8504" w:leader="none"/>
      </w:tabs>
    </w:pPr>
    <w:rPr/>
  </w:style>
  <w:style w:type="paragraph" w:styleId="Rodap">
    <w:name w:val="Footer"/>
    <w:basedOn w:val="Normal"/>
    <w:pPr>
      <w:tabs>
        <w:tab w:val="clear" w:pos="709"/>
        <w:tab w:val="center" w:pos="4252" w:leader="none"/>
        <w:tab w:val="right" w:pos="8504" w:leader="none"/>
      </w:tabs>
    </w:pPr>
    <w:rPr/>
  </w:style>
  <w:style w:type="paragraph" w:styleId="BalloonText">
    <w:name w:val="Balloon Text"/>
    <w:basedOn w:val="Normal"/>
    <w:link w:val="TextodebaloChar1"/>
    <w:uiPriority w:val="99"/>
    <w:semiHidden/>
    <w:unhideWhenUsed/>
    <w:qFormat/>
    <w:rsid w:val="00b05d91"/>
    <w:pPr/>
    <w:rPr>
      <w:rFonts w:ascii="Segoe UI" w:hAnsi="Segoe UI" w:cs="Segoe UI"/>
      <w:sz w:val="18"/>
      <w:szCs w:val="18"/>
    </w:rPr>
  </w:style>
  <w:style w:type="paragraph" w:styleId="GradeMdia1nfase21" w:customStyle="1">
    <w:name w:val="Grade Média 1 - Ênfase 21"/>
    <w:basedOn w:val="Normal"/>
    <w:uiPriority w:val="34"/>
    <w:qFormat/>
    <w:rsid w:val="008c1a93"/>
    <w:pPr>
      <w:widowControl w:val="false"/>
      <w:spacing w:before="0" w:after="0"/>
      <w:ind w:left="720" w:hanging="0"/>
      <w:contextualSpacing/>
    </w:pPr>
    <w:rPr>
      <w:rFonts w:ascii="Times New Roman" w:hAnsi="Times New Roman" w:eastAsia="Arial Unicode MS" w:cs="Times New Roman"/>
      <w:szCs w:val="20"/>
      <w:lang w:eastAsia="pt-BR"/>
    </w:rPr>
  </w:style>
  <w:style w:type="paragraph" w:styleId="GradeMdia2nfase21" w:customStyle="1">
    <w:name w:val="Grade Média 2 - Ênfase 21"/>
    <w:basedOn w:val="Normal"/>
    <w:next w:val="Normal"/>
    <w:link w:val="MediumGrid2-Accent2Char"/>
    <w:qFormat/>
    <w:rsid w:val="008c1a93"/>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eastAsia="Calibri" w:cs="Ecofont_Spranq_eco_Sans"/>
      <w:i/>
      <w:iCs/>
      <w:color w:val="000000"/>
      <w:sz w:val="20"/>
      <w:lang w:val="x-none" w:eastAsia="pt-BR"/>
    </w:rPr>
  </w:style>
  <w:style w:type="paragraph" w:styleId="Annotationtext">
    <w:name w:val="annotation text"/>
    <w:basedOn w:val="Normal"/>
    <w:link w:val="TextodecomentrioChar"/>
    <w:uiPriority w:val="99"/>
    <w:unhideWhenUsed/>
    <w:qFormat/>
    <w:rsid w:val="008c1a93"/>
    <w:pPr>
      <w:widowControl w:val="false"/>
    </w:pPr>
    <w:rPr>
      <w:sz w:val="20"/>
      <w:szCs w:val="20"/>
      <w:lang w:eastAsia="pt-BR"/>
    </w:rPr>
  </w:style>
  <w:style w:type="paragraph" w:styleId="GradeColoridanfase11" w:customStyle="1">
    <w:name w:val="Grade Colorida - Ênfase 11"/>
    <w:basedOn w:val="Normal"/>
    <w:next w:val="Normal"/>
    <w:link w:val="ColorfulGrid-Accent1Char"/>
    <w:uiPriority w:val="29"/>
    <w:qFormat/>
    <w:rsid w:val="00d04412"/>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eastAsia="Calibri"/>
      <w:i/>
      <w:iCs/>
      <w:color w:val="000000"/>
      <w:sz w:val="20"/>
      <w:lang w:eastAsia="en-US"/>
    </w:rPr>
  </w:style>
  <w:style w:type="paragraph" w:styleId="Annotationsubject">
    <w:name w:val="annotation subject"/>
    <w:basedOn w:val="Annotationtext"/>
    <w:next w:val="Annotationtext"/>
    <w:link w:val="AssuntodocomentrioChar1"/>
    <w:uiPriority w:val="99"/>
    <w:semiHidden/>
    <w:unhideWhenUsed/>
    <w:qFormat/>
    <w:rsid w:val="005a38b3"/>
    <w:pPr>
      <w:widowControl/>
    </w:pPr>
    <w:rPr>
      <w:b/>
      <w:bCs/>
      <w:lang w:eastAsia="zh-CN"/>
    </w:rPr>
  </w:style>
  <w:style w:type="paragraph" w:styleId="Quote">
    <w:name w:val="Quote"/>
    <w:basedOn w:val="Normal"/>
    <w:next w:val="Normal"/>
    <w:link w:val="CitaoChar"/>
    <w:uiPriority w:val="29"/>
    <w:qFormat/>
    <w:rsid w:val="00c40535"/>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ascii="Arial" w:hAnsi="Arial" w:eastAsia="Calibri" w:cs="Times New Roman"/>
      <w:i/>
      <w:iCs/>
      <w:color w:val="000000"/>
      <w:sz w:val="20"/>
      <w:lang w:val="x-none" w:eastAsia="en-US"/>
    </w:rPr>
  </w:style>
  <w:style w:type="paragraph" w:styleId="ListParagraph">
    <w:name w:val="List Paragraph"/>
    <w:basedOn w:val="Normal"/>
    <w:uiPriority w:val="34"/>
    <w:qFormat/>
    <w:rsid w:val="005c354c"/>
    <w:pPr>
      <w:suppressAutoHyphens w:val="false"/>
      <w:spacing w:before="0" w:after="0"/>
      <w:ind w:left="720" w:hanging="0"/>
      <w:contextualSpacing/>
    </w:pPr>
    <w:rPr>
      <w:rFonts w:ascii="Arial" w:hAnsi="Arial"/>
      <w:sz w:val="20"/>
      <w:lang w:eastAsia="pt-BR"/>
    </w:rPr>
  </w:style>
  <w:style w:type="paragraph" w:styleId="Nivel1" w:customStyle="1">
    <w:name w:val="Nivel1"/>
    <w:basedOn w:val="Ttulo1"/>
    <w:link w:val="Nivel1Char"/>
    <w:qFormat/>
    <w:rsid w:val="005c354c"/>
    <w:pPr>
      <w:suppressAutoHyphens w:val="false"/>
      <w:spacing w:lineRule="auto" w:line="276"/>
      <w:jc w:val="both"/>
    </w:pPr>
    <w:rPr>
      <w:rFonts w:ascii="Arial" w:hAnsi="Arial"/>
      <w:bCs w:val="false"/>
      <w:color w:val="000000"/>
      <w:lang w:eastAsia="pt-BR"/>
    </w:rPr>
  </w:style>
  <w:style w:type="paragraph" w:styleId="ListaColoridanfase11" w:customStyle="1">
    <w:name w:val="Lista Colorida - Ênfase 11"/>
    <w:basedOn w:val="Normal"/>
    <w:uiPriority w:val="34"/>
    <w:qFormat/>
    <w:rsid w:val="00943edb"/>
    <w:pPr>
      <w:widowControl w:val="false"/>
      <w:spacing w:before="0" w:after="0"/>
      <w:ind w:left="720" w:hanging="0"/>
      <w:contextualSpacing/>
    </w:pPr>
    <w:rPr>
      <w:rFonts w:ascii="Times New Roman" w:hAnsi="Times New Roman" w:eastAsia="Arial Unicode MS" w:cs="Times New Roman"/>
      <w:szCs w:val="20"/>
      <w:lang w:eastAsia="pt-BR"/>
    </w:rPr>
  </w:style>
  <w:style w:type="paragraph" w:styleId="PargrafodaLista2" w:customStyle="1">
    <w:name w:val="Parágrafo da Lista2"/>
    <w:basedOn w:val="Normal"/>
    <w:qFormat/>
    <w:rsid w:val="00943edb"/>
    <w:pPr>
      <w:suppressAutoHyphens w:val="false"/>
      <w:ind w:left="720" w:hanging="0"/>
    </w:pPr>
    <w:rPr>
      <w:lang w:eastAsia="pt-BR"/>
    </w:rPr>
  </w:style>
  <w:style w:type="paragraph" w:styleId="GradeColoridanfase110" w:customStyle="1">
    <w:name w:val="Grade Colorida - Ênfase 110"/>
    <w:basedOn w:val="Normal"/>
    <w:next w:val="Normal"/>
    <w:qFormat/>
    <w:rsid w:val="00943edb"/>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i/>
      <w:color w:val="000000"/>
      <w:lang w:eastAsia="en-US"/>
    </w:rPr>
  </w:style>
  <w:style w:type="paragraph" w:styleId="Nivel2" w:customStyle="1">
    <w:name w:val="Nivel 2"/>
    <w:qFormat/>
    <w:rsid w:val="002e6fd7"/>
    <w:pPr>
      <w:widowControl/>
      <w:numPr>
        <w:ilvl w:val="0"/>
        <w:numId w:val="6"/>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2e6fd7"/>
    <w:pPr/>
    <w:rPr>
      <w:rFonts w:cs="Arial"/>
      <w:b/>
    </w:rPr>
  </w:style>
  <w:style w:type="paragraph" w:styleId="Nivel3" w:customStyle="1">
    <w:name w:val="Nivel 3"/>
    <w:basedOn w:val="Nivel2"/>
    <w:qFormat/>
    <w:rsid w:val="002e6fd7"/>
    <w:pPr/>
    <w:rPr>
      <w:rFonts w:cs="Arial"/>
      <w:color w:val="000000"/>
    </w:rPr>
  </w:style>
  <w:style w:type="paragraph" w:styleId="Nivel4" w:customStyle="1">
    <w:name w:val="Nivel 4"/>
    <w:basedOn w:val="Nivel3"/>
    <w:link w:val="Nivel4Char"/>
    <w:qFormat/>
    <w:rsid w:val="002e6fd7"/>
    <w:pPr/>
    <w:rPr>
      <w:color w:val="auto"/>
      <w:lang w:val="en-GB" w:eastAsia="en-GB"/>
    </w:rPr>
  </w:style>
  <w:style w:type="paragraph" w:styleId="Nivel5" w:customStyle="1">
    <w:name w:val="Nivel 5"/>
    <w:basedOn w:val="Nivel4"/>
    <w:link w:val="Nivel5Char"/>
    <w:qFormat/>
    <w:rsid w:val="002e6fd7"/>
    <w:pPr/>
    <w:rPr/>
  </w:style>
  <w:style w:type="paragraph" w:styleId="PADRO" w:customStyle="1">
    <w:name w:val="PADRÃO"/>
    <w:qFormat/>
    <w:rsid w:val="002e6fd7"/>
    <w:pPr>
      <w:keepNext w:val="true"/>
      <w:widowControl w:val="false"/>
      <w:shd w:val="clear" w:color="auto" w:fill="FFFFFF"/>
      <w:suppressAutoHyphens w:val="true"/>
      <w:bidi w:val="0"/>
      <w:spacing w:lineRule="auto" w:line="276" w:before="119" w:after="119"/>
      <w:ind w:firstLine="567"/>
      <w:jc w:val="both"/>
    </w:pPr>
    <w:rPr>
      <w:rFonts w:ascii="Ecofont_Spranq_eco_Sans" w:hAnsi="Ecofont_Spranq_eco_Sans" w:eastAsia="WenQuanYi Micro Hei" w:cs="Lohit Hindi"/>
      <w:color w:val="auto"/>
      <w:kern w:val="0"/>
      <w:sz w:val="20"/>
      <w:szCs w:val="24"/>
      <w:lang w:val="pt-BR" w:eastAsia="zh-CN" w:bidi="hi-IN"/>
    </w:rPr>
  </w:style>
  <w:style w:type="paragraph" w:styleId="Paragraph" w:customStyle="1">
    <w:name w:val="paragraph"/>
    <w:basedOn w:val="Normal"/>
    <w:qFormat/>
    <w:rsid w:val="00476fed"/>
    <w:pPr>
      <w:suppressAutoHyphens w:val="false"/>
      <w:spacing w:beforeAutospacing="1" w:afterAutospacing="1"/>
    </w:pPr>
    <w:rPr>
      <w:rFonts w:ascii="Times New Roman" w:hAnsi="Times New Roman" w:cs="Times New Roman"/>
      <w:lang w:eastAsia="pt-BR"/>
    </w:rPr>
  </w:style>
  <w:style w:type="paragraph" w:styleId="Contedodatabela">
    <w:name w:val="Conteúdo da tabela"/>
    <w:basedOn w:val="Normal"/>
    <w:qFormat/>
    <w:pPr>
      <w:widowControl w:val="false"/>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3d6cb0"/>
    <w:rPr>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A795-8C94-41ED-B5F1-4FAFA2EB1E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DB49B0-7E0B-4465-8E2D-94C0A7E06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4304C-1E26-4978-98DC-88DCEE734CD8}">
  <ds:schemaRefs>
    <ds:schemaRef ds:uri="http://schemas.microsoft.com/sharepoint/v3/contenttype/forms"/>
  </ds:schemaRefs>
</ds:datastoreItem>
</file>

<file path=customXml/itemProps4.xml><?xml version="1.0" encoding="utf-8"?>
<ds:datastoreItem xmlns:ds="http://schemas.openxmlformats.org/officeDocument/2006/customXml" ds:itemID="{4D9720FC-7FC6-4436-BB83-78FFDBA0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Application>LibreOffice/7.1.7.2$Windows_X86_64 LibreOffice_project/c6a4e3954236145e2acb0b65f68614365aeee33f</Application>
  <AppVersion>15.0000</AppVersion>
  <Pages>33</Pages>
  <Words>9836</Words>
  <Characters>56822</Characters>
  <CharactersWithSpaces>66032</CharactersWithSpaces>
  <Paragraphs>390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2020-11-16T22:44:00Z</dcterms:created>
  <dc:creator>EDUARDO DOTTI</dc:creator>
  <dc:description/>
  <dc:language>pt-BR</dc:language>
  <cp:lastModifiedBy/>
  <cp:lastPrinted>2021-09-29T21:36:00Z</cp:lastPrinted>
  <dcterms:modified xsi:type="dcterms:W3CDTF">2022-06-07T16:26:49Z</dcterms:modified>
  <cp:revision>376</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