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jc w:val="center"/>
        <w:rPr>
          <w:b/>
          <w:b/>
        </w:rPr>
      </w:pPr>
      <w:bookmarkStart w:id="0" w:name="_GoBack"/>
      <w:r>
        <w:rPr>
          <w:b/>
        </w:rPr>
        <w:t>ANEXO I</w:t>
      </w:r>
      <w:bookmarkEnd w:id="0"/>
    </w:p>
    <w:p>
      <w:pPr>
        <w:pStyle w:val="LOnormal"/>
        <w:spacing w:lineRule="auto" w:line="276" w:before="0" w:after="120"/>
        <w:jc w:val="center"/>
        <w:rPr>
          <w:b/>
          <w:b/>
        </w:rPr>
      </w:pPr>
      <w:r>
        <w:rPr>
          <w:b/>
        </w:rPr>
        <w:t>TERMO DE REFERÊNCIA</w:t>
      </w:r>
    </w:p>
    <w:p>
      <w:pPr>
        <w:pStyle w:val="LOnormal"/>
        <w:spacing w:lineRule="auto" w:line="276" w:before="0" w:after="120"/>
        <w:jc w:val="center"/>
        <w:rPr/>
      </w:pPr>
      <w:r>
        <w:rPr>
          <w:b/>
        </w:rPr>
        <w:t>(Pregão eletrônico para contratação de prestação de serviço contínuo com dedicação de mão-de-obra exclusiva)</w:t>
      </w:r>
    </w:p>
    <w:p>
      <w:pPr>
        <w:pStyle w:val="LOnormal"/>
        <w:spacing w:lineRule="auto" w:line="276" w:before="0" w:after="120"/>
        <w:rPr>
          <w:b/>
          <w:b/>
        </w:rPr>
      </w:pPr>
      <w:r>
        <w:rPr>
          <w:b/>
        </w:rPr>
      </w:r>
    </w:p>
    <w:p>
      <w:pPr>
        <w:pStyle w:val="LOnormal"/>
        <w:jc w:val="center"/>
        <w:rPr>
          <w:b/>
          <w:b/>
          <w:color w:val="000000"/>
        </w:rPr>
      </w:pPr>
      <w:r>
        <w:rPr>
          <w:b/>
          <w:color w:val="000000"/>
        </w:rPr>
        <w:t>INSTITUTO FEDERAL DE EDUCAÇÃO, CIÊNCIA E TECNOLOGIA DO</w:t>
      </w:r>
    </w:p>
    <w:p>
      <w:pPr>
        <w:pStyle w:val="LOnormal"/>
        <w:jc w:val="center"/>
        <w:rPr>
          <w:b/>
          <w:b/>
          <w:color w:val="000000"/>
        </w:rPr>
      </w:pPr>
      <w:r>
        <w:rPr>
          <w:b/>
          <w:color w:val="000000"/>
        </w:rPr>
        <w:t>SERTÃO PERNAMBUCANO</w:t>
      </w:r>
    </w:p>
    <w:p>
      <w:pPr>
        <w:pStyle w:val="LOnormal"/>
        <w:jc w:val="center"/>
        <w:rPr/>
      </w:pPr>
      <w:r>
        <w:rPr>
          <w:color w:val="000000"/>
        </w:rPr>
        <w:t>PREGÃO Nº 09/2022</w:t>
      </w:r>
    </w:p>
    <w:p>
      <w:pPr>
        <w:pStyle w:val="LOnormal"/>
        <w:jc w:val="center"/>
        <w:rPr>
          <w:color w:val="000000"/>
        </w:rPr>
      </w:pPr>
      <w:r>
        <w:rPr>
          <w:color w:val="000000"/>
        </w:rPr>
        <w:t>(Processo Administrativo n.°</w:t>
      </w:r>
      <w:r>
        <w:rPr>
          <w:rFonts w:eastAsia="Arial" w:cs="Arial"/>
          <w:color w:val="000000"/>
          <w:kern w:val="0"/>
          <w:sz w:val="20"/>
          <w:szCs w:val="20"/>
          <w:lang w:val="pt-BR" w:eastAsia="zh-CN" w:bidi="hi-IN"/>
        </w:rPr>
        <w:t xml:space="preserve"> </w:t>
      </w:r>
      <w:r>
        <w:rPr>
          <w:rFonts w:eastAsia="Arial" w:cs="Arial"/>
          <w:b w:val="false"/>
          <w:bCs w:val="false"/>
          <w:color w:val="000000"/>
          <w:kern w:val="0"/>
          <w:sz w:val="20"/>
          <w:szCs w:val="20"/>
          <w:lang w:val="pt-BR" w:eastAsia="zh-CN" w:bidi="hi-IN"/>
        </w:rPr>
        <w:t>23302.000124.2022-18)</w:t>
      </w:r>
    </w:p>
    <w:p>
      <w:pPr>
        <w:pStyle w:val="LOnormal"/>
        <w:keepNext w:val="true"/>
        <w:keepLines/>
        <w:numPr>
          <w:ilvl w:val="0"/>
          <w:numId w:val="5"/>
        </w:numPr>
        <w:spacing w:lineRule="auto" w:line="276" w:before="480" w:after="0"/>
        <w:ind w:left="-283" w:hanging="141"/>
        <w:jc w:val="both"/>
        <w:rPr>
          <w:b/>
          <w:b/>
          <w:color w:val="000000"/>
        </w:rPr>
      </w:pPr>
      <w:r>
        <w:rPr>
          <w:b/>
          <w:color w:val="000000"/>
        </w:rPr>
        <w:t>DO OBJETO</w:t>
      </w:r>
    </w:p>
    <w:p>
      <w:pPr>
        <w:pStyle w:val="LOnormal"/>
        <w:numPr>
          <w:ilvl w:val="1"/>
          <w:numId w:val="5"/>
        </w:numPr>
        <w:spacing w:lineRule="auto" w:line="276" w:before="120" w:after="120"/>
        <w:ind w:left="-141" w:hanging="1"/>
        <w:jc w:val="both"/>
        <w:rPr/>
      </w:pPr>
      <w:r>
        <w:rPr>
          <w:b/>
          <w:color w:val="000000"/>
          <w:highlight w:val="white"/>
        </w:rPr>
        <w:t>Contratação de empresa para prestação de serviço profissional especializado para pessoas com deficiência,</w:t>
      </w:r>
      <w:r>
        <w:rPr>
          <w:color w:val="000000"/>
        </w:rPr>
        <w:t xml:space="preserve"> objetivando atender os campi e Reitoria do Instituto Federal do Sertão Pernambucano – IFSertãoPE, como também atender o</w:t>
      </w:r>
      <w:r>
        <w:rPr>
          <w:b/>
          <w:bCs/>
          <w:color w:val="000000"/>
        </w:rPr>
        <w:t xml:space="preserve"> Instituto Federal de Pernambuco(FIPE) como participante externo</w:t>
      </w:r>
      <w:r>
        <w:rPr>
          <w:color w:val="000000"/>
        </w:rPr>
        <w:t>, conforme condições, quantidades e exigências estabelecidas neste instrumento e seus anexos.</w:t>
      </w:r>
    </w:p>
    <w:p>
      <w:pPr>
        <w:pStyle w:val="LOnormal"/>
        <w:spacing w:lineRule="auto" w:line="276" w:before="120" w:after="120"/>
        <w:ind w:left="-141" w:hanging="0"/>
        <w:jc w:val="both"/>
        <w:rPr>
          <w:color w:val="000001"/>
        </w:rPr>
      </w:pPr>
      <w:r>
        <w:rPr>
          <w:color w:val="000001"/>
        </w:rPr>
        <w:t>1.1.1 Estimativas de consumo individualizadas, do órgão gerenciador e órgão e entidades participantes:</w:t>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GRUPO 01– CAMPUS FLORESTA</w:t>
      </w:r>
    </w:p>
    <w:tbl>
      <w:tblPr>
        <w:tblW w:w="9781"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65"/>
        <w:gridCol w:w="3913"/>
        <w:gridCol w:w="1275"/>
        <w:gridCol w:w="1282"/>
        <w:gridCol w:w="1111"/>
        <w:gridCol w:w="1434"/>
      </w:tblGrid>
      <w:tr>
        <w:trPr/>
        <w:tc>
          <w:tcPr>
            <w:tcW w:w="76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91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82"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de Postos</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(A)</w:t>
            </w:r>
          </w:p>
        </w:tc>
        <w:tc>
          <w:tcPr>
            <w:tcW w:w="1111"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shd w:fill="auto" w:val="clear"/>
              </w:rPr>
              <w:t>Quant.  meses/ano</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(B)</w:t>
            </w:r>
          </w:p>
        </w:tc>
        <w:tc>
          <w:tcPr>
            <w:tcW w:w="1434"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6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3913"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82"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111"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434"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r>
        <w:trPr/>
        <w:tc>
          <w:tcPr>
            <w:tcW w:w="765"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3913"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82"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111"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43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76" w:before="120" w:after="120"/>
        <w:ind w:left="1" w:hanging="3"/>
        <w:jc w:val="center"/>
        <w:rPr>
          <w:sz w:val="26"/>
          <w:szCs w:val="26"/>
        </w:rPr>
      </w:pPr>
      <w:r>
        <w:rPr>
          <w:rFonts w:cs="Times New Roman" w:ascii="Times New Roman" w:hAnsi="Times New Roman"/>
          <w:b/>
          <w:color w:val="000000"/>
          <w:sz w:val="26"/>
          <w:szCs w:val="26"/>
        </w:rPr>
        <w:t xml:space="preserve">GRUPO 02: CAMPUS PETROLINA E IFPE(UASG: </w:t>
      </w:r>
      <w:r>
        <w:rPr>
          <w:rFonts w:eastAsia="Arial" w:cs="Times New Roman" w:ascii="Times New Roman" w:hAnsi="Times New Roman"/>
          <w:b/>
          <w:color w:val="000000"/>
          <w:kern w:val="0"/>
          <w:sz w:val="26"/>
          <w:szCs w:val="26"/>
          <w:lang w:val="pt-BR" w:eastAsia="zh-CN" w:bidi="hi-IN"/>
        </w:rPr>
        <w:t>158136)</w:t>
      </w:r>
    </w:p>
    <w:tbl>
      <w:tblPr>
        <w:tblW w:w="9945" w:type="dxa"/>
        <w:jc w:val="left"/>
        <w:tblInd w:w="-341" w:type="dxa"/>
        <w:tblLayout w:type="fixed"/>
        <w:tblCellMar>
          <w:top w:w="0" w:type="dxa"/>
          <w:left w:w="108" w:type="dxa"/>
          <w:bottom w:w="0" w:type="dxa"/>
          <w:right w:w="108" w:type="dxa"/>
        </w:tblCellMar>
        <w:tblLook w:firstRow="0" w:noVBand="0" w:lastRow="0" w:firstColumn="0" w:lastColumn="0" w:noHBand="0" w:val="0000"/>
      </w:tblPr>
      <w:tblGrid>
        <w:gridCol w:w="675"/>
        <w:gridCol w:w="3405"/>
        <w:gridCol w:w="1095"/>
        <w:gridCol w:w="1260"/>
        <w:gridCol w:w="1126"/>
        <w:gridCol w:w="1080"/>
        <w:gridCol w:w="1303"/>
      </w:tblGrid>
      <w:tr>
        <w:trPr/>
        <w:tc>
          <w:tcPr>
            <w:tcW w:w="5175" w:type="dxa"/>
            <w:gridSpan w:val="3"/>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2386" w:type="dxa"/>
            <w:gridSpan w:val="2"/>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2383" w:type="dxa"/>
            <w:gridSpan w:val="2"/>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r>
      <w:tr>
        <w:trPr/>
        <w:tc>
          <w:tcPr>
            <w:tcW w:w="675" w:type="dxa"/>
            <w:tcBorders>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05" w:type="dxa"/>
            <w:tcBorders>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095" w:type="dxa"/>
            <w:tcBorders>
              <w:left w:val="single" w:sz="4" w:space="0" w:color="000000"/>
              <w:bottom w:val="single" w:sz="4" w:space="0" w:color="000000"/>
            </w:tcBorders>
            <w:shd w:color="auto" w:fill="6699CC" w:val="clear"/>
          </w:tcPr>
          <w:p>
            <w:pPr>
              <w:pStyle w:val="Normal"/>
              <w:keepNext w:val="true"/>
              <w:widowControl w:val="false"/>
              <w:suppressAutoHyphens w:val="true"/>
              <w:bidi w:val="0"/>
              <w:spacing w:before="0" w:after="0"/>
              <w:ind w:left="0" w:right="-113" w:hanging="0"/>
              <w:jc w:val="center"/>
              <w:rPr/>
            </w:pPr>
            <w:r>
              <w:rPr>
                <w:rFonts w:cs="Times New Roman" w:ascii="Times New Roman" w:hAnsi="Times New Roman"/>
                <w:b/>
                <w:color w:val="000000"/>
              </w:rPr>
              <w:t>Unidade de Medida</w:t>
            </w:r>
          </w:p>
        </w:tc>
        <w:tc>
          <w:tcPr>
            <w:tcW w:w="1260" w:type="dxa"/>
            <w:tcBorders>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eastAsia="Arial" w:cs="Times New Roman"/>
                <w:b/>
                <w:b/>
                <w:color w:val="000000"/>
                <w:kern w:val="0"/>
                <w:sz w:val="20"/>
                <w:szCs w:val="20"/>
                <w:highlight w:val="none"/>
                <w:shd w:fill="FFFF00" w:val="clear"/>
                <w:lang w:val="pt-BR" w:eastAsia="zh-CN" w:bidi="hi-IN"/>
              </w:rPr>
            </w:pPr>
            <w:r>
              <w:rPr>
                <w:rFonts w:eastAsia="Arial" w:cs="Times New Roman" w:ascii="Times New Roman" w:hAnsi="Times New Roman"/>
                <w:b/>
                <w:color w:val="000000"/>
                <w:kern w:val="0"/>
                <w:sz w:val="20"/>
                <w:szCs w:val="20"/>
                <w:shd w:fill="FFFF00" w:val="clear"/>
                <w:lang w:val="pt-BR" w:eastAsia="zh-CN" w:bidi="hi-IN"/>
              </w:rPr>
              <w:t>Campus Petrolina</w:t>
            </w:r>
          </w:p>
        </w:tc>
        <w:tc>
          <w:tcPr>
            <w:tcW w:w="1126" w:type="dxa"/>
            <w:tcBorders>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eastAsia="Arial" w:cs="Times New Roman"/>
                <w:b/>
                <w:b/>
                <w:color w:val="000000"/>
                <w:kern w:val="0"/>
                <w:sz w:val="20"/>
                <w:szCs w:val="20"/>
                <w:highlight w:val="none"/>
                <w:shd w:fill="FFFF00" w:val="clear"/>
                <w:lang w:val="pt-BR" w:eastAsia="zh-CN" w:bidi="hi-IN"/>
              </w:rPr>
            </w:pPr>
            <w:r>
              <w:rPr>
                <w:rFonts w:eastAsia="Arial" w:cs="Times New Roman" w:ascii="Times New Roman" w:hAnsi="Times New Roman"/>
                <w:b/>
                <w:color w:val="000000"/>
                <w:kern w:val="0"/>
                <w:sz w:val="20"/>
                <w:szCs w:val="20"/>
                <w:shd w:fill="FFFF00" w:val="clear"/>
                <w:lang w:val="pt-BR" w:eastAsia="zh-CN" w:bidi="hi-IN"/>
              </w:rPr>
              <w:t>IFPE(Uasg: 158136) – Participante Externo</w:t>
            </w:r>
          </w:p>
        </w:tc>
        <w:tc>
          <w:tcPr>
            <w:tcW w:w="1080" w:type="dxa"/>
            <w:tcBorders>
              <w:left w:val="single" w:sz="4" w:space="0" w:color="000000"/>
              <w:bottom w:val="single" w:sz="4" w:space="0" w:color="000000"/>
            </w:tcBorders>
            <w:shd w:color="auto" w:fill="6699CC" w:val="clear"/>
          </w:tcPr>
          <w:p>
            <w:pPr>
              <w:pStyle w:val="Normal"/>
              <w:keepNext w:val="true"/>
              <w:widowControl w:val="false"/>
              <w:suppressAutoHyphens w:val="true"/>
              <w:bidi w:val="0"/>
              <w:spacing w:before="0" w:after="0"/>
              <w:ind w:left="-57" w:right="0" w:hanging="0"/>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303" w:type="dxa"/>
            <w:tcBorders>
              <w:left w:val="single" w:sz="4" w:space="0" w:color="000000"/>
              <w:bottom w:val="single" w:sz="4" w:space="0" w:color="000000"/>
              <w:right w:val="single" w:sz="4" w:space="0" w:color="000000"/>
            </w:tcBorders>
            <w:shd w:color="auto" w:fill="6699CC" w:val="clear"/>
          </w:tcPr>
          <w:p>
            <w:pPr>
              <w:pStyle w:val="Normal"/>
              <w:keepNext w:val="true"/>
              <w:widowControl w:val="false"/>
              <w:suppressAutoHyphens w:val="true"/>
              <w:bidi w:val="0"/>
              <w:spacing w:before="0" w:after="0"/>
              <w:ind w:left="-113" w:right="-113" w:hanging="0"/>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03</w:t>
            </w:r>
          </w:p>
        </w:tc>
        <w:tc>
          <w:tcPr>
            <w:tcW w:w="34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 xml:space="preserve">2392-25 – </w:t>
            </w:r>
            <w:r>
              <w:rPr>
                <w:rFonts w:cs="Times New Roman" w:ascii="Times New Roman" w:hAnsi="Times New Roman"/>
                <w:color w:val="000000"/>
                <w:sz w:val="22"/>
                <w:szCs w:val="22"/>
              </w:rPr>
              <w:t xml:space="preserve">CATSER: </w:t>
            </w:r>
            <w:r>
              <w:rPr>
                <w:rFonts w:cs="Times New Roman" w:ascii="Times New Roman" w:hAnsi="Times New Roman"/>
                <w:b/>
                <w:color w:val="000000"/>
                <w:sz w:val="22"/>
                <w:szCs w:val="22"/>
              </w:rPr>
              <w:t>5380</w:t>
            </w:r>
          </w:p>
        </w:tc>
        <w:tc>
          <w:tcPr>
            <w:tcW w:w="109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60"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26" w:type="dxa"/>
            <w:tcBorders>
              <w:left w:val="single" w:sz="4" w:space="0" w:color="000000"/>
              <w:bottom w:val="single" w:sz="4" w:space="0" w:color="000000"/>
            </w:tcBorders>
            <w:shd w:color="auto" w:fill="auto" w:val="clear"/>
          </w:tcPr>
          <w:p>
            <w:pPr>
              <w:pStyle w:val="Normal"/>
              <w:widowControl w:val="false"/>
              <w:ind w:hanging="2"/>
              <w:jc w:val="center"/>
              <w:rPr/>
            </w:pPr>
            <w:r>
              <w:rPr/>
              <w:t>04***</w:t>
            </w:r>
          </w:p>
        </w:tc>
        <w:tc>
          <w:tcPr>
            <w:tcW w:w="108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303"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72</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04</w:t>
            </w:r>
          </w:p>
        </w:tc>
        <w:tc>
          <w:tcPr>
            <w:tcW w:w="34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09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60"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26" w:type="dxa"/>
            <w:tcBorders>
              <w:left w:val="single" w:sz="4" w:space="0" w:color="000000"/>
              <w:bottom w:val="single" w:sz="4" w:space="0" w:color="000000"/>
            </w:tcBorders>
            <w:shd w:color="auto" w:fill="auto" w:val="clear"/>
          </w:tcPr>
          <w:p>
            <w:pPr>
              <w:pStyle w:val="Normal"/>
              <w:widowControl w:val="false"/>
              <w:ind w:hanging="2"/>
              <w:jc w:val="center"/>
              <w:rPr/>
            </w:pPr>
            <w:r>
              <w:rPr/>
              <w:t>09****</w:t>
            </w:r>
          </w:p>
        </w:tc>
        <w:tc>
          <w:tcPr>
            <w:tcW w:w="108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303"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pPr>
            <w:r>
              <w:rPr/>
              <w:t>132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05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 </w:t>
            </w:r>
            <w:r>
              <w:rPr>
                <w:rFonts w:cs="Times New Roman" w:ascii="Times New Roman" w:hAnsi="Times New Roman"/>
                <w:color w:val="000000"/>
                <w:sz w:val="22"/>
                <w:szCs w:val="22"/>
              </w:rPr>
              <w:t xml:space="preserve">CBO: </w:t>
            </w:r>
            <w:r>
              <w:rPr>
                <w:rFonts w:cs="Times New Roman" w:ascii="Times New Roman" w:hAnsi="Times New Roman"/>
                <w:b/>
                <w:color w:val="000000"/>
                <w:sz w:val="22"/>
                <w:szCs w:val="22"/>
              </w:rPr>
              <w:t>2392-20</w:t>
            </w:r>
            <w:r>
              <w:rPr>
                <w:color w:val="000000"/>
              </w:rPr>
              <w:t xml:space="preserve"> – </w:t>
            </w:r>
            <w:r>
              <w:rPr>
                <w:rFonts w:cs="Times New Roman" w:ascii="Times New Roman" w:hAnsi="Times New Roman"/>
                <w:color w:val="000000"/>
                <w:sz w:val="22"/>
                <w:szCs w:val="22"/>
              </w:rPr>
              <w:t xml:space="preserve">CATSER: </w:t>
            </w:r>
            <w:r>
              <w:rPr>
                <w:rFonts w:cs="Times New Roman" w:ascii="Times New Roman" w:hAnsi="Times New Roman"/>
                <w:b/>
                <w:color w:val="000000"/>
                <w:sz w:val="22"/>
                <w:szCs w:val="22"/>
              </w:rPr>
              <w:t>5380</w:t>
            </w:r>
          </w:p>
        </w:tc>
        <w:tc>
          <w:tcPr>
            <w:tcW w:w="1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60" w:type="dxa"/>
            <w:tcBorders>
              <w:top w:val="single" w:sz="4" w:space="0" w:color="000000"/>
              <w:left w:val="single" w:sz="4" w:space="0" w:color="000000"/>
              <w:bottom w:val="single" w:sz="4" w:space="0" w:color="000000"/>
            </w:tcBorders>
            <w:shd w:color="auto" w:fill="auto" w:val="clear"/>
          </w:tcPr>
          <w:p>
            <w:pPr>
              <w:pStyle w:val="Normal"/>
              <w:widowControl w:val="false"/>
              <w:ind w:hanging="2"/>
              <w:jc w:val="center"/>
              <w:rPr/>
            </w:pPr>
            <w:r>
              <w:rPr/>
              <w:t>01</w:t>
            </w:r>
          </w:p>
        </w:tc>
        <w:tc>
          <w:tcPr>
            <w:tcW w:w="1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c>
          <w:tcPr>
            <w:tcW w:w="1303"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pPr>
            <w:r>
              <w:rPr/>
              <w:t>180</w:t>
            </w:r>
          </w:p>
        </w:tc>
      </w:tr>
      <w:tr>
        <w:trPr>
          <w:trHeight w:val="3684" w:hRule="atLeast"/>
        </w:trPr>
        <w:tc>
          <w:tcPr>
            <w:tcW w:w="994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120"/>
              <w:ind w:hanging="2"/>
              <w:rPr/>
            </w:pPr>
            <w:r>
              <w:rPr>
                <w:rFonts w:cs="Times New Roman" w:ascii="Times New Roman" w:hAnsi="Times New Roman"/>
                <w:color w:val="000000"/>
                <w:sz w:val="22"/>
                <w:szCs w:val="22"/>
              </w:rPr>
              <w:t>(*) Demanda do campus Petrolina(IFSertãoPE) com previsão de 01 posto para demanda inicial e 01 para uma demanda futura.</w:t>
            </w:r>
          </w:p>
          <w:p>
            <w:pPr>
              <w:pStyle w:val="Normal"/>
              <w:widowControl w:val="false"/>
              <w:spacing w:before="171" w:after="171"/>
              <w:ind w:hanging="2"/>
              <w:rPr/>
            </w:pPr>
            <w:r>
              <w:rPr>
                <w:rFonts w:cs="Times New Roman" w:ascii="Times New Roman" w:hAnsi="Times New Roman"/>
                <w:color w:val="000000"/>
                <w:sz w:val="22"/>
                <w:szCs w:val="22"/>
              </w:rPr>
              <w:t>(**) Demanda do campus Petrolina(IFSertãoPE) com previsão de 01 posto para demanda inicial e 01 para uma demanda futura.</w:t>
            </w:r>
          </w:p>
          <w:p>
            <w:pPr>
              <w:pStyle w:val="Normal"/>
              <w:widowControl w:val="false"/>
              <w:spacing w:before="171" w:after="171"/>
              <w:ind w:hanging="2"/>
              <w:jc w:val="both"/>
              <w:rPr>
                <w:highlight w:val="none"/>
                <w:shd w:fill="FFFF00" w:val="clear"/>
              </w:rPr>
            </w:pPr>
            <w:r>
              <w:rPr>
                <w:rFonts w:cs="Times New Roman" w:ascii="Times New Roman" w:hAnsi="Times New Roman"/>
                <w:color w:val="000000"/>
                <w:sz w:val="22"/>
                <w:szCs w:val="22"/>
                <w:shd w:fill="FFFF00" w:val="clear"/>
              </w:rPr>
              <w:t xml:space="preserve">(***) </w:t>
            </w:r>
            <w:r>
              <w:rPr>
                <w:rFonts w:cs="Times New Roman" w:ascii="Times New Roman" w:hAnsi="Times New Roman"/>
                <w:b w:val="false"/>
                <w:bCs w:val="false"/>
                <w:color w:val="000000"/>
                <w:sz w:val="22"/>
                <w:szCs w:val="22"/>
                <w:shd w:fill="FFFF00" w:val="clear"/>
              </w:rPr>
              <w:t>Os serviços com as quantidades de postos previstos nesta planilha</w:t>
            </w:r>
            <w:r>
              <w:rPr>
                <w:rFonts w:cs="Times New Roman" w:ascii="Times New Roman" w:hAnsi="Times New Roman"/>
                <w:b/>
                <w:bCs/>
                <w:color w:val="000000"/>
                <w:sz w:val="22"/>
                <w:szCs w:val="22"/>
                <w:shd w:fill="FFFF00" w:val="clear"/>
              </w:rPr>
              <w:t xml:space="preserve">(item 03) </w:t>
            </w:r>
            <w:r>
              <w:rPr>
                <w:rFonts w:cs="Times New Roman" w:ascii="Times New Roman" w:hAnsi="Times New Roman"/>
                <w:b w:val="false"/>
                <w:bCs w:val="false"/>
                <w:color w:val="000000"/>
                <w:sz w:val="22"/>
                <w:szCs w:val="22"/>
                <w:shd w:fill="FFFF00" w:val="clear"/>
              </w:rPr>
              <w:t>deverão ser prestados nos</w:t>
            </w:r>
            <w:r>
              <w:rPr>
                <w:rFonts w:cs="Times New Roman" w:ascii="Times New Roman" w:hAnsi="Times New Roman"/>
                <w:b/>
                <w:bCs/>
                <w:color w:val="000000"/>
                <w:sz w:val="22"/>
                <w:szCs w:val="22"/>
                <w:shd w:fill="FFFF00" w:val="clear"/>
              </w:rPr>
              <w:t xml:space="preserve"> campi Olinda, Palmares Caruaru e Recife do IFPE</w:t>
            </w:r>
            <w:r>
              <w:rPr>
                <w:rFonts w:eastAsia="Arial" w:cs="Times New Roman" w:ascii="Times New Roman" w:hAnsi="Times New Roman"/>
                <w:b/>
                <w:bCs/>
                <w:color w:val="000000"/>
                <w:kern w:val="0"/>
                <w:sz w:val="20"/>
                <w:szCs w:val="20"/>
                <w:shd w:fill="FFFF00" w:val="clear"/>
                <w:lang w:val="pt-BR" w:eastAsia="zh-CN" w:bidi="hi-IN"/>
              </w:rPr>
              <w:t>(UASG: 158136),</w:t>
            </w:r>
            <w:r>
              <w:rPr>
                <w:rFonts w:eastAsia="Arial" w:cs="Times New Roman" w:ascii="Times New Roman" w:hAnsi="Times New Roman"/>
                <w:b w:val="false"/>
                <w:bCs w:val="false"/>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conforme endereço informado no</w:t>
            </w:r>
            <w:r>
              <w:rPr>
                <w:rFonts w:eastAsia="Arial" w:cs="Times New Roman" w:ascii="Times New Roman" w:hAnsi="Times New Roman"/>
                <w:b/>
                <w:bCs/>
                <w:color w:val="000000"/>
                <w:kern w:val="0"/>
                <w:sz w:val="22"/>
                <w:szCs w:val="22"/>
                <w:shd w:fill="FFFF00" w:val="clear"/>
                <w:lang w:val="pt-BR" w:eastAsia="zh-CN" w:bidi="hi-IN"/>
              </w:rPr>
              <w:t xml:space="preserve"> subitem 5.3.8 deste Termo.</w:t>
            </w:r>
          </w:p>
          <w:p>
            <w:pPr>
              <w:pStyle w:val="Normal"/>
              <w:widowControl w:val="false"/>
              <w:spacing w:before="171" w:after="171"/>
              <w:ind w:hanging="2"/>
              <w:jc w:val="both"/>
              <w:rPr/>
            </w:pPr>
            <w:r>
              <w:rPr>
                <w:rFonts w:eastAsia="Arial" w:cs="Times New Roman" w:ascii="Times New Roman" w:hAnsi="Times New Roman"/>
                <w:b/>
                <w:color w:val="000000"/>
                <w:kern w:val="0"/>
                <w:sz w:val="22"/>
                <w:szCs w:val="22"/>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Os serviços com as quantidades de postos previstos nesta planilha</w:t>
            </w:r>
            <w:r>
              <w:rPr>
                <w:rFonts w:eastAsia="Arial" w:cs="Times New Roman" w:ascii="Times New Roman" w:hAnsi="Times New Roman"/>
                <w:b/>
                <w:color w:val="000000"/>
                <w:kern w:val="0"/>
                <w:sz w:val="22"/>
                <w:szCs w:val="22"/>
                <w:shd w:fill="FFFF00" w:val="clear"/>
                <w:lang w:val="pt-BR" w:eastAsia="zh-CN" w:bidi="hi-IN"/>
              </w:rPr>
              <w:t xml:space="preserve">(item 04) </w:t>
            </w:r>
            <w:r>
              <w:rPr>
                <w:rFonts w:eastAsia="Arial" w:cs="Times New Roman" w:ascii="Times New Roman" w:hAnsi="Times New Roman"/>
                <w:b w:val="false"/>
                <w:bCs w:val="false"/>
                <w:color w:val="000000"/>
                <w:kern w:val="0"/>
                <w:sz w:val="22"/>
                <w:szCs w:val="22"/>
                <w:shd w:fill="FFFF00" w:val="clear"/>
                <w:lang w:val="pt-BR" w:eastAsia="zh-CN" w:bidi="hi-IN"/>
              </w:rPr>
              <w:t xml:space="preserve">deverão ser prestados nos </w:t>
            </w:r>
            <w:r>
              <w:rPr>
                <w:rFonts w:eastAsia="Arial" w:cs="Times New Roman" w:ascii="Times New Roman" w:hAnsi="Times New Roman"/>
                <w:b/>
                <w:color w:val="000000"/>
                <w:kern w:val="0"/>
                <w:sz w:val="22"/>
                <w:szCs w:val="22"/>
                <w:shd w:fill="FFFF00" w:val="clear"/>
                <w:lang w:val="pt-BR" w:eastAsia="zh-CN" w:bidi="hi-IN"/>
              </w:rPr>
              <w:t>campi Barreiros, Belo Jardim, Cabo de Santo Agostinho, Olinda, Pesqueira,  Recife e Vitória de Santo Antão do IFPE</w:t>
            </w:r>
            <w:r>
              <w:rPr>
                <w:rFonts w:eastAsia="Arial" w:cs="Times New Roman" w:ascii="Times New Roman" w:hAnsi="Times New Roman"/>
                <w:b/>
                <w:color w:val="000000"/>
                <w:kern w:val="0"/>
                <w:sz w:val="20"/>
                <w:szCs w:val="20"/>
                <w:shd w:fill="FFFF00" w:val="clear"/>
                <w:lang w:val="pt-BR" w:eastAsia="zh-CN" w:bidi="hi-IN"/>
              </w:rPr>
              <w:t>(UASG: 158136),</w:t>
            </w:r>
            <w:r>
              <w:rPr>
                <w:rFonts w:eastAsia="Arial" w:cs="Times New Roman" w:ascii="Times New Roman" w:hAnsi="Times New Roman"/>
                <w:b w:val="false"/>
                <w:bCs w:val="false"/>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conforme endereço informado no</w:t>
            </w:r>
            <w:r>
              <w:rPr>
                <w:rFonts w:eastAsia="Arial" w:cs="Times New Roman" w:ascii="Times New Roman" w:hAnsi="Times New Roman"/>
                <w:b/>
                <w:color w:val="000000"/>
                <w:kern w:val="0"/>
                <w:sz w:val="22"/>
                <w:szCs w:val="22"/>
                <w:shd w:fill="FFFF00" w:val="clear"/>
                <w:lang w:val="pt-BR" w:eastAsia="zh-CN" w:bidi="hi-IN"/>
              </w:rPr>
              <w:t xml:space="preserve"> </w:t>
            </w:r>
            <w:r>
              <w:rPr>
                <w:rFonts w:eastAsia="Arial" w:cs="Times New Roman" w:ascii="Times New Roman" w:hAnsi="Times New Roman"/>
                <w:b/>
                <w:bCs/>
                <w:color w:val="000000"/>
                <w:kern w:val="0"/>
                <w:sz w:val="22"/>
                <w:szCs w:val="22"/>
                <w:shd w:fill="FFFF00" w:val="clear"/>
                <w:lang w:val="pt-BR" w:eastAsia="zh-CN" w:bidi="hi-IN"/>
              </w:rPr>
              <w:t>s</w:t>
            </w:r>
            <w:r>
              <w:rPr>
                <w:rFonts w:eastAsia="Arial" w:cs="Times New Roman" w:ascii="Times New Roman" w:hAnsi="Times New Roman"/>
                <w:b/>
                <w:color w:val="000000"/>
                <w:kern w:val="0"/>
                <w:sz w:val="22"/>
                <w:szCs w:val="22"/>
                <w:shd w:fill="FFFF00" w:val="clear"/>
                <w:lang w:val="pt-BR" w:eastAsia="zh-CN" w:bidi="hi-IN"/>
              </w:rPr>
              <w:t>ubitem 5.3.8 deste Termo.</w:t>
            </w:r>
          </w:p>
          <w:p>
            <w:pPr>
              <w:pStyle w:val="Normal"/>
              <w:widowControl w:val="false"/>
              <w:spacing w:before="171" w:after="171"/>
              <w:ind w:hanging="2"/>
              <w:jc w:val="both"/>
              <w:rPr/>
            </w:pPr>
            <w:r>
              <w:rPr>
                <w:rFonts w:eastAsia="Arial" w:cs="Times New Roman" w:ascii="Times New Roman" w:hAnsi="Times New Roman"/>
                <w:b/>
                <w:color w:val="000000"/>
                <w:kern w:val="0"/>
                <w:sz w:val="20"/>
                <w:szCs w:val="20"/>
                <w:shd w:fill="FFFF00" w:val="clear"/>
                <w:lang w:val="pt-BR" w:eastAsia="zh-CN" w:bidi="hi-IN"/>
              </w:rPr>
              <w:t>(</w:t>
            </w:r>
            <w:r>
              <w:rPr>
                <w:rFonts w:eastAsia="Arial" w:cs="Times New Roman" w:ascii="Times New Roman" w:hAnsi="Times New Roman"/>
                <w:b/>
                <w:color w:val="000000"/>
                <w:kern w:val="0"/>
                <w:sz w:val="22"/>
                <w:szCs w:val="22"/>
                <w:shd w:fill="FFFF00" w:val="clear"/>
                <w:lang w:val="pt-BR" w:eastAsia="zh-CN" w:bidi="hi-IN"/>
              </w:rPr>
              <w:t>*****</w:t>
            </w:r>
            <w:r>
              <w:rPr>
                <w:rFonts w:eastAsia="Arial" w:cs="Times New Roman" w:ascii="Times New Roman" w:hAnsi="Times New Roman"/>
                <w:b/>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Os serviços com as quantidades de postos previstos nesta planilha(item 05) deverão ser prestados nos</w:t>
            </w:r>
            <w:r>
              <w:rPr>
                <w:rFonts w:eastAsia="Arial" w:cs="Times New Roman" w:ascii="Times New Roman" w:hAnsi="Times New Roman"/>
                <w:b/>
                <w:color w:val="000000"/>
                <w:kern w:val="0"/>
                <w:sz w:val="22"/>
                <w:szCs w:val="22"/>
                <w:shd w:fill="FFFF00" w:val="clear"/>
                <w:lang w:val="pt-BR" w:eastAsia="zh-CN" w:bidi="hi-IN"/>
              </w:rPr>
              <w:t xml:space="preserve"> campi Afogados da Ingazeira, Barreiros, Caruaru, Igarassú, Cabo de Santo Agostinho, Ipojuca, Jaboatão dos Guararapes, Olinda,  Palmares, Paulista, Pesqueira, Vitória de Santo Antão e Recife do IFPE(UASG: 158136), </w:t>
            </w:r>
            <w:r>
              <w:rPr>
                <w:rFonts w:eastAsia="Arial" w:cs="Times New Roman" w:ascii="Times New Roman" w:hAnsi="Times New Roman"/>
                <w:b w:val="false"/>
                <w:bCs w:val="false"/>
                <w:color w:val="000000"/>
                <w:kern w:val="0"/>
                <w:sz w:val="22"/>
                <w:szCs w:val="22"/>
                <w:shd w:fill="FFFF00" w:val="clear"/>
                <w:lang w:val="pt-BR" w:eastAsia="zh-CN" w:bidi="hi-IN"/>
              </w:rPr>
              <w:t>no</w:t>
            </w:r>
            <w:r>
              <w:rPr>
                <w:rFonts w:eastAsia="Arial" w:cs="Times New Roman" w:ascii="Times New Roman" w:hAnsi="Times New Roman"/>
                <w:b w:val="false"/>
                <w:bCs w:val="false"/>
                <w:color w:val="000000"/>
                <w:kern w:val="0"/>
                <w:sz w:val="22"/>
                <w:szCs w:val="22"/>
                <w:shd w:fill="FFFF00" w:val="clear"/>
                <w:lang w:val="pt-BR" w:eastAsia="zh-CN" w:bidi="hi-IN"/>
              </w:rPr>
              <w:t xml:space="preserve"> endereço informado no</w:t>
            </w:r>
            <w:r>
              <w:rPr>
                <w:rFonts w:eastAsia="Arial" w:cs="Times New Roman" w:ascii="Times New Roman" w:hAnsi="Times New Roman"/>
                <w:b/>
                <w:color w:val="000000"/>
                <w:kern w:val="0"/>
                <w:sz w:val="22"/>
                <w:szCs w:val="22"/>
                <w:shd w:fill="FFFF00" w:val="clear"/>
                <w:lang w:val="pt-BR" w:eastAsia="zh-CN" w:bidi="hi-IN"/>
              </w:rPr>
              <w:t xml:space="preserve"> subitem 5.3.8 deste Termo.</w:t>
            </w:r>
          </w:p>
        </w:tc>
      </w:tr>
    </w:tbl>
    <w:p>
      <w:pPr>
        <w:pStyle w:val="Normal"/>
        <w:ind w:hanging="2"/>
        <w:jc w:val="center"/>
        <w:rPr/>
      </w:pPr>
      <w:r>
        <w:rPr/>
      </w:r>
      <w:bookmarkStart w:id="1" w:name="bookmark=id.gjdgxs"/>
      <w:bookmarkStart w:id="2" w:name="bookmark=id.gjdgxs"/>
      <w:bookmarkEnd w:id="2"/>
    </w:p>
    <w:p>
      <w:pPr>
        <w:pStyle w:val="Normal"/>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1" w:hanging="3"/>
        <w:jc w:val="center"/>
        <w:rPr>
          <w:sz w:val="26"/>
          <w:szCs w:val="26"/>
        </w:rPr>
      </w:pPr>
      <w:r>
        <w:rPr>
          <w:rFonts w:cs="Times New Roman" w:ascii="Times New Roman" w:hAnsi="Times New Roman"/>
          <w:b/>
          <w:color w:val="000000"/>
          <w:sz w:val="26"/>
          <w:szCs w:val="26"/>
        </w:rPr>
        <w:t>GRUPO 03– CAMPUS PETROLINA ZONA RURAL</w:t>
      </w:r>
      <w:r>
        <w:rPr>
          <w:rFonts w:cs="Times New Roman" w:ascii="Times New Roman" w:hAnsi="Times New Roman"/>
          <w:b/>
          <w:sz w:val="26"/>
          <w:szCs w:val="26"/>
        </w:rPr>
        <w:t xml:space="preserve"> </w:t>
      </w:r>
    </w:p>
    <w:tbl>
      <w:tblPr>
        <w:tblW w:w="964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89"/>
        <w:gridCol w:w="3705"/>
        <w:gridCol w:w="1417"/>
        <w:gridCol w:w="1277"/>
        <w:gridCol w:w="1133"/>
        <w:gridCol w:w="1418"/>
      </w:tblGrid>
      <w:tr>
        <w:trPr/>
        <w:tc>
          <w:tcPr>
            <w:tcW w:w="689"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70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18"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r>
              <w:rPr/>
              <w:t>06</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bookmarkStart w:id="3" w:name="bookmark=id.30j0zll"/>
            <w:bookmarkEnd w:id="3"/>
            <w:r>
              <w:rPr/>
              <w:t>07</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p>
            <w:pPr>
              <w:pStyle w:val="Normal"/>
              <w:widowControl w:val="false"/>
              <w:ind w:hanging="2"/>
              <w:jc w:val="both"/>
              <w:rPr/>
            </w:pPr>
            <w:r>
              <w:rPr/>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24</w:t>
            </w:r>
          </w:p>
        </w:tc>
      </w:tr>
    </w:tbl>
    <w:p>
      <w:pPr>
        <w:pStyle w:val="Normal"/>
        <w:ind w:hanging="2"/>
        <w:jc w:val="center"/>
        <w:rPr/>
      </w:pPr>
      <w:r>
        <w:rPr/>
      </w:r>
    </w:p>
    <w:p>
      <w:pPr>
        <w:pStyle w:val="Normal"/>
        <w:ind w:left="1" w:hanging="3"/>
        <w:jc w:val="center"/>
        <w:rPr/>
      </w:pPr>
      <w:r>
        <w:rPr/>
      </w:r>
    </w:p>
    <w:p>
      <w:pPr>
        <w:pStyle w:val="Normal"/>
        <w:ind w:left="1" w:hanging="3"/>
        <w:jc w:val="center"/>
        <w:rPr/>
      </w:pPr>
      <w:r>
        <w:rPr/>
      </w:r>
    </w:p>
    <w:p>
      <w:pPr>
        <w:pStyle w:val="Normal"/>
        <w:ind w:hanging="0"/>
        <w:jc w:val="center"/>
        <w:rPr>
          <w:sz w:val="26"/>
          <w:szCs w:val="26"/>
        </w:rPr>
      </w:pPr>
      <w:r>
        <w:rPr>
          <w:rFonts w:cs="Times New Roman" w:ascii="Times New Roman" w:hAnsi="Times New Roman"/>
          <w:b/>
          <w:color w:val="000000"/>
          <w:sz w:val="26"/>
          <w:szCs w:val="26"/>
        </w:rPr>
        <w:t>GRUPO 04 – CAMPUS SALGUEIRO</w:t>
      </w:r>
      <w:r>
        <w:rPr>
          <w:rFonts w:cs="Times New Roman" w:ascii="Times New Roman" w:hAnsi="Times New Roman"/>
          <w:b/>
          <w:sz w:val="26"/>
          <w:szCs w:val="26"/>
        </w:rPr>
        <w:t xml:space="preserve"> </w:t>
      </w:r>
    </w:p>
    <w:tbl>
      <w:tblPr>
        <w:tblW w:w="9498"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40"/>
        <w:gridCol w:w="3613"/>
        <w:gridCol w:w="1134"/>
        <w:gridCol w:w="1275"/>
        <w:gridCol w:w="1277"/>
        <w:gridCol w:w="1558"/>
      </w:tblGrid>
      <w:tr>
        <w:trPr/>
        <w:tc>
          <w:tcPr>
            <w:tcW w:w="6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61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13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8"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la</w:t>
            </w:r>
            <w:r>
              <w:rPr>
                <w:rFonts w:cs="Times New Roman" w:ascii="Times New Roman" w:hAnsi="Times New Roman"/>
                <w:b/>
                <w:color w:val="000000"/>
                <w:shd w:fill="auto" w:val="clear"/>
              </w:rPr>
              <w:t>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08</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p>
            <w:pPr>
              <w:pStyle w:val="Normal"/>
              <w:keepNext w:val="true"/>
              <w:widowControl w:val="false"/>
              <w:ind w:hanging="2"/>
              <w:jc w:val="both"/>
              <w:rPr/>
            </w:pPr>
            <w:r>
              <w:rPr/>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12</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09</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24</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10</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2392-25 -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12</w:t>
            </w:r>
          </w:p>
        </w:tc>
      </w:tr>
    </w:tbl>
    <w:p>
      <w:pPr>
        <w:pStyle w:val="Normal"/>
        <w:rPr/>
      </w:pPr>
      <w:r>
        <w:rPr/>
      </w:r>
    </w:p>
    <w:p>
      <w:pPr>
        <w:pStyle w:val="Normal"/>
        <w:widowControl w:val="false"/>
        <w:spacing w:lineRule="auto" w:line="276" w:before="120" w:after="12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widowControl w:val="false"/>
        <w:spacing w:lineRule="auto" w:line="276" w:before="120" w:after="120"/>
        <w:jc w:val="center"/>
        <w:rPr>
          <w:sz w:val="26"/>
          <w:szCs w:val="26"/>
        </w:rPr>
      </w:pPr>
      <w:r>
        <w:rPr>
          <w:rFonts w:cs="Times New Roman" w:ascii="Times New Roman" w:hAnsi="Times New Roman"/>
          <w:b/>
          <w:sz w:val="26"/>
          <w:szCs w:val="26"/>
        </w:rPr>
        <w:t>ITEM 11– CAMPUS OURICURI</w:t>
      </w:r>
    </w:p>
    <w:tbl>
      <w:tblPr>
        <w:tblW w:w="993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72"/>
        <w:gridCol w:w="4047"/>
        <w:gridCol w:w="1280"/>
        <w:gridCol w:w="1277"/>
        <w:gridCol w:w="1134"/>
        <w:gridCol w:w="1419"/>
      </w:tblGrid>
      <w:tr>
        <w:trPr/>
        <w:tc>
          <w:tcPr>
            <w:tcW w:w="772"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404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8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19"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72" w:type="dxa"/>
            <w:tcBorders>
              <w:left w:val="single" w:sz="4" w:space="0" w:color="000000"/>
              <w:bottom w:val="single" w:sz="4" w:space="0" w:color="000000"/>
            </w:tcBorders>
            <w:shd w:color="auto" w:fill="auto" w:val="clear"/>
          </w:tcPr>
          <w:p>
            <w:pPr>
              <w:pStyle w:val="Normal"/>
              <w:widowControl w:val="false"/>
              <w:ind w:hanging="2"/>
              <w:jc w:val="center"/>
              <w:rPr/>
            </w:pPr>
            <w:r>
              <w:rPr/>
              <w:t>11</w:t>
            </w:r>
          </w:p>
        </w:tc>
        <w:tc>
          <w:tcPr>
            <w:tcW w:w="4047"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80"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9"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2" w:hanging="0"/>
        <w:jc w:val="center"/>
        <w:rPr>
          <w:sz w:val="26"/>
          <w:szCs w:val="26"/>
        </w:rPr>
      </w:pPr>
      <w:r>
        <w:rPr>
          <w:rFonts w:cs="Times New Roman" w:ascii="Times New Roman" w:hAnsi="Times New Roman"/>
          <w:b/>
          <w:sz w:val="26"/>
          <w:szCs w:val="26"/>
        </w:rPr>
        <w:t>ITEM 12– CAMPUS SANTA MARIA DA BOA VISTA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704"/>
        <w:gridCol w:w="3401"/>
        <w:gridCol w:w="1276"/>
        <w:gridCol w:w="1417"/>
        <w:gridCol w:w="1140"/>
        <w:gridCol w:w="1554"/>
      </w:tblGrid>
      <w:tr>
        <w:trPr/>
        <w:tc>
          <w:tcPr>
            <w:tcW w:w="70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01"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04"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3401"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ITEM 13 – CAMPUS SERRA TALHADA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630"/>
        <w:gridCol w:w="3475"/>
        <w:gridCol w:w="1276"/>
        <w:gridCol w:w="1417"/>
        <w:gridCol w:w="1140"/>
        <w:gridCol w:w="1554"/>
      </w:tblGrid>
      <w:tr>
        <w:trPr/>
        <w:tc>
          <w:tcPr>
            <w:tcW w:w="63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30" w:type="dxa"/>
            <w:tcBorders>
              <w:left w:val="single" w:sz="4" w:space="0" w:color="000000"/>
              <w:bottom w:val="single" w:sz="4" w:space="0" w:color="000000"/>
            </w:tcBorders>
            <w:shd w:color="auto" w:fill="auto" w:val="clear"/>
          </w:tcPr>
          <w:p>
            <w:pPr>
              <w:pStyle w:val="Normal"/>
              <w:widowControl w:val="false"/>
              <w:ind w:hanging="2"/>
              <w:jc w:val="center"/>
              <w:rPr/>
            </w:pPr>
            <w:r>
              <w:rPr/>
              <w:t>13</w:t>
            </w:r>
          </w:p>
        </w:tc>
        <w:tc>
          <w:tcPr>
            <w:tcW w:w="347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LOnormal"/>
        <w:numPr>
          <w:ilvl w:val="1"/>
          <w:numId w:val="5"/>
        </w:numPr>
        <w:spacing w:lineRule="auto" w:line="276" w:before="120" w:after="120"/>
        <w:ind w:left="141" w:hanging="0"/>
        <w:jc w:val="both"/>
        <w:rPr/>
      </w:pPr>
      <w:r>
        <w:rPr/>
        <w:t>O objeto da licitaçã</w:t>
      </w:r>
      <w:r>
        <w:rPr>
          <w:color w:val="000000"/>
        </w:rPr>
        <w:t>o tem natureza de serviço comum de natureza continuada com mão de obra exclusiva, nos termos do parágrafo único, art. 1º da Lei nº 10.520, de 2002.</w:t>
      </w:r>
    </w:p>
    <w:p>
      <w:pPr>
        <w:pStyle w:val="LOnormal"/>
        <w:numPr>
          <w:ilvl w:val="1"/>
          <w:numId w:val="5"/>
        </w:numPr>
        <w:spacing w:lineRule="auto" w:line="276" w:before="120" w:after="120"/>
        <w:ind w:left="141" w:hanging="0"/>
        <w:jc w:val="both"/>
        <w:rPr/>
      </w:pPr>
      <w:r>
        <w:rPr/>
        <w:t>Os quantitativos e respectivos códigos dos itens são discriminados na tabela acima.</w:t>
      </w:r>
    </w:p>
    <w:p>
      <w:pPr>
        <w:pStyle w:val="LOnormal"/>
        <w:numPr>
          <w:ilvl w:val="1"/>
          <w:numId w:val="5"/>
        </w:numPr>
        <w:spacing w:lineRule="auto" w:line="276" w:before="120" w:after="120"/>
        <w:ind w:left="141" w:hanging="0"/>
        <w:jc w:val="both"/>
        <w:rPr/>
      </w:pPr>
      <w:r>
        <w:rPr/>
        <w:t>A presente contratação adotará como regime de execuçã</w:t>
      </w:r>
      <w:r>
        <w:rPr>
          <w:color w:val="000000"/>
        </w:rPr>
        <w:t>o a Empreitada por Preço Global.</w:t>
      </w:r>
    </w:p>
    <w:p>
      <w:pPr>
        <w:pStyle w:val="LOnormal"/>
        <w:numPr>
          <w:ilvl w:val="1"/>
          <w:numId w:val="5"/>
        </w:numPr>
        <w:spacing w:lineRule="auto" w:line="276" w:before="120" w:after="120"/>
        <w:ind w:left="141" w:hanging="0"/>
        <w:jc w:val="both"/>
        <w:rPr/>
      </w:pPr>
      <w:r>
        <w:rPr>
          <w:color w:val="000000"/>
        </w:rPr>
        <w:t>O prazo de vigência do contrato é de 12 (doze) meses, podendo ser prorrogado por interesse das partes até o limite de 60 (sessenta) meses, com base no artigo 57, II, da Lei 8.666, de 1993.</w:t>
      </w:r>
    </w:p>
    <w:p>
      <w:pPr>
        <w:pStyle w:val="LOnormal"/>
        <w:numPr>
          <w:ilvl w:val="1"/>
          <w:numId w:val="5"/>
        </w:numPr>
        <w:spacing w:lineRule="auto" w:line="276" w:before="120" w:after="120"/>
        <w:jc w:val="both"/>
        <w:rPr/>
      </w:pPr>
      <w:r>
        <w:rPr>
          <w:b/>
          <w:color w:val="000000"/>
          <w:sz w:val="22"/>
          <w:szCs w:val="22"/>
        </w:rPr>
        <w:t xml:space="preserve"> </w:t>
      </w:r>
      <w:r>
        <w:rPr>
          <w:b/>
          <w:color w:val="000000"/>
          <w:sz w:val="22"/>
          <w:szCs w:val="22"/>
          <w:u w:val="single"/>
        </w:rPr>
        <w:t>A licitação é formada por 04(quatro) grupos e 03(três) itens correspondentes aos campis do IFSertãoPE, sendo que o Grupo 02 contém a demanda do Instituto Federal de Pernambuco - IFPE, conforme planilhas do subitem 1.1.1 e  Planilha de Preço Máximo de Aceitável - Anexo I/B deste Termo.</w:t>
      </w:r>
    </w:p>
    <w:p>
      <w:pPr>
        <w:pStyle w:val="LOnormal"/>
        <w:keepNext w:val="true"/>
        <w:keepLines/>
        <w:numPr>
          <w:ilvl w:val="0"/>
          <w:numId w:val="5"/>
        </w:numPr>
        <w:spacing w:lineRule="auto" w:line="276" w:before="480" w:after="0"/>
        <w:ind w:left="141" w:hanging="0"/>
        <w:jc w:val="both"/>
        <w:rPr>
          <w:b/>
          <w:b/>
          <w:color w:val="000000"/>
        </w:rPr>
      </w:pPr>
      <w:r>
        <w:rPr>
          <w:b/>
          <w:color w:val="000000"/>
        </w:rPr>
        <w:t>JUSTIFICATIVA E OBJETIVO DA CONTRATAÇÃO</w:t>
      </w:r>
    </w:p>
    <w:p>
      <w:pPr>
        <w:pStyle w:val="LOnormal"/>
        <w:numPr>
          <w:ilvl w:val="1"/>
          <w:numId w:val="5"/>
        </w:numPr>
        <w:spacing w:lineRule="auto" w:line="276" w:before="120" w:after="120"/>
        <w:ind w:left="141" w:hanging="0"/>
        <w:jc w:val="both"/>
        <w:rPr/>
      </w:pPr>
      <w:r>
        <w:rPr/>
        <w:t>A Justificativa e objetivo da contratação encontram-se pormenorizados em Tópico específico dos Estudos Técnicos Preliminares, apêndice deste Termo de Referência.</w:t>
      </w:r>
    </w:p>
    <w:p>
      <w:pPr>
        <w:pStyle w:val="LOnormal"/>
        <w:spacing w:lineRule="auto" w:line="276" w:before="120" w:after="120"/>
        <w:ind w:left="141" w:hanging="0"/>
        <w:jc w:val="both"/>
        <w:rPr>
          <w:rFonts w:ascii="Times New Roman" w:hAnsi="Times New Roman" w:eastAsia="Times New Roman" w:cs="Times New Roman"/>
          <w:color w:val="000000"/>
        </w:rPr>
      </w:pPr>
      <w:r>
        <w:rPr>
          <w:b/>
          <w:u w:val="single"/>
        </w:rPr>
        <w:t>2.2 JUSTIFICATIVA PARA AGRUPAMENTO – EMPREITADA POR PREÇO GLOBAL: O agrupamento de itens em lote, se faz necessário na presente contratação, uma vez que se trata de demandas pertinentes a unidades administrativas distintas, fato que deve ser levado em consideração para realização do agrupamento dos itens (com grupos para cada unidade administrativa). Para o agrupamento deve ser considerado ainda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Resumindo: a realização desta licitação por item poderia inviabilizar a gestão dos inúmeros contratos que se originariam após a homologação.</w:t>
      </w:r>
    </w:p>
    <w:p>
      <w:pPr>
        <w:pStyle w:val="LOnormal"/>
        <w:keepNext w:val="true"/>
        <w:keepLines/>
        <w:numPr>
          <w:ilvl w:val="0"/>
          <w:numId w:val="5"/>
        </w:numPr>
        <w:spacing w:lineRule="auto" w:line="276" w:before="480" w:after="0"/>
        <w:ind w:left="141" w:hanging="0"/>
        <w:jc w:val="both"/>
        <w:rPr>
          <w:b/>
          <w:b/>
          <w:color w:val="000000"/>
        </w:rPr>
      </w:pPr>
      <w:r>
        <w:rPr>
          <w:b/>
          <w:color w:val="000000"/>
        </w:rPr>
        <w:t>DESCRIÇÃO DA SOLUÇÃO</w:t>
      </w:r>
    </w:p>
    <w:p>
      <w:pPr>
        <w:pStyle w:val="LOnormal"/>
        <w:numPr>
          <w:ilvl w:val="1"/>
          <w:numId w:val="5"/>
        </w:numPr>
        <w:spacing w:lineRule="auto" w:line="276" w:before="120" w:after="120"/>
        <w:ind w:left="141" w:hanging="0"/>
        <w:jc w:val="both"/>
        <w:rPr/>
      </w:pPr>
      <w:r>
        <w:rPr/>
        <w:t>A descrição da solução como um todo, encontra-se pormenorizada em Tópico específico dos Estudos Técnicos Preliminares, apêndice deste Termo de Referência.</w:t>
      </w:r>
    </w:p>
    <w:p>
      <w:pPr>
        <w:pStyle w:val="LOnormal"/>
        <w:keepNext w:val="true"/>
        <w:keepLines/>
        <w:numPr>
          <w:ilvl w:val="0"/>
          <w:numId w:val="5"/>
        </w:numPr>
        <w:spacing w:lineRule="auto" w:line="276" w:before="480" w:after="0"/>
        <w:ind w:left="141" w:hanging="0"/>
        <w:jc w:val="both"/>
        <w:rPr>
          <w:b/>
          <w:b/>
          <w:color w:val="000000"/>
        </w:rPr>
      </w:pPr>
      <w:r>
        <w:rPr>
          <w:b/>
          <w:color w:val="000000"/>
        </w:rPr>
        <w:t>DA CLASSIFICAÇÃO DOS SERVIÇOS E FORMA DE SELEÇÃO DO FORNECEDOR</w:t>
      </w:r>
    </w:p>
    <w:p>
      <w:pPr>
        <w:pStyle w:val="LOnormal"/>
        <w:numPr>
          <w:ilvl w:val="1"/>
          <w:numId w:val="5"/>
        </w:numPr>
        <w:spacing w:lineRule="auto" w:line="276" w:before="120" w:after="120"/>
        <w:ind w:left="141" w:hanging="0"/>
        <w:jc w:val="both"/>
        <w:rPr/>
      </w:pPr>
      <w:r>
        <w:rPr/>
        <w:t>Trata-se de serviço comum, de caráter continuado e com fornecimento de mão de obra em regime de dedicação exclusiva, a ser contratado mediante licitação, na modalidade pregão, em sua forma eletrônica.</w:t>
      </w:r>
    </w:p>
    <w:p>
      <w:pPr>
        <w:pStyle w:val="LOnormal"/>
        <w:numPr>
          <w:ilvl w:val="1"/>
          <w:numId w:val="5"/>
        </w:numPr>
        <w:spacing w:lineRule="auto" w:line="276" w:before="120" w:after="120"/>
        <w:ind w:left="141" w:hanging="0"/>
        <w:jc w:val="both"/>
        <w:rPr/>
      </w:pPr>
      <w:r>
        <w:rPr/>
        <w:t>Os serviços a serem contratados enquadram-se nos pressupostos do Decreto n° 9.507, de 21 de setembro de 2018, não se constituindo em quaisquer das atividades, previstas no art. 3º do aludido decreto, cuja execução indireta é vedada.</w:t>
      </w:r>
    </w:p>
    <w:p>
      <w:pPr>
        <w:pStyle w:val="LOnormal"/>
        <w:numPr>
          <w:ilvl w:val="1"/>
          <w:numId w:val="5"/>
        </w:numPr>
        <w:spacing w:lineRule="auto" w:line="276" w:before="120" w:after="120"/>
        <w:ind w:left="141" w:hanging="0"/>
        <w:jc w:val="both"/>
        <w:rPr/>
      </w:pPr>
      <w:r>
        <w:rPr/>
        <w:t>A prestação dos serviços não gera vínculo empregatício entre os empregados da Contratada e a Administração Contratante, vedando-se qualquer relação entre estes que caracterize pessoalidade e subordinação direta.</w:t>
      </w:r>
    </w:p>
    <w:p>
      <w:pPr>
        <w:pStyle w:val="LOnormal"/>
        <w:numPr>
          <w:ilvl w:val="1"/>
          <w:numId w:val="5"/>
        </w:numPr>
        <w:spacing w:lineRule="auto" w:line="276" w:before="120" w:after="120"/>
        <w:ind w:left="141" w:hanging="0"/>
        <w:jc w:val="both"/>
        <w:rPr/>
      </w:pPr>
      <w:r>
        <w:rPr>
          <w:b/>
          <w:u w:val="single"/>
        </w:rPr>
        <w:t>A contratação objeto deste Termo de Referência será realizada através do Sistema de Registro de Preços (SRP), nos termos do Decreto Federal Nº 7.892/2013. A adoção do SRP se dará pela justificativa que tal contratação atenderá a mais de um órgão da administração, considerando que, apesar de se tratar de uma única Instituição Federal de Ensino, cada Campus tem sua autonomia administrativa e financeira, o que configura o atendimento a mais de uma entidade, além do que, o Sistema de Registro de Preços SRP é uma opção economicamente viável à Administração, portanto, preferencial em relação às demais. Dessa forma, tem-se atendida duas hipóteses que justificam a adoção do SRP, conforme o disposto no Inciso III do Art. 3º do referido Decreto.</w:t>
      </w:r>
    </w:p>
    <w:p>
      <w:pPr>
        <w:pStyle w:val="LOnormal"/>
        <w:keepNext w:val="true"/>
        <w:keepLines/>
        <w:numPr>
          <w:ilvl w:val="0"/>
          <w:numId w:val="5"/>
        </w:numPr>
        <w:spacing w:lineRule="auto" w:line="276" w:before="480" w:after="0"/>
        <w:ind w:left="141" w:hanging="0"/>
        <w:jc w:val="both"/>
        <w:rPr>
          <w:b/>
          <w:b/>
          <w:color w:val="000000"/>
        </w:rPr>
      </w:pPr>
      <w:r>
        <w:rPr>
          <w:b/>
          <w:color w:val="000000"/>
        </w:rPr>
        <w:t>REQUISITOS DA CONTRATAÇÃO</w:t>
      </w:r>
    </w:p>
    <w:p>
      <w:pPr>
        <w:pStyle w:val="LOnormal"/>
        <w:numPr>
          <w:ilvl w:val="1"/>
          <w:numId w:val="5"/>
        </w:numPr>
        <w:spacing w:lineRule="auto" w:line="276" w:before="120" w:after="120"/>
        <w:ind w:left="141" w:hanging="0"/>
        <w:jc w:val="both"/>
        <w:rPr/>
      </w:pPr>
      <w:r>
        <w:rPr>
          <w:color w:val="000000"/>
        </w:rPr>
        <w:t>Conforme Estudos Preliminares, os requisitos da contratação abrangem o seguinte:</w:t>
      </w:r>
    </w:p>
    <w:p>
      <w:pPr>
        <w:pStyle w:val="LOnormal"/>
        <w:numPr>
          <w:ilvl w:val="2"/>
          <w:numId w:val="5"/>
        </w:numPr>
        <w:spacing w:lineRule="auto" w:line="276" w:before="120" w:after="120"/>
        <w:ind w:left="141" w:hanging="0"/>
        <w:jc w:val="both"/>
        <w:rPr>
          <w:b/>
          <w:b/>
          <w:color w:val="000000"/>
          <w:u w:val="single"/>
        </w:rPr>
      </w:pPr>
      <w:r>
        <w:rPr>
          <w:b/>
          <w:color w:val="000000"/>
          <w:u w:val="single"/>
        </w:rPr>
        <w:t>Serviço continuado, com fornecimento de mão de obra em regime de dedicação exclusiva;</w:t>
      </w:r>
    </w:p>
    <w:p>
      <w:pPr>
        <w:pStyle w:val="LOnormal"/>
        <w:numPr>
          <w:ilvl w:val="2"/>
          <w:numId w:val="5"/>
        </w:numPr>
        <w:spacing w:lineRule="auto" w:line="276" w:before="120" w:after="120"/>
        <w:ind w:left="141" w:hanging="0"/>
        <w:jc w:val="both"/>
        <w:rPr>
          <w:b/>
          <w:b/>
          <w:color w:val="000000"/>
          <w:u w:val="single"/>
        </w:rPr>
      </w:pPr>
      <w:r>
        <w:rPr>
          <w:b/>
          <w:color w:val="000000"/>
          <w:u w:val="single"/>
        </w:rPr>
        <w:t>Os requisitos especificados foram definidos considerando as suas demandas e apoiados em seu conhecimento técnico aproximado e correspondente ao tipo de contratação e pela legislação e literatura que discorre a respeito da inclusão;</w:t>
      </w:r>
    </w:p>
    <w:p>
      <w:pPr>
        <w:pStyle w:val="LOnormal"/>
        <w:numPr>
          <w:ilvl w:val="2"/>
          <w:numId w:val="5"/>
        </w:numPr>
        <w:spacing w:lineRule="auto" w:line="276" w:before="120" w:after="120"/>
        <w:ind w:left="141" w:hanging="0"/>
        <w:jc w:val="both"/>
        <w:rPr>
          <w:b/>
          <w:b/>
          <w:color w:val="000000"/>
          <w:u w:val="single"/>
        </w:rPr>
      </w:pPr>
      <w:r>
        <w:rPr>
          <w:b/>
          <w:color w:val="000000"/>
          <w:u w:val="single"/>
        </w:rPr>
        <w:t>Os requisitos estipulados foram propostos considerando a formação básica necessária para a atuação desses profissionais com classe e nível compatível e similar aos cargos existentes no quadro de servidores do instituto;</w:t>
      </w:r>
    </w:p>
    <w:p>
      <w:pPr>
        <w:pStyle w:val="LOnormal"/>
        <w:numPr>
          <w:ilvl w:val="2"/>
          <w:numId w:val="5"/>
        </w:numPr>
        <w:spacing w:lineRule="auto" w:line="276" w:before="120" w:after="120"/>
        <w:ind w:left="141" w:hanging="0"/>
        <w:jc w:val="both"/>
        <w:rPr>
          <w:b/>
          <w:b/>
          <w:color w:val="000000"/>
          <w:u w:val="single"/>
        </w:rPr>
      </w:pPr>
      <w:r>
        <w:rPr>
          <w:b/>
          <w:color w:val="000000"/>
          <w:u w:val="single"/>
        </w:rPr>
        <w:t>Caberá à empresa CONTRATADA fornecer todos os materiais e equipamentos necessários à execução dos serviços a serem prestados incluindo equipamentos eletrônicos usados no atendimento remoto, sendo responsável pela manutenção e substituição quando necessário;</w:t>
      </w:r>
    </w:p>
    <w:p>
      <w:pPr>
        <w:pStyle w:val="LOnormal"/>
        <w:numPr>
          <w:ilvl w:val="2"/>
          <w:numId w:val="5"/>
        </w:numPr>
        <w:spacing w:lineRule="auto" w:line="276" w:before="120" w:after="120"/>
        <w:ind w:left="141" w:hanging="0"/>
        <w:jc w:val="both"/>
        <w:rPr>
          <w:b/>
          <w:b/>
          <w:color w:val="000000"/>
          <w:u w:val="single"/>
        </w:rPr>
      </w:pPr>
      <w:r>
        <w:rPr>
          <w:b/>
          <w:color w:val="000000"/>
          <w:u w:val="single"/>
        </w:rPr>
        <w:t>A empresa CONTRATADA fornecerá fardamentos e crachás adequados para a execução das atividades, conforme normas regulamentadoras vigentes;</w:t>
      </w:r>
    </w:p>
    <w:p>
      <w:pPr>
        <w:pStyle w:val="LOnormal"/>
        <w:numPr>
          <w:ilvl w:val="2"/>
          <w:numId w:val="5"/>
        </w:numPr>
        <w:spacing w:lineRule="auto" w:line="276" w:before="120" w:after="120"/>
        <w:ind w:left="113" w:hanging="0"/>
        <w:jc w:val="both"/>
        <w:rPr>
          <w:color w:val="000000"/>
        </w:rPr>
      </w:pPr>
      <w:r>
        <w:rPr>
          <w:b/>
          <w:color w:val="000000"/>
          <w:u w:val="single"/>
        </w:rPr>
        <w:t>A jornada de trabalho dos profissionais contratados será de 40 (quarenta) horas semanais, podendo ocorrer durante o turno diurno e/ou noturno, também excepcionalmente nos finais de semanas quando necessário, de acordo com as especificidades do cargo e a necessidade da instituição, não cabendo à CONTRATADA modificar ou alterar os horários de postos de serviços por necessidades alheias àquelas do IFSertãoPE. (requisitos necessários para o atendimento da necessidade);</w:t>
      </w:r>
    </w:p>
    <w:p>
      <w:pPr>
        <w:pStyle w:val="LOnormal"/>
        <w:spacing w:lineRule="auto" w:line="276" w:before="120" w:after="120"/>
        <w:ind w:left="1922" w:hanging="0"/>
        <w:jc w:val="both"/>
        <w:rPr>
          <w:b/>
          <w:b/>
          <w:color w:val="000000"/>
          <w:u w:val="single"/>
        </w:rPr>
      </w:pPr>
      <w:r>
        <w:rPr>
          <w:b/>
          <w:color w:val="000000"/>
          <w:u w:val="single"/>
        </w:rPr>
        <w:t>5.1.6.1 Para fins de esclarecimento do subitem acima o horário dos profissionais será estabelecido em conformidade com as necessidades do Campus não ultrapassando as 40 horas semanais e as 8 horas diárias.</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Ledor/Transcritor Braille deve ter no mínimo o Nível superior, na área de Pedagogia ou Licenciatura e curso de Braille/Tiflologia com carga horária mínima de 120 horas, em instituição reconhecida pelo MEC ou por entidades representativas dos deficientes visuais, com experiência de no mínimo 6 meses.;</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de Apoio Escolar deve ter no mínimo formação em nível médio,</w:t>
      </w:r>
      <w:r>
        <w:rPr>
          <w:b/>
          <w:bCs/>
          <w:color w:val="000000"/>
          <w:u w:val="single"/>
          <w:shd w:fill="auto" w:val="clear"/>
        </w:rPr>
        <w:t xml:space="preserve"> </w:t>
      </w:r>
      <w:r>
        <w:rPr>
          <w:rFonts w:eastAsia="Times New Roman" w:cs="Times New Roman"/>
          <w:b/>
          <w:bCs/>
          <w:color w:val="000000"/>
          <w:kern w:val="0"/>
          <w:sz w:val="20"/>
          <w:szCs w:val="20"/>
          <w:u w:val="single"/>
          <w:shd w:fill="auto" w:val="clear"/>
          <w:lang w:val="pt-BR" w:eastAsia="zh-CN" w:bidi="hi-IN"/>
        </w:rPr>
        <w:t xml:space="preserve">ter cursos livres de no mínimo 80 horas que comprove habilidades técnicas na área de </w:t>
      </w:r>
      <w:hyperlink r:id="rId2">
        <w:r>
          <w:rPr>
            <w:rStyle w:val="LinkdaInternet"/>
            <w:rFonts w:eastAsia="Times New Roman" w:cs="Times New Roman"/>
            <w:b/>
            <w:bCs/>
            <w:i w:val="false"/>
            <w:caps w:val="false"/>
            <w:smallCaps w:val="false"/>
            <w:strike w:val="false"/>
            <w:dstrike w:val="false"/>
            <w:color w:val="000000"/>
            <w:spacing w:val="0"/>
            <w:kern w:val="0"/>
            <w:sz w:val="20"/>
            <w:szCs w:val="20"/>
            <w:u w:val="single"/>
            <w:effect w:val="none"/>
            <w:shd w:fill="auto" w:val="clear"/>
            <w:lang w:val="pt-BR" w:eastAsia="zh-CN" w:bidi="hi-IN"/>
          </w:rPr>
          <w:t>Atendimento educacional especializado</w:t>
        </w:r>
      </w:hyperlink>
      <w:r>
        <w:rPr>
          <w:rFonts w:eastAsia="Times New Roman" w:cs="Times New Roman"/>
          <w:b/>
          <w:bCs/>
          <w:color w:val="000000"/>
          <w:kern w:val="0"/>
          <w:sz w:val="20"/>
          <w:szCs w:val="20"/>
          <w:u w:val="single"/>
          <w:shd w:fill="auto" w:val="clear"/>
          <w:lang w:val="pt-BR" w:eastAsia="zh-CN" w:bidi="hi-IN"/>
        </w:rPr>
        <w:t>,</w:t>
      </w:r>
      <w:r>
        <w:rPr>
          <w:b/>
          <w:bCs/>
          <w:color w:val="000000"/>
          <w:u w:val="single"/>
          <w:shd w:fill="auto" w:val="clear"/>
        </w:rPr>
        <w:t xml:space="preserve"> </w:t>
      </w:r>
      <w:r>
        <w:rPr>
          <w:b/>
          <w:bCs/>
          <w:color w:val="000000"/>
          <w:u w:val="single"/>
        </w:rPr>
        <w:t xml:space="preserve">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 </w:t>
      </w:r>
      <w:r>
        <w:rPr>
          <w:b/>
          <w:bCs/>
          <w:color w:val="000000"/>
          <w:u w:val="single"/>
        </w:rPr>
        <w:t>Competências pessoais – Demonstrar: b.1 – Preparo físico b.2 – Capacidade de acolhimento b.3 - Capacidade de adaptação b.4 – Empatia b.5 – Capacidade de respeitar a privacidade do aluno b.6 – Paciência b.7 – Capacidade de escuta b.8 – Capacidade de percepção b.9 – Calma em situações críticas b.10 – Discrição b.11 – Capacidade de tomar decisões b.12 – Capacidade de reconhecer limites pessoais b.13 – Criatividade b.14 – Capacidade de buscar Informações e orientações técnicas b.15 – Iniciativa b.16 – Preparo emocional b.17 – Capacidade de transmitir valores a partir do próprio exemplo e pela fala b.18 – Capacidade de administrar o tempo b.19 – Honestidade</w:t>
      </w:r>
      <w:r>
        <w:rPr>
          <w:b/>
          <w:bCs/>
          <w:color w:val="000000"/>
          <w:u w:val="single"/>
        </w:rPr>
        <w:t>.</w:t>
      </w:r>
    </w:p>
    <w:p>
      <w:pPr>
        <w:pStyle w:val="LOnormal"/>
        <w:numPr>
          <w:ilvl w:val="2"/>
          <w:numId w:val="5"/>
        </w:numPr>
        <w:spacing w:lineRule="auto" w:line="276" w:before="120" w:after="120"/>
        <w:ind w:left="141" w:hanging="0"/>
        <w:jc w:val="both"/>
        <w:rPr>
          <w:b/>
          <w:b/>
          <w:bCs/>
          <w:color w:val="000000"/>
          <w:u w:val="single"/>
        </w:rPr>
      </w:pPr>
      <w:r>
        <w:rPr>
          <w:b/>
          <w:bCs/>
          <w:color w:val="000000"/>
          <w:u w:val="single"/>
        </w:rPr>
        <w:t>O Profissional 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p>
      <w:pPr>
        <w:pStyle w:val="LOnormal"/>
        <w:numPr>
          <w:ilvl w:val="2"/>
          <w:numId w:val="5"/>
        </w:numPr>
        <w:spacing w:lineRule="auto" w:line="276" w:before="120" w:after="120"/>
        <w:ind w:left="141" w:hanging="0"/>
        <w:jc w:val="both"/>
        <w:rPr>
          <w:b/>
          <w:b/>
          <w:color w:val="000000"/>
          <w:u w:val="single"/>
        </w:rPr>
      </w:pPr>
      <w:r>
        <w:rPr>
          <w:b/>
          <w:color w:val="000000"/>
          <w:u w:val="single"/>
        </w:rPr>
        <w:t>Todos os profissionais selecionados pela CONTRATADA deverão atuar de acordo com as recomendações dispostas na legislação vigente, orientações do Ministério da Educação (MEC) e respeitando as normas e regulamentos do IFSertãoPE;</w:t>
      </w:r>
    </w:p>
    <w:p>
      <w:pPr>
        <w:pStyle w:val="LOnormal"/>
        <w:numPr>
          <w:ilvl w:val="2"/>
          <w:numId w:val="5"/>
        </w:numPr>
        <w:spacing w:lineRule="auto" w:line="276" w:before="120" w:after="120"/>
        <w:ind w:left="141" w:hanging="0"/>
        <w:jc w:val="both"/>
        <w:rPr>
          <w:b/>
          <w:b/>
          <w:color w:val="000000"/>
          <w:u w:val="single"/>
        </w:rPr>
      </w:pPr>
      <w:r>
        <w:rPr>
          <w:b/>
          <w:color w:val="000000"/>
          <w:u w:val="single"/>
        </w:rPr>
        <w:t>Os profissionais deverão ser rigorosamente selecionados pela CONTRATADA, a qual ficará, para todos os efeitos legais e administrativos, responsável perante o CONTRATANTE e terceiros, pelos atos por eles praticados no desempenho de suas funções;</w:t>
      </w:r>
    </w:p>
    <w:p>
      <w:pPr>
        <w:pStyle w:val="LOnormal"/>
        <w:numPr>
          <w:ilvl w:val="2"/>
          <w:numId w:val="5"/>
        </w:numPr>
        <w:spacing w:lineRule="auto" w:line="276" w:before="120" w:after="120"/>
        <w:ind w:left="141" w:hanging="0"/>
        <w:jc w:val="both"/>
        <w:rPr>
          <w:b/>
          <w:b/>
          <w:color w:val="000000"/>
          <w:u w:val="single"/>
        </w:rPr>
      </w:pPr>
      <w:r>
        <w:rPr>
          <w:b/>
          <w:color w:val="000000"/>
          <w:u w:val="single"/>
        </w:rPr>
        <w:t>os prestadores de serviços da CONTRATADA também deverão ser orientados pela CONTRADATA a:</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critérios de pontualidade, ética, cortesia e assiduidade ao trabalho;</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os princípios de urbanidade e apresentar-se sempre com crachá e com o fardamento fornecido pela CONTRATADA;</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pelo Patrimônio da Instituição;</w:t>
      </w:r>
    </w:p>
    <w:p>
      <w:pPr>
        <w:pStyle w:val="LOnormal"/>
        <w:numPr>
          <w:ilvl w:val="4"/>
          <w:numId w:val="5"/>
        </w:numPr>
        <w:spacing w:lineRule="auto" w:line="276" w:before="120" w:after="120"/>
        <w:ind w:left="1275" w:hanging="0"/>
        <w:jc w:val="both"/>
        <w:rPr>
          <w:b/>
          <w:b/>
          <w:color w:val="000000"/>
          <w:u w:val="single"/>
        </w:rPr>
      </w:pPr>
      <w:r>
        <w:rPr>
          <w:b/>
          <w:color w:val="000000"/>
          <w:u w:val="single"/>
        </w:rPr>
        <w:t>Manter sigilo das informações que porventura venha a tomar conhecimento em função de suas atribuições. Em caso de descumprimento do sigilo de informações, a Administração procederá à análise e aplicação das sanções administrativas cabíveis, sem prejuízo das sanções nas esferas penal e civil;</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pela manutenção de um ambiente de trabalho tranquilo e livre de conflitos;</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contratada deverá garantir a otimização do processo de trabalho, dentre outras questões manter sua equipe com capacitação contínua dos seus prestadores de serviços a fim de zelar pela qualidade do serviço prestado à CONTRATANTE;</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CONTRATANTE não se responsabilizará por ofertar cursos de capacitação de processo de trabalho, Ética, Relação Interpessoal, e específicos de cada categoria profissional.</w:t>
      </w:r>
    </w:p>
    <w:p>
      <w:pPr>
        <w:pStyle w:val="LOnormal"/>
        <w:spacing w:lineRule="auto" w:line="276" w:before="120" w:after="120"/>
        <w:ind w:left="141" w:hanging="0"/>
        <w:jc w:val="both"/>
        <w:rPr/>
      </w:pPr>
      <w:r>
        <w:rPr/>
        <w:t>5.1.14 Duração Inicial do Contrato: O contrato será firmado por um prazo de 12 meses, podendo ser prorrogado sucessivas vezes até o máximo de 60 meses conforme reza o artigo 57, II da Lei 8666/93.</w:t>
      </w:r>
    </w:p>
    <w:p>
      <w:pPr>
        <w:pStyle w:val="LOnormal"/>
        <w:spacing w:lineRule="auto" w:line="276" w:before="0" w:after="120"/>
        <w:ind w:left="141" w:hanging="0"/>
        <w:jc w:val="both"/>
        <w:rPr/>
      </w:pPr>
      <w:r>
        <w:rPr>
          <w:color w:val="000000"/>
        </w:rPr>
        <w:t xml:space="preserve">5.1.15 </w:t>
      </w:r>
      <w:r>
        <w:rPr>
          <w:b/>
          <w:color w:val="000000"/>
          <w:u w:val="single"/>
        </w:rPr>
        <w:t>Transição Contratual:</w:t>
      </w:r>
      <w:r>
        <w:rPr>
          <w:color w:val="000000"/>
        </w:rPr>
        <w:t xml:space="preserve"> Considerando que as atividades de apoio administrativo, elencados são rotineiras, não há a necessidade da contratada realizar a transição contratual.</w:t>
      </w:r>
    </w:p>
    <w:p>
      <w:pPr>
        <w:pStyle w:val="LOnormal"/>
        <w:spacing w:lineRule="auto" w:line="276" w:before="0" w:after="120"/>
        <w:ind w:left="141" w:hanging="0"/>
        <w:jc w:val="both"/>
        <w:rPr/>
      </w:pPr>
      <w:r>
        <w:rPr/>
        <w:t>5.1.16 Relevância dos requisitos apresentados: Os requisitos apontados visam a contratação de empresa que possua plena capacidade de executar com presteza as atividades descritas no termo de referência e contrato a ser firmado com a Administração.</w:t>
      </w:r>
    </w:p>
    <w:p>
      <w:pPr>
        <w:pStyle w:val="LOnormal"/>
        <w:spacing w:lineRule="auto" w:line="276" w:before="0" w:after="120"/>
        <w:ind w:left="1133" w:hanging="0"/>
        <w:jc w:val="both"/>
        <w:rPr/>
      </w:pPr>
      <w:r>
        <w:rPr>
          <w:color w:val="000000"/>
        </w:rPr>
        <w:t>5.1.16.1</w:t>
        <w:tab/>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pPr>
        <w:pStyle w:val="LOnormal"/>
        <w:spacing w:lineRule="auto" w:line="276" w:before="0" w:after="120"/>
        <w:ind w:left="141" w:hanging="0"/>
        <w:jc w:val="both"/>
        <w:rPr/>
      </w:pPr>
      <w:r>
        <w:rPr/>
        <w:t>5.2 O enquadramento das categorias profissionais que serão empregadas no serviço, dentro da Classificação Brasileira de Ocupações (CBO) com a disponibilização de mão de obra em regime de dedicação exclusiva, é o seguinte:</w:t>
      </w:r>
    </w:p>
    <w:tbl>
      <w:tblPr>
        <w:tblStyle w:val="TableNormal"/>
        <w:tblW w:w="9355" w:type="dxa"/>
        <w:jc w:val="left"/>
        <w:tblInd w:w="243" w:type="dxa"/>
        <w:tblLayout w:type="fixed"/>
        <w:tblCellMar>
          <w:top w:w="0" w:type="dxa"/>
          <w:left w:w="108" w:type="dxa"/>
          <w:bottom w:w="0" w:type="dxa"/>
          <w:right w:w="108" w:type="dxa"/>
        </w:tblCellMar>
        <w:tblLook w:firstRow="0" w:noVBand="0" w:lastRow="0" w:firstColumn="0" w:lastColumn="0" w:noHBand="0" w:val="0000"/>
      </w:tblPr>
      <w:tblGrid>
        <w:gridCol w:w="609"/>
        <w:gridCol w:w="4260"/>
        <w:gridCol w:w="134"/>
        <w:gridCol w:w="53"/>
        <w:gridCol w:w="4066"/>
        <w:gridCol w:w="232"/>
      </w:tblGrid>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Nº</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0"/>
                <w:kern w:val="0"/>
                <w:sz w:val="22"/>
                <w:szCs w:val="22"/>
                <w:lang w:val="pt-BR" w:eastAsia="zh-CN" w:bidi="hi-IN"/>
              </w:rPr>
              <w:t xml:space="preserve">Posto de </w:t>
            </w:r>
            <w:r>
              <w:rPr>
                <w:rFonts w:eastAsia="Times New Roman" w:cs="Times New Roman" w:ascii="Times New Roman" w:hAnsi="Times New Roman"/>
                <w:color w:val="00000A"/>
                <w:kern w:val="0"/>
                <w:sz w:val="22"/>
                <w:szCs w:val="22"/>
                <w:lang w:val="pt-BR" w:eastAsia="zh-CN" w:bidi="hi-IN"/>
              </w:rPr>
              <w:t>LEDOR/TRANSCRITOR BRAILLE: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01</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2392-25</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 do Cargo Correlato: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Monitor Braile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Reproduzir, em caracteres do alfabeto Braille, conteúdos de textos originalmente impressos no sistema comum de escrita ou vice-versa seguindo as normas técnicas para a produção de textos em Braille; seguir rigorosamente as técnicas especializadas de leitura para pessoas com deficiência; contribuir para melhoria (com desenvolvimento) da aprendizagem dos estudantes com deficiência; contribuir para acessibilidade nos espaços e conteúdos curriculares aos estudantes com deficiência; participar no planejamento e execução da formação na área da deficiência visual; adaptar e produzir materiais didático-pedagógicos; organizar e participar de ações relativas ao atendimento de pessoas com deficiência visual; e atuar com as diversas tecnologias assistivas existentes. Desenvolver a transcrição de textos em Braille na substituição de anotações do sistema comum; Utilizar simbologia específica do sistema Braille na substituição de anotações do sistema comum; Transcrever textos utilizando o sistema Braille, ampliação e audiodescrição, respeitando as recomendações brasileiras; Utilizar códigos específicos de musicografia Braille, ciências exatas e de informática respeitando as necessidades específicas da pessoa com deficiência visual; Executar outras tarefas de mesma natureza e nível de complexidades associadas ao ambiente organizacional; Responsabilizar-se pela manutenção, atualização e conservação dos recursos tecnológicos; Ministrar curso de Sistema Braille. Auxiliar educandos com deficiência visual no sistema de ensino. Interagir com o professor nas ações pedagógicas que estão sendo planejadas e/ou realizadas. Participar ativamente das atividades pedagógicas desenvolvidas em sala de aula. Executar outras atividades afins.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i/>
                <w:i/>
                <w:highlight w:val="yellow"/>
              </w:rPr>
            </w:pPr>
            <w:r>
              <w:rPr>
                <w:rFonts w:eastAsia="Times New Roman" w:cs="Times New Roman" w:ascii="Times New Roman" w:hAnsi="Times New Roman"/>
                <w:b/>
                <w:i/>
                <w:highlight w:val="yellow"/>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kern w:val="0"/>
                <w:sz w:val="22"/>
                <w:szCs w:val="22"/>
                <w:highlight w:val="white"/>
                <w:lang w:val="pt-BR" w:eastAsia="zh-CN" w:bidi="hi-IN"/>
              </w:rPr>
              <w:t>Formação em nível superior, na área de Pedagogia ou Licenciatura e curso de Braille/Tiflologia  com carga horária mínima de 120 horas, em instituição reconhecida pelo MEC  ou por entidades representativas dos deficientes visuais, com experiência de no mínimo 6 meses.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360" w:hRule="atLeast"/>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de </w:t>
            </w:r>
            <w:r>
              <w:rPr>
                <w:rFonts w:eastAsia="Times New Roman" w:cs="Times New Roman" w:ascii="Times New Roman" w:hAnsi="Times New Roman"/>
                <w:b/>
                <w:color w:val="00000A"/>
                <w:kern w:val="0"/>
                <w:sz w:val="22"/>
                <w:szCs w:val="22"/>
                <w:lang w:val="pt-BR" w:eastAsia="zh-CN" w:bidi="hi-IN"/>
              </w:rPr>
              <w:t>Profissional de Apoio Escolar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360" w:hRule="atLeast"/>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02</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CBO:</w:t>
            </w:r>
          </w:p>
          <w:p>
            <w:pPr>
              <w:pStyle w:val="LOnormal"/>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5162-10</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Título do Cargo Correlato: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Cuidador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Jornada de trabalho: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182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O Profissional de Apoio Escolar deverá auxiliar o aluno a interpretar e fazer conexões com vivências de cunho ambiental, social, cultural e educacional; apoiar nas atividades escolares nas quais se fizer necessário; auxiliar na comunicação alternativa dos estudantes que não usar os meios tradicionais de comunicação; acompanhar o estudante durante as atividades pedagógicas na instituição e atividades externas: visitas técnicas, aula de campo, eventos, palestras e afins; auxiliar no deslocamento do estudante na chegada e dentro da instituição; a dialogar sobre tais vivências e a realizar ações que promovam a qualidade da escola, em especial, dando ao aluno a possibilidade de participação em todas as atividades, mantendo sua dignidade e direito de participação na educação oferecida, auxiliando-o a contornar suas dificuldades específicas e possibilitando sua integração nas rotinas escolares. Na função o Profissional de Apoio Escolar deverá ter condições físicas de apoio à locomoção, realização de atos de higiene pessoal do aluno sem condições de independência e aqueles necessários para alimentação, comunicação e atos necessários para a permanência na escola e realização das atividades escolares. A rotina de trabalho deste profissional inclui, entre outros serviços assemelhados, garantir a alunos com necessidades especiais os cuidados e acompanhamento na locomoção pelas dependências da escola, em todos os espaços utilizados para as atividades escolares, auxiliar ao realizar as tarefas, se alimentar ou, caso o aluno não tenha autonomia motora ou intelectual para tanto, ler e escrever por ele ou outras atividades escolares. A assistência do profissional deve contribuir para a melhor acessibilidade do aluno às situações de aprendizagem, otimizando as condições materiais, técnicas e humanas do aluno. Parte de sua rotina também integra garantir a higiene pessoal do aluno, garantindo que ele esteja sempre limpo e asseado. É trabalho profissional de apoio escolar acompanhar o aluno com deficiência nas necessidades fisiológicas e de higiene e, caso o aluno possua autonomia para se manter limpo sozinho, seu trabalho passa a ser estar presente e supervisionar as idas ao banheiro. Auxiliar o aluno na alimentação, locomoção e comunicação quando houver necessidade provocada por qualquer tipo de limitação. A extensão das atribuições do Profissional de apoio depende do grau de comprometimento da autonomia do aluno e as especificidades apresentadas pelo estudante, relacionadas à sua condição de funcionalidade, de forma a garantir o bem-estar pessoal do aluno e suprir suas incapacidades inclusive de alimentação, locomoção, comunicação, cuidados pessoais e que interferem nas atividades escolares. Este profissional, além de prestar atendimento ao aluno portador de necessidade especial, é responsável por apresentar relatórios constantes à escola e às secretarias especializadas quando necessário e solicitado, colaborando e participando das ações da equipe escolar.</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40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rPr>
            </w:pPr>
            <w:r>
              <w:rPr>
                <w:rFonts w:eastAsia="Times New Roman" w:cs="Times New Roman" w:ascii="Times New Roman" w:hAnsi="Times New Roman"/>
                <w:b/>
                <w:i/>
              </w:rPr>
            </w:r>
          </w:p>
          <w:p>
            <w:pPr>
              <w:pStyle w:val="LOnormal"/>
              <w:keepNext w:val="true"/>
              <w:widowControl w:val="false"/>
              <w:suppressAutoHyphens w:val="true"/>
              <w:spacing w:lineRule="auto" w:line="276" w:before="0" w:after="0"/>
              <w:jc w:val="both"/>
              <w:rPr>
                <w:rFonts w:ascii="Times New Roman" w:hAnsi="Times New Roman" w:eastAsia="Times New Roman" w:cs="Times New Roman"/>
                <w:color w:val="00000A"/>
                <w:kern w:val="0"/>
                <w:sz w:val="22"/>
                <w:szCs w:val="22"/>
                <w:highlight w:val="none"/>
                <w:shd w:fill="auto" w:val="clear"/>
                <w:lang w:val="pt-BR" w:eastAsia="zh-CN" w:bidi="hi-IN"/>
              </w:rPr>
            </w:pPr>
            <w:r>
              <w:rPr>
                <w:rFonts w:eastAsia="Times New Roman" w:cs="Times New Roman" w:ascii="Times New Roman" w:hAnsi="Times New Roman"/>
                <w:color w:val="00000A"/>
                <w:kern w:val="0"/>
                <w:sz w:val="22"/>
                <w:szCs w:val="22"/>
                <w:shd w:fill="auto" w:val="clear"/>
                <w:lang w:val="pt-BR" w:eastAsia="zh-CN" w:bidi="hi-IN"/>
              </w:rPr>
              <w:t>Ter no mínimo formação em nível médio,</w:t>
            </w:r>
            <w:r>
              <w:rPr>
                <w:rFonts w:eastAsia="Times New Roman" w:cs="Times New Roman" w:ascii="Times New Roman" w:hAnsi="Times New Roman"/>
                <w:b/>
                <w:bCs/>
                <w:color w:val="00000A"/>
                <w:kern w:val="0"/>
                <w:sz w:val="22"/>
                <w:szCs w:val="22"/>
                <w:shd w:fill="auto" w:val="clear"/>
                <w:lang w:val="pt-BR" w:eastAsia="zh-CN" w:bidi="hi-IN"/>
              </w:rPr>
              <w:t xml:space="preserve"> ter cursos livres de no mínimo 80 horas que comprove habilidades técnicas</w:t>
            </w:r>
            <w:r>
              <w:rPr>
                <w:rFonts w:eastAsia="Times New Roman" w:cs="Times New Roman" w:ascii="Times New Roman" w:hAnsi="Times New Roman"/>
                <w:color w:val="00000A"/>
                <w:kern w:val="0"/>
                <w:sz w:val="22"/>
                <w:szCs w:val="22"/>
                <w:shd w:fill="auto" w:val="clear"/>
                <w:lang w:val="pt-BR" w:eastAsia="zh-CN" w:bidi="hi-IN"/>
              </w:rPr>
              <w:t>; Ter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 Competências pessoais – Demonstrar: b.1 – Preparo físico b.2 – Capacidade de acolhimento b.3 - Capacidade de adaptação b.4 – Empatia b.5 – Capacidade de respeitar a privacidade do aluno b.6 – Paciência b.7 – Capacidade de escuta b.8 – Capacidade de percepção b.9 – Calma em situações críticas b.10 – Discrição b.11 – Capacidade de tomar decisões b.12 – Capacidade de reconhecer limites pessoais b.13 – Criatividade b.14 – Capacidade de buscar Informações e orientações técnicas b.15 – Iniciativa b.16 – Preparo emocional b.17 – Capacidade de transmitir valores a partir do próprio exemplo e pela fala b.18 – Capacidade de administrar o tempo b.19 – Honestidade.</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Nº</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w:t>
            </w:r>
            <w:r>
              <w:rPr>
                <w:rFonts w:eastAsia="Times New Roman" w:cs="Times New Roman" w:ascii="Times New Roman" w:hAnsi="Times New Roman"/>
                <w:b/>
                <w:color w:val="00000A"/>
                <w:kern w:val="0"/>
                <w:sz w:val="22"/>
                <w:szCs w:val="22"/>
                <w:lang w:val="pt-BR" w:eastAsia="zh-CN" w:bidi="hi-IN"/>
              </w:rPr>
              <w:t>Professor de Atendimento Educacional Especializado (AEE)</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03</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2392-20</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Professor de Alunos com Deficiência Múltipla</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sz w:val="22"/>
                <w:szCs w:val="22"/>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Participar da elaboração do Projeto Político Pedagógico construído em interação com os demais membros da comunidade escolar; elaboração, execução e avaliação do Plano de AEE dos estudantes, por meio da identificação de habilidades e necessidades educacionais específicas dos estudantes, definição e organização de estratégias, serviços e recursos pedagógicos e de acessibilidade; realização do atendimento conforme as necessidades específicas de cada estudante, estabelecendo cronograma e a carga horária, individual ou em pequenos grupos; acompanhamento e avaliação da funcionalidade e aplicabilidade dos recursos pedagógicos e de acessibilidade, utilizados pelo estudante, na sala de aula comum e demais ambientes e atividades da escola; planejamento e produção de materiais pedagógicos acessíveis, considerando as necessidades específicas dos estudantes; articulação com os professores do ensino comum, visando à disponibilização de recursos de apoio necessários à participação e aprendizagem dos estudantes; orientação aos professores e às famílias, sobre a utilização dos recursos pedagógicos e de acessibilidade, pelos estudantes, objetivando ampliar o desenvolvimento de suas habilidades, além de promover sua autonomia e independência.</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REQUISITOS DE QUALIFICAÇÃO:</w:t>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kern w:val="0"/>
                <w:sz w:val="22"/>
                <w:szCs w:val="22"/>
                <w:lang w:val="pt-BR" w:eastAsia="zh-CN" w:bidi="hi-IN"/>
              </w:rPr>
              <w:t>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bl>
    <w:p>
      <w:pPr>
        <w:pStyle w:val="LOnormal"/>
        <w:spacing w:lineRule="auto" w:line="276" w:before="0" w:after="120"/>
        <w:ind w:left="141" w:hanging="0"/>
        <w:jc w:val="both"/>
        <w:rPr>
          <w:rFonts w:ascii="Times New Roman" w:hAnsi="Times New Roman" w:eastAsia="Times New Roman" w:cs="Times New Roman"/>
          <w:b/>
          <w:b/>
          <w:color w:val="000000"/>
          <w:sz w:val="22"/>
          <w:szCs w:val="22"/>
          <w:u w:val="single"/>
        </w:rPr>
      </w:pPr>
      <w:r>
        <w:rPr>
          <w:rFonts w:eastAsia="Times New Roman" w:cs="Times New Roman" w:ascii="Times New Roman" w:hAnsi="Times New Roman"/>
          <w:b/>
          <w:color w:val="000000"/>
          <w:sz w:val="22"/>
          <w:szCs w:val="22"/>
          <w:u w:val="single"/>
        </w:rPr>
      </w:r>
    </w:p>
    <w:p>
      <w:pPr>
        <w:pStyle w:val="LOnormal"/>
        <w:spacing w:before="120" w:after="12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5.3 A prestação do serviço pela (s) equipe (s) da (s) licitante (s) contratada (s) acontecerão nos endereços estabelecidos abaixo:</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highlight w:val="white"/>
        </w:rPr>
        <w:t>5.3.1.</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Grupo 01(Itens 01 e 02)</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 Campus Floresta </w:t>
      </w:r>
      <w:r>
        <w:rPr>
          <w:rFonts w:eastAsia="Times New Roman" w:cs="Times New Roman" w:ascii="Times New Roman" w:hAnsi="Times New Roman"/>
          <w:color w:val="000000"/>
          <w:sz w:val="22"/>
          <w:szCs w:val="22"/>
          <w:highlight w:val="white"/>
        </w:rPr>
        <w:t>- Endereço: Rua Projetada, S/N, Caetano II. FlorestaPE. CEP: 56400-000.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 xml:space="preserve">5.3.3. </w:t>
      </w:r>
      <w:r>
        <w:rPr>
          <w:rFonts w:eastAsia="Times New Roman" w:cs="Times New Roman" w:ascii="Times New Roman" w:hAnsi="Times New Roman"/>
          <w:b/>
          <w:bCs/>
          <w:color w:val="000000"/>
          <w:sz w:val="22"/>
          <w:szCs w:val="22"/>
          <w:highlight w:val="white"/>
        </w:rPr>
        <w:t>Grupo 02(Itens de 03 a 05)</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Campus Petrolina </w:t>
      </w:r>
      <w:r>
        <w:rPr>
          <w:rFonts w:eastAsia="Times New Roman" w:cs="Times New Roman" w:ascii="Times New Roman" w:hAnsi="Times New Roman"/>
          <w:color w:val="000000"/>
          <w:sz w:val="22"/>
          <w:szCs w:val="22"/>
          <w:highlight w:val="white"/>
        </w:rPr>
        <w:t>– Rua Maria Luiza de Araújo Gomes Cabral, S/N°, João de Deus, Petrolina – PE.</w:t>
      </w:r>
    </w:p>
    <w:p>
      <w:pPr>
        <w:pStyle w:val="LOnormal"/>
        <w:spacing w:before="63" w:after="63"/>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5.3.4.</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Grupo 03(Itens 06 e 07)– Campus Petrolina Zona Rural </w:t>
      </w:r>
      <w:r>
        <w:rPr>
          <w:rFonts w:eastAsia="Times New Roman" w:cs="Times New Roman" w:ascii="Times New Roman" w:hAnsi="Times New Roman"/>
          <w:color w:val="000000"/>
          <w:sz w:val="22"/>
          <w:szCs w:val="22"/>
          <w:highlight w:val="white"/>
        </w:rPr>
        <w:t>– Rodovia PE 647 (Antiga BR 235), Km 22, S/Nº, Projeto Senador Nilo Coelho – N4, Zona Rural, Petrolina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Grupo 04(itens de 08</w:t>
      </w:r>
      <w:r>
        <w:rPr>
          <w:rFonts w:eastAsia="Times New Roman" w:cs="Times New Roman" w:ascii="Times New Roman" w:hAnsi="Times New Roman"/>
          <w:b/>
          <w:bCs/>
          <w:color w:val="000000"/>
          <w:sz w:val="22"/>
          <w:szCs w:val="22"/>
          <w:vertAlign w:val="superscript"/>
        </w:rPr>
        <w:t xml:space="preserve">  </w:t>
      </w:r>
      <w:r>
        <w:rPr>
          <w:rFonts w:eastAsia="Times New Roman" w:cs="Times New Roman" w:ascii="Times New Roman" w:hAnsi="Times New Roman"/>
          <w:b/>
          <w:bCs/>
          <w:color w:val="000000"/>
          <w:position w:val="0"/>
          <w:sz w:val="22"/>
          <w:sz w:val="22"/>
          <w:szCs w:val="22"/>
          <w:vertAlign w:val="baseline"/>
        </w:rPr>
        <w:t xml:space="preserve">a 10) </w:t>
      </w:r>
      <w:r>
        <w:rPr>
          <w:rFonts w:eastAsia="Times New Roman" w:cs="Times New Roman" w:ascii="Times New Roman" w:hAnsi="Times New Roman"/>
          <w:b/>
          <w:bCs/>
          <w:color w:val="000000"/>
          <w:sz w:val="22"/>
          <w:szCs w:val="22"/>
        </w:rPr>
        <w:t>Campus Salgueiro</w:t>
      </w:r>
      <w:r>
        <w:rPr>
          <w:rFonts w:eastAsia="Times New Roman" w:cs="Times New Roman" w:ascii="Times New Roman" w:hAnsi="Times New Roman"/>
          <w:color w:val="000000"/>
          <w:sz w:val="22"/>
          <w:szCs w:val="22"/>
        </w:rPr>
        <w:t xml:space="preserve"> –Endereço: BR 232, Km 508, Sentido Salgueiro / Recife, S/Nº, Zona Rural, Salgueiro – PE. CEP: 56000-000.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rPr>
        <w:t>5</w:t>
      </w:r>
      <w:r>
        <w:rPr>
          <w:rFonts w:eastAsia="Times New Roman" w:cs="Times New Roman" w:ascii="Times New Roman" w:hAnsi="Times New Roman"/>
          <w:b/>
          <w:bCs/>
          <w:color w:val="000000"/>
          <w:sz w:val="22"/>
          <w:szCs w:val="22"/>
        </w:rPr>
        <w:t>.3.2 Item  11 - Campus Ouricuri</w:t>
      </w:r>
      <w:r>
        <w:rPr>
          <w:rFonts w:eastAsia="Times New Roman" w:cs="Times New Roman" w:ascii="Times New Roman" w:hAnsi="Times New Roman"/>
          <w:color w:val="000000"/>
          <w:sz w:val="22"/>
          <w:szCs w:val="22"/>
        </w:rPr>
        <w:t xml:space="preserve"> – Sede do Campus (Estrada do Tamboril, S/No, Zona Rural, Ouricuri – PE) / Complexo da Agroindústria (Rua José Agra Lins, nº 229, Centro, Ouricuri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Item 12 – Campus Santa Maria da Boa Vista</w:t>
      </w:r>
      <w:r>
        <w:rPr>
          <w:rFonts w:eastAsia="Times New Roman" w:cs="Times New Roman" w:ascii="Times New Roman" w:hAnsi="Times New Roman"/>
          <w:color w:val="000000"/>
          <w:sz w:val="22"/>
          <w:szCs w:val="22"/>
        </w:rPr>
        <w:t xml:space="preserve"> – Rodovia BR 428, Km 90, S/No, Zona Rural, Santa Maria da Boa Vista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bCs/>
          <w:color w:val="000000"/>
          <w:sz w:val="22"/>
          <w:szCs w:val="22"/>
        </w:rPr>
        <w:t>5.3.7. Item 13– Campus Serra Talhada</w:t>
      </w:r>
      <w:r>
        <w:rPr>
          <w:rFonts w:eastAsia="Times New Roman" w:cs="Times New Roman" w:ascii="Times New Roman" w:hAnsi="Times New Roman"/>
          <w:color w:val="000000"/>
          <w:sz w:val="22"/>
          <w:szCs w:val="22"/>
        </w:rPr>
        <w:t xml:space="preserve"> – Rodovia PE 320, Km 126, S/No, Zona Rural, Serra Talhada – PE.</w:t>
      </w:r>
    </w:p>
    <w:p>
      <w:pPr>
        <w:pStyle w:val="LOnormal"/>
        <w:spacing w:before="120" w:after="120"/>
        <w:ind w:left="992" w:hanging="0"/>
        <w:jc w:val="both"/>
        <w:rPr>
          <w:b/>
          <w:b/>
          <w:bCs/>
        </w:rPr>
      </w:pPr>
      <w:r>
        <w:rPr>
          <w:rFonts w:eastAsia="Times New Roman" w:cs="Times New Roman" w:ascii="Times New Roman" w:hAnsi="Times New Roman"/>
          <w:b/>
          <w:bCs/>
          <w:color w:val="000000"/>
          <w:sz w:val="22"/>
          <w:szCs w:val="22"/>
        </w:rPr>
        <w:t xml:space="preserve">5.3.8 </w:t>
      </w:r>
      <w:r>
        <w:rPr>
          <w:rFonts w:eastAsia="Times New Roman" w:cs="Times New Roman" w:ascii="Times New Roman" w:hAnsi="Times New Roman"/>
          <w:b w:val="false"/>
          <w:bCs w:val="false"/>
          <w:color w:val="000000"/>
          <w:sz w:val="22"/>
          <w:szCs w:val="22"/>
        </w:rPr>
        <w:t>Para o</w:t>
      </w:r>
      <w:r>
        <w:rPr>
          <w:rFonts w:eastAsia="Times New Roman" w:cs="Times New Roman" w:ascii="Times New Roman" w:hAnsi="Times New Roman"/>
          <w:b/>
          <w:bCs/>
          <w:color w:val="000000"/>
          <w:sz w:val="22"/>
          <w:szCs w:val="22"/>
        </w:rPr>
        <w:t xml:space="preserve"> Instituto Federal Pernambucano(IFPE) GRUPO 02 o</w:t>
      </w:r>
      <w:r>
        <w:rPr>
          <w:rFonts w:eastAsia="Times New Roman" w:cs="Times New Roman" w:ascii="Times New Roman" w:hAnsi="Times New Roman"/>
          <w:b w:val="false"/>
          <w:bCs w:val="false"/>
          <w:color w:val="000000"/>
          <w:sz w:val="22"/>
          <w:szCs w:val="22"/>
        </w:rPr>
        <w:t xml:space="preserve">s serviços deverão ser prestados nos seguintes endereços: </w:t>
      </w:r>
    </w:p>
    <w:p>
      <w:pPr>
        <w:pStyle w:val="Default"/>
        <w:spacing w:lineRule="auto" w:line="276" w:before="63" w:after="63"/>
        <w:ind w:left="141" w:hanging="0"/>
        <w:jc w:val="both"/>
        <w:rPr/>
      </w:pPr>
      <w:r>
        <w:rPr/>
      </w:r>
    </w:p>
    <w:p>
      <w:pPr>
        <w:pStyle w:val="Default"/>
        <w:widowControl/>
        <w:numPr>
          <w:ilvl w:val="0"/>
          <w:numId w:val="7"/>
        </w:numPr>
        <w:suppressAutoHyphens w:val="true"/>
        <w:bidi w:val="0"/>
        <w:spacing w:before="0" w:after="272"/>
        <w:ind w:left="1417" w:right="0" w:hanging="0"/>
        <w:jc w:val="both"/>
        <w:rPr/>
      </w:pPr>
      <w:r>
        <w:rPr>
          <w:sz w:val="21"/>
        </w:rPr>
        <w:t xml:space="preserve">Rua Edson Barbosa de Araújo, S/N, Bairro Manoela Valadares, </w:t>
      </w:r>
      <w:r>
        <w:rPr>
          <w:b/>
          <w:sz w:val="21"/>
        </w:rPr>
        <w:t>Afogados da Ingazeira - PE</w:t>
      </w:r>
      <w:r>
        <w:rPr>
          <w:b w:val="false"/>
          <w:sz w:val="21"/>
        </w:rPr>
        <w:t xml:space="preserve">, CEP: 56800-000) – </w:t>
      </w:r>
      <w:r>
        <w:rPr>
          <w:b/>
          <w:bCs/>
          <w:sz w:val="21"/>
        </w:rPr>
        <w:t xml:space="preserve">campus </w:t>
      </w:r>
      <w:r>
        <w:rPr>
          <w:b w:val="false"/>
          <w:sz w:val="21"/>
        </w:rPr>
        <w:t xml:space="preserve"> </w:t>
      </w:r>
      <w:r>
        <w:rPr>
          <w:b/>
          <w:sz w:val="21"/>
        </w:rPr>
        <w:t>Afogados da Ingazeira</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Fazenda Sapé, S/N - Zona Rural </w:t>
      </w:r>
      <w:r>
        <w:rPr>
          <w:b/>
          <w:sz w:val="21"/>
        </w:rPr>
        <w:t xml:space="preserve">Barreiros/PE </w:t>
      </w:r>
      <w:r>
        <w:rPr>
          <w:b w:val="false"/>
          <w:sz w:val="21"/>
        </w:rPr>
        <w:t xml:space="preserve">CEP: 55560-000 -  </w:t>
      </w:r>
      <w:r>
        <w:rPr>
          <w:b/>
          <w:bCs/>
          <w:sz w:val="21"/>
        </w:rPr>
        <w:t>campus  Barreiros</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Av. Sebastião Rodrigues da Costa, S/N - Bairro: São Pedro. </w:t>
      </w:r>
      <w:r>
        <w:rPr>
          <w:b/>
          <w:sz w:val="21"/>
        </w:rPr>
        <w:t>Belo Jardim - PE</w:t>
      </w:r>
      <w:r>
        <w:rPr>
          <w:b w:val="false"/>
          <w:sz w:val="21"/>
        </w:rPr>
        <w:t xml:space="preserve">. CEP: 55155-730 </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FACHUCA – Rua Sebastião Joventino, s/nº, Destilaria Central, </w:t>
      </w:r>
      <w:r>
        <w:rPr>
          <w:b/>
          <w:sz w:val="21"/>
        </w:rPr>
        <w:t>Cabo de Santo Agostinho/PE</w:t>
      </w:r>
      <w:r>
        <w:rPr>
          <w:b w:val="false"/>
          <w:sz w:val="21"/>
        </w:rPr>
        <w:t xml:space="preserve">, CEP: 54.510-110 – </w:t>
      </w:r>
      <w:r>
        <w:rPr>
          <w:b/>
          <w:bCs/>
          <w:sz w:val="21"/>
        </w:rPr>
        <w:t>Campus Ca</w:t>
      </w:r>
      <w:r>
        <w:rPr>
          <w:b/>
          <w:sz w:val="21"/>
        </w:rPr>
        <w:t>bo de Santo Agostinho</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Rodovia BR-101 Sul, Km 107, Gleba 1A, s/nº, Mercês, </w:t>
      </w:r>
      <w:r>
        <w:rPr>
          <w:b/>
          <w:sz w:val="21"/>
        </w:rPr>
        <w:t>Cabo de Santo Agostinho/PE</w:t>
      </w:r>
      <w:r>
        <w:rPr>
          <w:b w:val="false"/>
          <w:sz w:val="21"/>
        </w:rPr>
        <w:t xml:space="preserve"> - </w:t>
      </w:r>
      <w:r>
        <w:rPr>
          <w:b/>
          <w:bCs/>
          <w:sz w:val="21"/>
        </w:rPr>
        <w:t>Campus Ca</w:t>
      </w:r>
      <w:r>
        <w:rPr>
          <w:b/>
          <w:sz w:val="21"/>
        </w:rPr>
        <w:t>bo de Santo Agostinho</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Estrada do Alto do Moura, km 3.8, Distrito Industrial III, </w:t>
      </w:r>
      <w:r>
        <w:rPr>
          <w:b/>
          <w:sz w:val="21"/>
        </w:rPr>
        <w:t>Caruaru - PE</w:t>
      </w:r>
      <w:r>
        <w:rPr>
          <w:b w:val="false"/>
          <w:sz w:val="21"/>
        </w:rPr>
        <w:t xml:space="preserve">, CEP:55040-120 – </w:t>
      </w:r>
      <w:r>
        <w:rPr>
          <w:b/>
          <w:bCs/>
          <w:sz w:val="21"/>
        </w:rPr>
        <w:t>campus Caruaru</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BR 101 Norte, Km 29, s/nº, Engenho Umbu – </w:t>
      </w:r>
      <w:r>
        <w:rPr>
          <w:b/>
          <w:sz w:val="21"/>
        </w:rPr>
        <w:t>Igarassu – PE</w:t>
      </w:r>
      <w:r>
        <w:rPr>
          <w:b w:val="false"/>
          <w:sz w:val="21"/>
        </w:rPr>
        <w:t>. Em frente ao posto da Polícia Rodoviária Federal (PRF) – campus Igarassu</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Rodovia PE-60, km 14 - Bairro: Califórnia CEP: 55590-000 </w:t>
      </w:r>
      <w:r>
        <w:rPr>
          <w:b/>
          <w:sz w:val="21"/>
        </w:rPr>
        <w:t xml:space="preserve">Ipojuca-PE </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Rodovia PE-007, Gleba 1A, s/n° - Engenho Bulhões - </w:t>
      </w:r>
      <w:r>
        <w:rPr>
          <w:b/>
          <w:sz w:val="21"/>
        </w:rPr>
        <w:t xml:space="preserve">Jaboatão dos Guararapes – PE </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AvenidaFagundes Varela, nº 375, Jardim Atlântico, </w:t>
      </w:r>
      <w:r>
        <w:rPr>
          <w:b/>
          <w:sz w:val="21"/>
        </w:rPr>
        <w:t>Olinda – PE</w:t>
      </w:r>
      <w:r>
        <w:rPr>
          <w:b w:val="false"/>
          <w:sz w:val="21"/>
        </w:rPr>
        <w:t xml:space="preserve">. CEP: 53140-080 </w:t>
      </w:r>
    </w:p>
    <w:p>
      <w:pPr>
        <w:pStyle w:val="Default"/>
        <w:widowControl/>
        <w:suppressAutoHyphens w:val="true"/>
        <w:bidi w:val="0"/>
        <w:spacing w:before="0" w:after="0"/>
        <w:ind w:left="1757" w:right="0" w:hanging="0"/>
        <w:jc w:val="both"/>
        <w:rPr/>
      </w:pPr>
      <w:r>
        <w:rPr>
          <w:rFonts w:ascii="Wingdings" w:hAnsi="Wingdings"/>
          <w:b w:val="false"/>
          <w:sz w:val="21"/>
        </w:rPr>
        <w:t xml:space="preserve"> </w:t>
      </w:r>
      <w:r>
        <w:rPr>
          <w:b w:val="false"/>
          <w:sz w:val="21"/>
        </w:rPr>
        <w:t xml:space="preserve">Av. Prefeito Geraldo Pinho Alves (antiga Av. Brasil), S/Nº, Maranguape I, </w:t>
      </w:r>
      <w:r>
        <w:rPr>
          <w:b/>
          <w:sz w:val="21"/>
        </w:rPr>
        <w:t xml:space="preserve">Paulista/PE </w:t>
      </w:r>
      <w:r>
        <w:rPr>
          <w:b w:val="false"/>
          <w:sz w:val="21"/>
        </w:rPr>
        <w:t xml:space="preserve">CEP: 53.441-600 – </w:t>
      </w:r>
      <w:r>
        <w:rPr>
          <w:b/>
          <w:bCs/>
          <w:sz w:val="21"/>
        </w:rPr>
        <w:t xml:space="preserve">campus Paulista </w:t>
      </w:r>
    </w:p>
    <w:p>
      <w:pPr>
        <w:pStyle w:val="Default"/>
        <w:widowControl/>
        <w:suppressAutoHyphens w:val="true"/>
        <w:bidi w:val="0"/>
        <w:spacing w:before="0" w:after="0"/>
        <w:ind w:left="1757" w:right="0" w:hanging="0"/>
        <w:jc w:val="both"/>
        <w:rPr>
          <w:b w:val="false"/>
          <w:b w:val="false"/>
          <w:sz w:val="21"/>
        </w:rPr>
      </w:pPr>
      <w:r>
        <w:rPr>
          <w:b w:val="false"/>
          <w:sz w:val="21"/>
        </w:rPr>
      </w:r>
    </w:p>
    <w:p>
      <w:pPr>
        <w:pStyle w:val="Default"/>
        <w:widowControl/>
        <w:numPr>
          <w:ilvl w:val="0"/>
          <w:numId w:val="8"/>
        </w:numPr>
        <w:suppressAutoHyphens w:val="true"/>
        <w:bidi w:val="0"/>
        <w:spacing w:before="0" w:after="0"/>
        <w:ind w:left="1757" w:right="0" w:hanging="0"/>
        <w:jc w:val="both"/>
        <w:rPr/>
      </w:pPr>
      <w:r>
        <w:rPr>
          <w:sz w:val="21"/>
        </w:rPr>
        <w:t xml:space="preserve">AEMASUL-FAMASUL BR 101 Sul, km 186, S/N, Campus Universitário, </w:t>
      </w:r>
      <w:r>
        <w:rPr>
          <w:b/>
          <w:sz w:val="21"/>
        </w:rPr>
        <w:t>Palmares- PE</w:t>
      </w:r>
      <w:r>
        <w:rPr>
          <w:b w:val="false"/>
          <w:sz w:val="21"/>
        </w:rPr>
        <w:t xml:space="preserve">, CEP 55540-000 - </w:t>
      </w:r>
      <w:r>
        <w:rPr>
          <w:b/>
          <w:bCs/>
          <w:sz w:val="21"/>
        </w:rPr>
        <w:t>campus Palmares</w:t>
      </w:r>
      <w:r>
        <w:rPr>
          <w:b w:val="false"/>
          <w:sz w:val="21"/>
        </w:rPr>
        <w:t xml:space="preserve">  </w:t>
      </w:r>
    </w:p>
    <w:p>
      <w:pPr>
        <w:pStyle w:val="Default"/>
        <w:widowControl/>
        <w:numPr>
          <w:ilvl w:val="0"/>
          <w:numId w:val="0"/>
        </w:numPr>
        <w:suppressAutoHyphens w:val="true"/>
        <w:bidi w:val="0"/>
        <w:spacing w:before="0" w:after="0"/>
        <w:ind w:left="1757" w:right="0" w:hanging="0"/>
        <w:jc w:val="both"/>
        <w:rPr>
          <w:b w:val="false"/>
          <w:b w:val="false"/>
          <w:sz w:val="21"/>
        </w:rPr>
      </w:pPr>
      <w:r>
        <w:rPr>
          <w:b w:val="false"/>
          <w:sz w:val="21"/>
        </w:rPr>
      </w:r>
    </w:p>
    <w:p>
      <w:pPr>
        <w:pStyle w:val="Default"/>
        <w:widowControl/>
        <w:suppressAutoHyphens w:val="true"/>
        <w:bidi w:val="0"/>
        <w:spacing w:before="0" w:after="281"/>
        <w:ind w:left="1757" w:right="0" w:hanging="0"/>
        <w:jc w:val="both"/>
        <w:rPr/>
      </w:pPr>
      <w:r>
        <w:rPr>
          <w:rFonts w:ascii="Wingdings" w:hAnsi="Wingdings"/>
          <w:b w:val="false"/>
          <w:sz w:val="21"/>
        </w:rPr>
        <w:t xml:space="preserve"> </w:t>
      </w:r>
      <w:r>
        <w:rPr>
          <w:b w:val="false"/>
          <w:sz w:val="21"/>
        </w:rPr>
        <w:t xml:space="preserve">Avenida José Pretestato de Santana, Quadra Q, 51, lote 240 - Bairro Quilombo I, </w:t>
      </w:r>
      <w:r>
        <w:rPr>
          <w:b/>
          <w:sz w:val="21"/>
        </w:rPr>
        <w:t>Palmares - PE</w:t>
      </w:r>
      <w:r>
        <w:rPr>
          <w:b w:val="false"/>
          <w:sz w:val="21"/>
        </w:rPr>
        <w:t xml:space="preserve">, 55540-000 – </w:t>
      </w:r>
      <w:r>
        <w:rPr>
          <w:b/>
          <w:bCs/>
          <w:sz w:val="21"/>
        </w:rPr>
        <w:t>campus Palmares</w:t>
      </w:r>
    </w:p>
    <w:p>
      <w:pPr>
        <w:pStyle w:val="Default"/>
        <w:widowControl/>
        <w:suppressAutoHyphens w:val="true"/>
        <w:bidi w:val="0"/>
        <w:spacing w:before="0" w:after="281"/>
        <w:ind w:left="1757" w:right="0" w:hanging="0"/>
        <w:jc w:val="both"/>
        <w:rPr/>
      </w:pPr>
      <w:r>
        <w:rPr>
          <w:rFonts w:ascii="Wingdings" w:hAnsi="Wingdings"/>
          <w:b w:val="false"/>
          <w:sz w:val="21"/>
        </w:rPr>
        <w:t xml:space="preserve"> </w:t>
      </w:r>
      <w:r>
        <w:rPr>
          <w:b w:val="false"/>
          <w:sz w:val="21"/>
        </w:rPr>
        <w:t xml:space="preserve">BR 232 – Km 214 – Loteamento Portal – </w:t>
      </w:r>
      <w:r>
        <w:rPr>
          <w:b/>
          <w:sz w:val="21"/>
        </w:rPr>
        <w:t xml:space="preserve">Pesqueira – PE </w:t>
      </w:r>
      <w:r>
        <w:rPr>
          <w:b w:val="false"/>
          <w:sz w:val="21"/>
        </w:rPr>
        <w:t xml:space="preserve">CEP: 55.200-000 – </w:t>
      </w:r>
      <w:r>
        <w:rPr>
          <w:b/>
          <w:bCs/>
          <w:sz w:val="21"/>
        </w:rPr>
        <w:t>campus Pesqueira</w:t>
      </w:r>
    </w:p>
    <w:p>
      <w:pPr>
        <w:pStyle w:val="Default"/>
        <w:widowControl/>
        <w:suppressAutoHyphens w:val="true"/>
        <w:bidi w:val="0"/>
        <w:spacing w:before="0" w:after="281"/>
        <w:ind w:left="1701" w:right="0" w:hanging="0"/>
        <w:jc w:val="both"/>
        <w:rPr/>
      </w:pPr>
      <w:r>
        <w:rPr>
          <w:rFonts w:ascii="Wingdings" w:hAnsi="Wingdings"/>
          <w:b w:val="false"/>
          <w:sz w:val="21"/>
        </w:rPr>
        <w:t xml:space="preserve"> </w:t>
      </w:r>
      <w:r>
        <w:rPr>
          <w:b w:val="false"/>
          <w:sz w:val="21"/>
        </w:rPr>
        <w:t xml:space="preserve">Av. Prof Luiz Freire, 500, Cidade Universitária </w:t>
      </w:r>
      <w:r>
        <w:rPr>
          <w:b/>
          <w:sz w:val="21"/>
        </w:rPr>
        <w:t xml:space="preserve">Recife – PE </w:t>
      </w:r>
      <w:r>
        <w:rPr>
          <w:b w:val="false"/>
          <w:sz w:val="21"/>
        </w:rPr>
        <w:t xml:space="preserve">CEP: 50740-545 – </w:t>
      </w:r>
      <w:r>
        <w:rPr>
          <w:b/>
          <w:bCs/>
          <w:sz w:val="21"/>
        </w:rPr>
        <w:t>Campus Recife</w:t>
      </w:r>
    </w:p>
    <w:p>
      <w:pPr>
        <w:pStyle w:val="Default"/>
        <w:widowControl/>
        <w:suppressAutoHyphens w:val="true"/>
        <w:bidi w:val="0"/>
        <w:spacing w:before="0" w:after="0"/>
        <w:ind w:left="1701" w:right="0" w:hanging="0"/>
        <w:jc w:val="both"/>
        <w:rPr/>
      </w:pPr>
      <w:r>
        <w:rPr>
          <w:rFonts w:ascii="Wingdings" w:hAnsi="Wingdings"/>
          <w:b w:val="false"/>
          <w:sz w:val="21"/>
        </w:rPr>
        <w:t xml:space="preserve"> </w:t>
      </w:r>
      <w:r>
        <w:rPr>
          <w:b w:val="false"/>
          <w:sz w:val="21"/>
        </w:rPr>
        <w:t xml:space="preserve">Propriedade Terra Preta, S/N, Zona Rural, </w:t>
      </w:r>
      <w:r>
        <w:rPr>
          <w:b/>
          <w:sz w:val="21"/>
        </w:rPr>
        <w:t xml:space="preserve">Vitória de Santo Antão-PE </w:t>
      </w:r>
      <w:r>
        <w:rPr>
          <w:b w:val="false"/>
          <w:sz w:val="21"/>
        </w:rPr>
        <w:t xml:space="preserve">CEP: 55602-970 Caixa Postal: 031 – </w:t>
      </w:r>
      <w:r>
        <w:rPr>
          <w:b/>
          <w:bCs/>
          <w:sz w:val="21"/>
        </w:rPr>
        <w:t>campus vitória de Santo Antão</w:t>
      </w:r>
    </w:p>
    <w:p>
      <w:pPr>
        <w:pStyle w:val="Normal"/>
        <w:spacing w:lineRule="auto" w:line="276" w:before="63" w:after="63"/>
        <w:ind w:left="141" w:hanging="0"/>
        <w:jc w:val="both"/>
        <w:rPr/>
      </w:pPr>
      <w:r>
        <w:rPr/>
      </w:r>
    </w:p>
    <w:p>
      <w:pPr>
        <w:pStyle w:val="LOnormal"/>
        <w:spacing w:lineRule="auto" w:line="276" w:before="120" w:after="120"/>
        <w:ind w:left="141" w:hanging="0"/>
        <w:jc w:val="both"/>
        <w:rPr/>
      </w:pPr>
      <w:r>
        <w:rPr/>
        <w:t>5.4 Além dos pontos acima, o adjudicatário deverá apresentar declaração de que tem pleno conhecimento das condições necessárias para a prestação do serviço como requisito para celebração do contrato.</w:t>
      </w:r>
    </w:p>
    <w:p>
      <w:pPr>
        <w:pStyle w:val="LOnormal"/>
        <w:spacing w:lineRule="auto" w:line="276" w:before="0" w:after="0"/>
        <w:ind w:left="141" w:hanging="0"/>
        <w:jc w:val="both"/>
        <w:rPr/>
      </w:pPr>
      <w:r>
        <w:rPr/>
      </w:r>
    </w:p>
    <w:p>
      <w:pPr>
        <w:pStyle w:val="LOnormal"/>
        <w:keepNext w:val="true"/>
        <w:keepLines/>
        <w:numPr>
          <w:ilvl w:val="0"/>
          <w:numId w:val="5"/>
        </w:numPr>
        <w:spacing w:lineRule="auto" w:line="276" w:before="0" w:after="120"/>
        <w:ind w:left="141" w:hanging="0"/>
        <w:jc w:val="both"/>
        <w:rPr>
          <w:b/>
          <w:b/>
          <w:color w:val="000000"/>
        </w:rPr>
      </w:pPr>
      <w:r>
        <w:rPr>
          <w:b/>
          <w:color w:val="000000"/>
        </w:rPr>
        <w:t>CRITÉRIOS DE SUSTENTABILIDADE</w:t>
      </w:r>
    </w:p>
    <w:p>
      <w:pPr>
        <w:pStyle w:val="LOnormal"/>
        <w:numPr>
          <w:ilvl w:val="1"/>
          <w:numId w:val="5"/>
        </w:numPr>
        <w:spacing w:lineRule="auto" w:line="276" w:before="120" w:after="120"/>
        <w:ind w:left="141" w:hanging="0"/>
        <w:jc w:val="both"/>
        <w:rPr/>
      </w:pPr>
      <w:r>
        <w:rPr>
          <w:color w:val="000000"/>
        </w:rPr>
        <w:t>Não incidem critérios de sustentabilidade na presente licitação, conforme justificativa abaixo:</w:t>
      </w:r>
    </w:p>
    <w:p>
      <w:pPr>
        <w:pStyle w:val="LOnormal"/>
        <w:spacing w:lineRule="auto" w:line="276" w:before="0" w:after="0"/>
        <w:ind w:left="141" w:hanging="0"/>
        <w:jc w:val="both"/>
        <w:rPr>
          <w:color w:val="000000"/>
        </w:rPr>
      </w:pPr>
      <w:r>
        <w:rPr>
          <w:color w:val="000000"/>
        </w:rPr>
        <w:t>6.1.1 Dada a natureza da contratação, não identificamos nenhum impacto ambiental a ser causado com a prestação do serviço.</w:t>
      </w:r>
    </w:p>
    <w:p>
      <w:pPr>
        <w:pStyle w:val="LOnormal"/>
        <w:keepNext w:val="true"/>
        <w:keepLines/>
        <w:numPr>
          <w:ilvl w:val="0"/>
          <w:numId w:val="5"/>
        </w:numPr>
        <w:spacing w:lineRule="auto" w:line="276" w:before="252" w:after="0"/>
        <w:ind w:left="141" w:hanging="0"/>
        <w:jc w:val="both"/>
        <w:rPr>
          <w:b/>
          <w:b/>
          <w:i/>
          <w:i/>
          <w:color w:val="000000"/>
        </w:rPr>
      </w:pPr>
      <w:r>
        <w:rPr>
          <w:b/>
          <w:i/>
          <w:color w:val="000000"/>
        </w:rPr>
        <w:t>VISTORIA PARA A LICITAÇÃO</w:t>
      </w:r>
    </w:p>
    <w:p>
      <w:pPr>
        <w:pStyle w:val="LOnormal"/>
        <w:numPr>
          <w:ilvl w:val="1"/>
          <w:numId w:val="5"/>
        </w:numPr>
        <w:spacing w:lineRule="auto" w:line="276" w:before="120" w:after="120"/>
        <w:ind w:left="141" w:hanging="0"/>
        <w:jc w:val="both"/>
        <w:rPr/>
      </w:pPr>
      <w:r>
        <w:rPr>
          <w:color w:val="000000"/>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LOnormal"/>
        <w:numPr>
          <w:ilvl w:val="1"/>
          <w:numId w:val="5"/>
        </w:numPr>
        <w:spacing w:lineRule="auto" w:line="276" w:before="120" w:after="120"/>
        <w:ind w:left="141" w:hanging="0"/>
        <w:jc w:val="both"/>
        <w:rPr/>
      </w:pPr>
      <w:r>
        <w:rPr>
          <w:color w:val="000000"/>
        </w:rPr>
        <w:t>O prazo para vistoria iniciar-se-á no dia útil seguinte ao da publicação do Edital, estendendo-se até o dia útil anterior à data prevista para a abertura da sessão pública.</w:t>
      </w:r>
    </w:p>
    <w:p>
      <w:pPr>
        <w:pStyle w:val="LOnormal"/>
        <w:numPr>
          <w:ilvl w:val="2"/>
          <w:numId w:val="5"/>
        </w:numPr>
        <w:spacing w:lineRule="auto" w:line="276" w:before="120" w:after="120"/>
        <w:ind w:left="992" w:hanging="0"/>
        <w:jc w:val="both"/>
        <w:rPr>
          <w:color w:val="000000"/>
        </w:rPr>
      </w:pPr>
      <w:r>
        <w:rPr>
          <w:color w:val="000000"/>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numPr>
          <w:ilvl w:val="1"/>
          <w:numId w:val="5"/>
        </w:numPr>
        <w:spacing w:lineRule="auto" w:line="276" w:before="120" w:after="120"/>
        <w:ind w:left="141" w:hanging="0"/>
        <w:jc w:val="both"/>
        <w:rPr/>
      </w:pPr>
      <w:r>
        <w:rPr>
          <w:color w:val="00000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numPr>
          <w:ilvl w:val="1"/>
          <w:numId w:val="5"/>
        </w:numPr>
        <w:spacing w:lineRule="auto" w:line="276" w:before="120" w:after="120"/>
        <w:ind w:left="141" w:hanging="0"/>
        <w:jc w:val="both"/>
        <w:rPr/>
      </w:pPr>
      <w:r>
        <w:rPr>
          <w:color w:val="00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numPr>
          <w:ilvl w:val="1"/>
          <w:numId w:val="5"/>
        </w:numPr>
        <w:spacing w:lineRule="auto" w:line="276" w:before="120" w:after="120"/>
        <w:ind w:left="141" w:hanging="0"/>
        <w:jc w:val="both"/>
        <w:rPr/>
      </w:pPr>
      <w:r>
        <w:rPr>
          <w:color w:val="000000"/>
        </w:rPr>
        <w:t xml:space="preserve">A licitante deverá declarar que tomou conhecimento de todas as informações e das condições locais para o cumprimento das obrigações objeto da licitação, utilizando o </w:t>
      </w:r>
      <w:r>
        <w:rPr>
          <w:b/>
          <w:color w:val="000000"/>
          <w:u w:val="single"/>
        </w:rPr>
        <w:t>Modelo do Anexo do Edital.</w:t>
      </w:r>
    </w:p>
    <w:p>
      <w:pPr>
        <w:pStyle w:val="LOnormal"/>
        <w:numPr>
          <w:ilvl w:val="1"/>
          <w:numId w:val="5"/>
        </w:numPr>
        <w:spacing w:lineRule="auto" w:line="276" w:before="120" w:after="120"/>
        <w:ind w:left="141" w:hanging="0"/>
        <w:jc w:val="both"/>
        <w:rPr/>
      </w:pPr>
      <w:r>
        <w:rPr>
          <w:color w:val="000000"/>
        </w:rPr>
        <w:t xml:space="preserve">No caso de NÃO VISTORIA a licitante deverá declarar, utilizando o </w:t>
      </w:r>
      <w:r>
        <w:rPr>
          <w:b/>
          <w:color w:val="000000"/>
        </w:rPr>
        <w:t xml:space="preserve">Modelo do Anexo do Edital </w:t>
      </w:r>
      <w:r>
        <w:rPr>
          <w:color w:val="000000"/>
        </w:rPr>
        <w:t>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LOnormal"/>
        <w:keepNext w:val="true"/>
        <w:keepLines/>
        <w:numPr>
          <w:ilvl w:val="0"/>
          <w:numId w:val="5"/>
        </w:numPr>
        <w:spacing w:lineRule="auto" w:line="276" w:before="480" w:after="0"/>
        <w:ind w:left="141" w:hanging="0"/>
        <w:jc w:val="both"/>
        <w:rPr>
          <w:b/>
          <w:b/>
          <w:color w:val="000000"/>
        </w:rPr>
      </w:pPr>
      <w:r>
        <w:rPr>
          <w:b/>
          <w:color w:val="000000"/>
        </w:rPr>
        <w:t>MODELO DE EXECUÇÃO DO OBJETO</w:t>
      </w:r>
    </w:p>
    <w:p>
      <w:pPr>
        <w:pStyle w:val="LOnormal"/>
        <w:numPr>
          <w:ilvl w:val="1"/>
          <w:numId w:val="5"/>
        </w:numPr>
        <w:spacing w:lineRule="auto" w:line="276" w:before="120" w:after="120"/>
        <w:ind w:left="141" w:hanging="0"/>
        <w:jc w:val="both"/>
        <w:rPr/>
      </w:pPr>
      <w:r>
        <w:rPr/>
        <w:t>A execução do objeto seguirá a seguinte dinâmica:</w:t>
      </w:r>
    </w:p>
    <w:p>
      <w:pPr>
        <w:pStyle w:val="LOnormal"/>
        <w:ind w:left="992" w:hanging="0"/>
        <w:jc w:val="both"/>
        <w:rPr/>
      </w:pPr>
      <w:r>
        <w:rPr>
          <w:color w:val="000000"/>
        </w:rPr>
        <w:t xml:space="preserve">8.1.1 A execução dos serviços objeto da contratação em tela será iniciada </w:t>
      </w:r>
      <w:r>
        <w:rPr>
          <w:b/>
          <w:color w:val="000000"/>
          <w:u w:val="single"/>
        </w:rPr>
        <w:t>no prazo máximo de 15 (quinze) dias após a assinatura do contrato e emissão da ordem de serviço</w:t>
      </w:r>
      <w:r>
        <w:rPr>
          <w:b/>
          <w:color w:val="000000"/>
        </w:rPr>
        <w:t>,</w:t>
      </w:r>
      <w:r>
        <w:rPr>
          <w:color w:val="000000"/>
        </w:rPr>
        <w:t xml:space="preserve"> considerando a data da publicação do referido instrumento no Diário Oficial da União na forma que segue:</w:t>
      </w:r>
    </w:p>
    <w:p>
      <w:pPr>
        <w:pStyle w:val="LOnormal"/>
        <w:spacing w:lineRule="auto" w:line="276" w:before="120" w:after="120"/>
        <w:ind w:left="992" w:hanging="0"/>
        <w:jc w:val="both"/>
        <w:rPr>
          <w:b/>
          <w:b/>
          <w:bCs/>
          <w:color w:val="000000"/>
        </w:rPr>
      </w:pPr>
      <w:r>
        <w:rPr>
          <w:b/>
          <w:bCs/>
          <w:color w:val="000000"/>
        </w:rPr>
        <w:t>8.1.1.1 O horário de execução dos serviços será de segunda-feira a sexta-feira, com carga horária semanal de até 40 horas, distribuída conforme necessidade das unidades do IFSertaoPE.</w:t>
      </w:r>
    </w:p>
    <w:p>
      <w:pPr>
        <w:pStyle w:val="LOnormal"/>
        <w:spacing w:lineRule="auto" w:line="276" w:before="120" w:after="120"/>
        <w:ind w:left="992" w:hanging="0"/>
        <w:jc w:val="both"/>
        <w:rPr>
          <w:b/>
          <w:b/>
          <w:bCs/>
          <w:color w:val="000000"/>
        </w:rPr>
      </w:pPr>
      <w:r>
        <w:rPr>
          <w:b/>
          <w:bCs/>
          <w:color w:val="000000"/>
        </w:rPr>
        <w:t>8.1.1.2 Os horários dos postos diurnos serão definidos entre os turnos da manhã e da tarde, bem como os noturnos conforme necessidade da Contratante.</w:t>
      </w:r>
    </w:p>
    <w:p>
      <w:pPr>
        <w:pStyle w:val="LOnormal"/>
        <w:spacing w:lineRule="auto" w:line="276"/>
        <w:ind w:left="992" w:right="57" w:hanging="0"/>
        <w:jc w:val="both"/>
        <w:rPr>
          <w:b/>
          <w:b/>
          <w:bCs/>
          <w:color w:val="000000"/>
        </w:rPr>
      </w:pPr>
      <w:r>
        <w:rPr>
          <w:b/>
          <w:bCs/>
          <w:color w:val="000000"/>
        </w:rPr>
        <w:t>8.1.1.3 As atividades constantes deste serviço serão desempenhadas nos locais determinados no subitem 5.3 deste Termo de Referência, também junto ao Núcleo de Atendimento a Pessoas com Necessidades Específicas - NAPNE do campus/Reitoria na hipótese de não haver demanda de atendimento de estudantes.</w:t>
      </w:r>
    </w:p>
    <w:p>
      <w:pPr>
        <w:pStyle w:val="LOnormal"/>
        <w:spacing w:lineRule="auto" w:line="276"/>
        <w:ind w:left="992" w:right="57" w:hanging="0"/>
        <w:jc w:val="both"/>
        <w:rPr>
          <w:color w:val="000000"/>
        </w:rPr>
      </w:pPr>
      <w:r>
        <w:rPr>
          <w:color w:val="000000"/>
        </w:rPr>
      </w:r>
    </w:p>
    <w:p>
      <w:pPr>
        <w:pStyle w:val="LOnormal"/>
        <w:spacing w:lineRule="auto" w:line="276"/>
        <w:ind w:left="992" w:right="57" w:hanging="0"/>
        <w:jc w:val="both"/>
        <w:rPr>
          <w:b/>
          <w:b/>
          <w:bCs/>
          <w:color w:val="000000"/>
          <w:u w:val="single"/>
        </w:rPr>
      </w:pPr>
      <w:r>
        <w:rPr>
          <w:b/>
          <w:bCs/>
          <w:color w:val="000000"/>
          <w:u w:val="single"/>
        </w:rPr>
        <w:t>8.1.1.4 Em havendo a inexistência da prestação dos serviços por parte da Contratante, e consequentemente não restando demanda ao profissional lotado naquele campus, poderá ser solicitada à contratada a desocupação de posto e até a rescisão, preservados os direitos da empresa quanto aos lucros cessantes e desmobilização do serviço a qualquer tempo, do contrato firmado.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8.1.1.5 A Contratante enviará à Contratada Ordem de Serviço, com antecedência mínima de 15 (quinze) dias, conforme modelo anexo ao edital, onde constará, dentre outras informações, a data para início, o número de postos necessários e os horários da prestação dos serviços.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8.1.1.6 As atividades serão desempenhadas principalmente durante o período letivo do IFSertaoPE, e, poderão ser suspensas nos casos definidos pela administração pública.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8.1.1.7 A Contratada será avisada com antecedência mínima de 30 (trinta) dias da suspensão dos serviços, através de Ordem de Serviço de Desocupação de Posto. A prorrogação prevista poderá ser concedida a critério da Administração, mediante justificativa apresentada pela CONTRATADA e aceita pelo Gestor do Contrato.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8.1.1.8 -Durante o período de suspensão da execução dos serviços, ficarão também suspensos os pagamentos à Contratada. A partir da desocupação do posto, nenhum pagamento será realizado à Contratada, até que o posto seja novamente ocupado mediante respectiva Ordem de Serviço de ocupação.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8.1.1.9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8.1.1.10 A excepcional realização de horas extras pelos empregados, exigido prévio acordo entre o contratante e a contratada, serão sempre compensadas no mês seguinte ao de sua realização e, em nenhuma hipótese, permitida a sua remuneração.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8.1.1.11. Os empregados deverão desenvolver suas atividades uniformizados, observadas as disposições contidas neste Termo de Referência.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8.1.1.12. As ocorrências de eventuais afastamentos dos empregados da execução dos serviços por quaisquer motivos e por período que compreenda a jornada diária, ensejarão providências imediatas da contratada para que o mesmo seja substituído temporariamente, admitida a tolerância máxima de 2 (duas) horas para a efetivação da substituição.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8.1.1.13. As solicitações do contratante para a substituição definitiva de empregados deverão ser efetivadas no dia seguinte ao da solicitação, caso não tenha sido estabelecido outro prazo, admitida a tolerância de até 3 (três) dias para a efetivação da substituição.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8.1.1.14. A Contratada deverá orientar seus empregados quanto à prevenção de incêndios e observar a conduta adequada na utilização dos materiais, equipamentos, ferramentas e utensílios, objetivando-se a correta execução dos serviços;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rPr>
      </w:pPr>
      <w:r>
        <w:rPr>
          <w:b/>
          <w:bCs/>
          <w:color w:val="000000"/>
          <w:u w:val="single"/>
        </w:rPr>
        <w:t>8.1.1.15. A Contratada deverá substituir toda e qualquer ausência, por qualquer motivo, de seus empregados alocados, por outro profissional que atenda aos requisitos exigidos, no prazo máximo de 2 (duas) horas, após o início da respectiva jornada, de forma a se evitar o decréscimo no quantitativo profissional disponibilizado para a prestação dos serviços. No caso de ausência de um</w:t>
      </w:r>
      <w:r>
        <w:rPr>
          <w:b/>
          <w:bCs/>
          <w:color w:val="000000"/>
        </w:rPr>
        <w:t xml:space="preserve"> </w:t>
      </w:r>
      <w:r>
        <w:rPr>
          <w:b/>
          <w:bCs/>
          <w:color w:val="000000"/>
          <w:u w:val="single"/>
        </w:rPr>
        <w:t>profissional, sem reposição, será descontado do faturamento mensal o valor correspondente ao número de horas não atendidas, sem prejuízo das demais sanções legais e contratuais;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8.1.1.16. Para a execução dos serviços, a Contratada deverá disponibilizar profissionais pertencentes às categorias de ocupação conforme a Classificação Brasileira de Ocupações – CBO.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8.1.1.17. Os contratos eventualmente firmados poderão ser acrescidos e/ou suprimidos conforme limites e condições estabelecidas no art. 65, da Lei 8.666/93.</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u w:val="single"/>
        </w:rPr>
      </w:pPr>
      <w:r>
        <w:rPr>
          <w:b/>
          <w:bCs/>
          <w:color w:val="000000"/>
          <w:u w:val="single"/>
        </w:rPr>
        <w:t>8.1.1.18.  As rotinas de gestão e fiscalização do contrato seguirão as diretrizes próprias da IN SEGES/ME nº 05/2017 e demais instruções que lhe são correlatas;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8.1.1.19. As rotinas de execução, periodicidades, horários de trabalho, escalas e rotinas serão estabelecidas previamente junto à contratada, através da Equipe de Gestão e Fiscalização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8.1.1.20. A contratada deverá designar formalmente um preposto para tratar das situações envolvendo o contrato, devendo tal informação ser encaminhada por Ofício à Gestão do Contrato previamente ao início da execução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8.1.1.21 A comunicação formal deverá ser realizada através de Ofício e e-mail, sendo prioritário o primeiro. A comunicação realizada pelo e-mail oficial apresentado pela contratada será considerada recebida e lida, independentemente de manifestação de recebimento, dentro do período compreendido entre as 8 h e 18 h dos dias úteis.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8.1.1.22 A equipe de gestão do contrato poderá convocar a CONTRATADA para reuniões periódicas de acompanhamento da execução, no mínimo semestrais, para fins de discussão da qualidade da prestação dos serviços e eventuais ajustes que sejam necessários;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8.1.1.23 A CONTRATADA deverá atentar para todas as orientações operacionais prestadas pela CONTRATANTE, no que diz respeito a pagamentos, aditamentos, repactuações, apurações de responsabilidades e outros temas em matéria contratual;</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8.1.1.24 É VEDADO à CONTRATADA o uso de insumos próprios, à exceção dos fardamentos, não provisionados nos demonstrativos de custos, bem como a posterior cobrança da CONTRATANTE, exceto nos casos expressamente previstos neste instrumento.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 xml:space="preserve">8.1.1.25. </w:t>
      </w:r>
      <w:r>
        <w:rPr>
          <w:b/>
          <w:bCs/>
          <w:u w:val="single"/>
        </w:rPr>
        <w:t>A CONTRATADA não receberá repasses de adicionais noturnos, horas extras e outras compensações não previstas nas planilhas de custos e formação de preços, devendo adotar, preferencialmente, o Banco de Horas para compensação de eventuais horas adicionais que os empregados terceirizados venham a trabalhar.</w:t>
      </w:r>
    </w:p>
    <w:p>
      <w:pPr>
        <w:pStyle w:val="LOnormal"/>
        <w:keepNext w:val="true"/>
        <w:keepLines/>
        <w:numPr>
          <w:ilvl w:val="0"/>
          <w:numId w:val="5"/>
        </w:numPr>
        <w:spacing w:lineRule="auto" w:line="276" w:before="480" w:after="0"/>
        <w:ind w:left="141" w:hanging="0"/>
        <w:jc w:val="both"/>
        <w:rPr>
          <w:b/>
          <w:b/>
          <w:color w:val="000000"/>
        </w:rPr>
      </w:pPr>
      <w:bookmarkStart w:id="4" w:name="_gjdgxs"/>
      <w:bookmarkEnd w:id="4"/>
      <w:r>
        <w:rPr>
          <w:b/>
          <w:color w:val="000000"/>
        </w:rPr>
        <w:t>MATERIAIS A SEREM DISPONIBILIZADOS</w:t>
      </w:r>
    </w:p>
    <w:p>
      <w:pPr>
        <w:pStyle w:val="LOnormal"/>
        <w:numPr>
          <w:ilvl w:val="1"/>
          <w:numId w:val="4"/>
        </w:numPr>
        <w:spacing w:lineRule="auto" w:line="276"/>
        <w:ind w:left="141" w:hanging="0"/>
        <w:jc w:val="both"/>
        <w:rPr>
          <w:color w:val="000000"/>
        </w:rPr>
      </w:pPr>
      <w:r>
        <w:rPr>
          <w:color w:val="000000"/>
        </w:rPr>
        <w:t>Não será necessária a entrega de materiais para execução dos serviços, exceto os uniformes e crachás de identificação.</w:t>
      </w:r>
    </w:p>
    <w:p>
      <w:pPr>
        <w:pStyle w:val="LOnormal"/>
        <w:spacing w:lineRule="auto" w:line="276" w:before="120" w:after="120"/>
        <w:ind w:left="141" w:hanging="0"/>
        <w:jc w:val="both"/>
        <w:rPr>
          <w:color w:val="000000"/>
          <w:highlight w:val="yellow"/>
        </w:rPr>
      </w:pPr>
      <w:r>
        <w:rPr>
          <w:color w:val="000000"/>
          <w:highlight w:val="yellow"/>
        </w:rPr>
      </w:r>
    </w:p>
    <w:p>
      <w:pPr>
        <w:pStyle w:val="LOnormal"/>
        <w:keepNext w:val="true"/>
        <w:keepLines/>
        <w:spacing w:lineRule="auto" w:line="276"/>
        <w:ind w:left="141" w:hanging="0"/>
        <w:jc w:val="both"/>
        <w:rPr>
          <w:b/>
          <w:b/>
          <w:color w:val="000000"/>
        </w:rPr>
      </w:pPr>
      <w:r>
        <w:rPr>
          <w:b/>
          <w:color w:val="000000"/>
        </w:rPr>
        <w:t>10. INFORMAÇÕES RELEVANTES PARA O DIMENSIONAMENTO DA PROPOSTA</w:t>
      </w:r>
    </w:p>
    <w:p>
      <w:pPr>
        <w:pStyle w:val="LOnormal"/>
        <w:spacing w:lineRule="auto" w:line="276" w:before="120" w:after="120"/>
        <w:ind w:left="141" w:hanging="0"/>
        <w:jc w:val="both"/>
        <w:rPr>
          <w:color w:val="000000"/>
        </w:rPr>
      </w:pPr>
      <w:r>
        <w:rPr>
          <w:color w:val="000000"/>
        </w:rPr>
        <w:t>10.1 A demanda do órgão tem como base as seguintes características:</w:t>
      </w:r>
    </w:p>
    <w:p>
      <w:pPr>
        <w:pStyle w:val="LOnormal"/>
        <w:spacing w:lineRule="auto" w:line="276" w:before="120" w:after="120"/>
        <w:ind w:left="141" w:hanging="0"/>
        <w:jc w:val="both"/>
        <w:rPr>
          <w:i/>
          <w:i/>
          <w:color w:val="FF0000"/>
        </w:rPr>
      </w:pPr>
      <w:r>
        <w:rPr>
          <w:color w:val="000000"/>
        </w:rPr>
        <w:t>10.1.1 As categorias profissionais não possuem Convenção Coletiva de Trabalho (CCT), assim para definição do salário-base a ser apresentado na sua planilha de custos e formação de preços a licitante deve levar em conta os seus custos, devendo, entretanto, respeitar o valor máximo estimado para a contratação.</w:t>
      </w:r>
    </w:p>
    <w:p>
      <w:pPr>
        <w:pStyle w:val="LOnormal"/>
        <w:spacing w:lineRule="auto" w:line="276" w:before="120" w:after="120"/>
        <w:ind w:left="141" w:hanging="0"/>
        <w:jc w:val="both"/>
        <w:rPr>
          <w:i/>
          <w:i/>
          <w:color w:val="FF0000"/>
        </w:rPr>
      </w:pPr>
      <w:r>
        <w:rPr>
          <w:color w:val="000000"/>
        </w:rPr>
        <w:t xml:space="preserve">10.1.1 Os valores básicos de referência da </w:t>
      </w:r>
      <w:r>
        <w:rPr>
          <w:b/>
          <w:bCs/>
          <w:color w:val="000000"/>
          <w:u w:val="single"/>
        </w:rPr>
        <w:t>remuneração</w:t>
      </w:r>
      <w:r>
        <w:rPr>
          <w:color w:val="000000"/>
        </w:rPr>
        <w:t xml:space="preserve"> foram definidos de acordo com pesquisa de preços de contratos públicos de outros órgãos da Administração e através do sítio </w:t>
      </w:r>
      <w:hyperlink r:id="rId3">
        <w:r>
          <w:rPr>
            <w:b/>
            <w:bCs/>
            <w:i/>
            <w:color w:val="000000"/>
          </w:rPr>
          <w:t>www.salario.com.br</w:t>
        </w:r>
      </w:hyperlink>
      <w:r>
        <w:rPr>
          <w:b/>
          <w:bCs/>
          <w:color w:val="000000"/>
        </w:rPr>
        <w:t>.</w:t>
      </w:r>
    </w:p>
    <w:p>
      <w:pPr>
        <w:pStyle w:val="LOnormal"/>
        <w:spacing w:lineRule="auto" w:line="276" w:before="120" w:after="120"/>
        <w:ind w:left="141" w:hanging="0"/>
        <w:jc w:val="both"/>
        <w:rPr>
          <w:i/>
          <w:i/>
          <w:color w:val="FF0000"/>
        </w:rPr>
      </w:pPr>
      <w:r>
        <w:rPr>
          <w:color w:val="000000"/>
        </w:rPr>
        <w:t xml:space="preserve">10.1.2 Os valores básicos de referência dos benefícios de </w:t>
      </w:r>
      <w:r>
        <w:rPr>
          <w:b/>
          <w:bCs/>
          <w:color w:val="000000"/>
          <w:u w:val="single"/>
        </w:rPr>
        <w:t xml:space="preserve">vale-transporte </w:t>
      </w:r>
      <w:r>
        <w:rPr>
          <w:color w:val="000000"/>
        </w:rPr>
        <w:t xml:space="preserve"> referente às planilhas do </w:t>
      </w:r>
      <w:r>
        <w:rPr>
          <w:color w:val="000000"/>
          <w:u w:val="single"/>
        </w:rPr>
        <w:t>Grupos 03(campus Petrolina e IFPE)</w:t>
      </w:r>
      <w:r>
        <w:rPr>
          <w:color w:val="C9211E"/>
        </w:rPr>
        <w:t xml:space="preserve"> </w:t>
      </w:r>
      <w:r>
        <w:rPr>
          <w:color w:val="000000"/>
        </w:rPr>
        <w:t xml:space="preserve">foram definidos de acordo com o </w:t>
      </w:r>
      <w:r>
        <w:rPr>
          <w:b/>
          <w:bCs/>
          <w:color w:val="000000"/>
          <w:u w:val="single"/>
        </w:rPr>
        <w:t>Decreto nº 019/2022 da Prefeitura</w:t>
      </w:r>
      <w:r>
        <w:rPr>
          <w:color w:val="000000"/>
        </w:rPr>
        <w:t xml:space="preserve"> </w:t>
      </w:r>
      <w:r>
        <w:rPr>
          <w:b/>
          <w:bCs/>
          <w:color w:val="000000"/>
          <w:u w:val="single"/>
        </w:rPr>
        <w:t>Municipal de Petrolina</w:t>
      </w:r>
      <w:r>
        <w:rPr>
          <w:color w:val="000000"/>
        </w:rPr>
        <w:t xml:space="preserve">, da ordem de </w:t>
      </w:r>
      <w:r>
        <w:rPr>
          <w:b/>
          <w:bCs/>
          <w:color w:val="000000"/>
        </w:rPr>
        <w:t>R$ 4,10 (quatro reais e dez centavos)</w:t>
      </w:r>
      <w:r>
        <w:rPr>
          <w:color w:val="000000"/>
        </w:rPr>
        <w:t xml:space="preserve"> por passagem levando a um total diário de </w:t>
      </w:r>
      <w:r>
        <w:rPr>
          <w:b/>
          <w:color w:val="000000"/>
          <w:u w:val="single"/>
        </w:rPr>
        <w:t>R$ 8,20 (oito reais e vinte centavos) por funcionário</w:t>
      </w:r>
      <w:r>
        <w:rPr>
          <w:color w:val="000000"/>
        </w:rPr>
        <w:t>. Vale salientar que o valor em destaque pode ser atualizado anualmente, devendo a contratada realizar a atualização de valores sempre que houver mudança de preços praticados pela Prefeitura, solicitando em seguida reajuste de preços através de replanilhamento não estando as empresas obrigadas a usarem a mesma convenção na formação de seus preços.</w:t>
      </w:r>
    </w:p>
    <w:p>
      <w:pPr>
        <w:pStyle w:val="LOnormal"/>
        <w:widowControl/>
        <w:suppressAutoHyphens w:val="true"/>
        <w:bidi w:val="0"/>
        <w:spacing w:lineRule="auto" w:line="276" w:before="120" w:after="120"/>
        <w:ind w:left="1077" w:right="0" w:hanging="0"/>
        <w:jc w:val="both"/>
        <w:rPr>
          <w:color w:val="000000"/>
        </w:rPr>
      </w:pPr>
      <w:r>
        <w:rPr>
          <w:rFonts w:eastAsia="Arial" w:cs="Arial"/>
          <w:i/>
          <w:color w:val="000000"/>
          <w:kern w:val="0"/>
          <w:sz w:val="20"/>
          <w:szCs w:val="20"/>
          <w:lang w:val="pt-BR" w:eastAsia="zh-CN" w:bidi="hi-IN"/>
        </w:rPr>
        <w:t xml:space="preserve">10.1.2.1 </w:t>
      </w:r>
      <w:r>
        <w:rPr>
          <w:rFonts w:eastAsia="Arial" w:cs="Arial"/>
          <w:b w:val="false"/>
          <w:i w:val="false"/>
          <w:strike w:val="false"/>
          <w:dstrike w:val="false"/>
          <w:outline w:val="false"/>
          <w:shadow w:val="false"/>
          <w:color w:val="000000"/>
          <w:kern w:val="0"/>
          <w:sz w:val="20"/>
          <w:szCs w:val="20"/>
          <w:u w:val="none"/>
          <w:em w:val="none"/>
          <w:lang w:val="pt-BR" w:eastAsia="zh-CN" w:bidi="hi-IN"/>
        </w:rPr>
        <w:t xml:space="preserve">O valor do Vale – Transporte está zerado para o Grupo 02, por que ao descontar o percentual de 6%(seis por cento) </w:t>
      </w:r>
      <w:r>
        <w:rPr>
          <w:rFonts w:eastAsia="Arial" w:cs="Arial"/>
          <w:b w:val="false"/>
          <w:i w:val="false"/>
          <w:caps w:val="false"/>
          <w:smallCaps w:val="false"/>
          <w:strike w:val="false"/>
          <w:dstrike w:val="false"/>
          <w:outline w:val="false"/>
          <w:shadow w:val="false"/>
          <w:color w:val="000000"/>
          <w:spacing w:val="0"/>
          <w:kern w:val="0"/>
          <w:sz w:val="20"/>
          <w:szCs w:val="20"/>
          <w:u w:val="none"/>
          <w:em w:val="none"/>
          <w:lang w:val="pt-BR" w:eastAsia="zh-CN" w:bidi="hi-IN"/>
        </w:rPr>
        <w:t>sobre o valor do salário básico do empregado pelo vale-transporte fornecido,</w:t>
      </w:r>
      <w:r>
        <w:rPr>
          <w:rFonts w:eastAsia="Arial" w:cs="Arial"/>
          <w:b w:val="false"/>
          <w:i w:val="false"/>
          <w:strike w:val="false"/>
          <w:dstrike w:val="false"/>
          <w:outline w:val="false"/>
          <w:shadow w:val="false"/>
          <w:color w:val="000000"/>
          <w:kern w:val="0"/>
          <w:sz w:val="20"/>
          <w:szCs w:val="20"/>
          <w:u w:val="none"/>
          <w:em w:val="none"/>
          <w:lang w:val="pt-BR" w:eastAsia="zh-CN" w:bidi="hi-IN"/>
        </w:rPr>
        <w:t xml:space="preserve"> obtém-se um desconto maior que o valor do vale-transporte.</w:t>
      </w:r>
      <w:r>
        <w:rPr>
          <w:rFonts w:eastAsia="Arial" w:cs="Arial"/>
          <w:b w:val="false"/>
          <w:i w:val="false"/>
          <w:strike w:val="false"/>
          <w:dstrike w:val="false"/>
          <w:outline w:val="false"/>
          <w:shadow w:val="false"/>
          <w:color w:val="000000"/>
          <w:kern w:val="0"/>
          <w:sz w:val="20"/>
          <w:szCs w:val="20"/>
          <w:u w:val="none"/>
          <w:em w:val="none"/>
          <w:lang w:val="pt-BR" w:eastAsia="zh-CN" w:bidi="hi-IN"/>
        </w:rPr>
        <w:t xml:space="preserve"> </w:t>
      </w:r>
    </w:p>
    <w:p>
      <w:pPr>
        <w:pStyle w:val="LOnormal"/>
        <w:spacing w:lineRule="auto" w:line="276" w:before="120" w:after="120"/>
        <w:ind w:left="141" w:hanging="0"/>
        <w:jc w:val="both"/>
        <w:rPr>
          <w:color w:val="000000"/>
        </w:rPr>
      </w:pPr>
      <w:r>
        <w:rPr>
          <w:color w:val="000000"/>
        </w:rPr>
        <w:t>10.1.3 Para efetivação da proposta referente ao</w:t>
      </w:r>
      <w:r>
        <w:rPr>
          <w:b/>
          <w:bCs/>
          <w:color w:val="000000"/>
        </w:rPr>
        <w:t xml:space="preserve"> </w:t>
      </w:r>
      <w:r>
        <w:rPr>
          <w:b/>
          <w:bCs/>
          <w:color w:val="000000"/>
          <w:u w:val="single"/>
        </w:rPr>
        <w:t>Grupo 03 (Campus Petrolina Zona Rural)</w:t>
      </w:r>
      <w:r>
        <w:rPr>
          <w:color w:val="000000"/>
          <w:u w:val="single"/>
        </w:rPr>
        <w:t xml:space="preserve"> </w:t>
      </w:r>
      <w:r>
        <w:rPr>
          <w:color w:val="000000"/>
        </w:rPr>
        <w:t xml:space="preserve">considerou os valores praticados a título de auxílio-transporte, de acordo com os preços praticados pelo transporte coletivo da cidade de Petrolina – PE através do Decreto Municipal de Petrolina nº 019/2021, sendo o valor do ônibus urbano </w:t>
      </w:r>
      <w:r>
        <w:rPr>
          <w:b/>
          <w:bCs/>
          <w:color w:val="000000"/>
        </w:rPr>
        <w:t xml:space="preserve">R$ 4,10 (quatro reais e dez centavos) </w:t>
      </w:r>
      <w:r>
        <w:rPr>
          <w:color w:val="000000"/>
        </w:rPr>
        <w:t>por passagem e o valor do transporte complementar (de acesso à área rural onde se localiza o Campus)</w:t>
      </w:r>
      <w:r>
        <w:rPr>
          <w:b/>
          <w:color w:val="C9211E"/>
          <w:u w:val="single"/>
        </w:rPr>
        <w:t xml:space="preserve"> </w:t>
      </w:r>
      <w:r>
        <w:rPr>
          <w:b/>
          <w:color w:val="000000"/>
          <w:u w:val="single"/>
        </w:rPr>
        <w:t>R$ 7,00 (sete reais ),</w:t>
      </w:r>
      <w:r>
        <w:rPr>
          <w:color w:val="000000"/>
        </w:rPr>
        <w:t xml:space="preserve"> conforme Decreto Municipal de Petrolina nº. Dessa forma, o custo do auxílio-transporte por dia para cada funcionário será de </w:t>
      </w:r>
      <w:r>
        <w:rPr>
          <w:b/>
          <w:color w:val="000000"/>
          <w:u w:val="single"/>
        </w:rPr>
        <w:t>R$ 22,20 (vinte e dois reais e vinte centavos)</w:t>
      </w:r>
      <w:r>
        <w:rPr>
          <w:color w:val="000000"/>
        </w:rPr>
        <w:t>, valor este que pode ser  anualmente reajustado pela Prefeitura  Municipal de  Petrolina,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LOnormal"/>
        <w:spacing w:lineRule="auto" w:line="276" w:before="120" w:after="120"/>
        <w:ind w:left="141" w:hanging="0"/>
        <w:jc w:val="both"/>
        <w:rPr>
          <w:i/>
          <w:i/>
          <w:color w:val="FF0000"/>
        </w:rPr>
      </w:pPr>
      <w:r>
        <w:rPr>
          <w:color w:val="000000"/>
        </w:rPr>
        <w:t xml:space="preserve">10.1.4 </w:t>
      </w:r>
      <w:r>
        <w:rPr>
          <w:color w:val="000000"/>
          <w:u w:val="single"/>
        </w:rPr>
        <w:t xml:space="preserve">Para os demais grupos desta contratação objeto deste termo, NÃO existem nos municípios transportes coletivos regulamentado (Campus e Floresta, Salgueiro, Ouricuri, Santa Maria e Serra Talhada), não cabendo custos inerentes ao deslocamento dos seus funcionários para prestação dos serviços em cada Campus supracitado. </w:t>
      </w:r>
    </w:p>
    <w:p>
      <w:pPr>
        <w:pStyle w:val="LOnormal"/>
        <w:spacing w:lineRule="auto" w:line="276" w:before="120" w:after="120"/>
        <w:ind w:left="141" w:hanging="0"/>
        <w:jc w:val="both"/>
        <w:rPr>
          <w:i/>
          <w:i/>
          <w:color w:val="FF0000"/>
        </w:rPr>
      </w:pPr>
      <w:r>
        <w:rPr>
          <w:color w:val="000000"/>
        </w:rPr>
        <w:t xml:space="preserve">10.1.5 </w:t>
      </w:r>
      <w:r>
        <w:rPr>
          <w:b/>
          <w:color w:val="000000"/>
          <w:u w:val="single"/>
        </w:rPr>
        <w:t>Para os itens de vale-alimentação e outros benefícios que estão definidos na planilha de composição de custos  a partir de convenção coletiva de trabalho(exceto remuneração e vale-transporte), as licitantes deverão considerar, para fins de apresentação de suas propostas a Convenção Coletiva de Trabalho que vincular sua proposta de preços que estiver vigente na data-limite de apresentação da proposta.</w:t>
      </w:r>
      <w:r>
        <w:rPr>
          <w:color w:val="000000"/>
        </w:rPr>
        <w:t xml:space="preserve"> Assim, não serão aceitos pedidos de repactuação com base em convenções coletivas de trabalho que tenham sido registradas em data anterior à da abertura da sessão pública da licitação. </w:t>
      </w:r>
    </w:p>
    <w:p>
      <w:pPr>
        <w:pStyle w:val="LOnormal"/>
        <w:spacing w:lineRule="auto" w:line="276" w:before="120" w:after="120"/>
        <w:ind w:left="141" w:hanging="0"/>
        <w:jc w:val="both"/>
        <w:rPr>
          <w:color w:val="000000"/>
        </w:rPr>
      </w:pPr>
      <w:r>
        <w:rPr>
          <w:color w:val="000000"/>
        </w:rPr>
        <w:t>10.1.6 O custo da mão de obra a ser empregada não disponível na CCT é de responsabilidade da licitante, devendo o seu valor ser compatível com os preços de mercado.</w:t>
      </w:r>
    </w:p>
    <w:p>
      <w:pPr>
        <w:pStyle w:val="LOnormal"/>
        <w:spacing w:lineRule="auto" w:line="276" w:before="120" w:after="120"/>
        <w:ind w:left="141" w:hanging="0"/>
        <w:jc w:val="both"/>
        <w:rPr>
          <w:color w:val="000000"/>
        </w:rPr>
      </w:pPr>
      <w:r>
        <w:rPr>
          <w:color w:val="000000"/>
        </w:rPr>
        <w:t xml:space="preserve">10.1.7. O(s) sindicato(s) no subitem acima não são de utilização obrigatória pelos licitantes (Acórdão TCU nº 369/2012), mas sempre se exigirá o cumprimento das convenções coletivas adotadas por licitante/CONTRATANTE. </w:t>
      </w:r>
    </w:p>
    <w:p>
      <w:pPr>
        <w:pStyle w:val="LOnormal"/>
        <w:spacing w:lineRule="auto" w:line="276" w:before="120" w:after="120"/>
        <w:ind w:left="141" w:hanging="0"/>
        <w:jc w:val="both"/>
        <w:rPr>
          <w:color w:val="000000"/>
        </w:rPr>
      </w:pPr>
      <w:r>
        <w:rPr>
          <w:color w:val="000000"/>
        </w:rPr>
        <w:t>10.1.8. Na utilização de convenção distinta à utilizada, a empresa deverá anexar a convenção coletiva aplicada à planilha de custos e formação de preços.</w:t>
      </w:r>
    </w:p>
    <w:p>
      <w:pPr>
        <w:pStyle w:val="LOnormal"/>
        <w:spacing w:lineRule="auto" w:line="276" w:before="120" w:after="120"/>
        <w:ind w:left="141" w:hanging="0"/>
        <w:jc w:val="both"/>
        <w:rPr>
          <w:color w:val="000000"/>
        </w:rPr>
      </w:pPr>
      <w:r>
        <w:rPr>
          <w:color w:val="000000"/>
        </w:rPr>
        <w:t xml:space="preserve">10.1.9. </w:t>
      </w:r>
      <w:r>
        <w:rPr>
          <w:b/>
          <w:color w:val="000000"/>
          <w:u w:val="single"/>
        </w:rPr>
        <w:t xml:space="preserve">O benefício vale-alimentação </w:t>
      </w:r>
      <w:r>
        <w:rPr>
          <w:color w:val="000000"/>
        </w:rPr>
        <w:t>dos profissionais para a composição dos custos foi estipulado com base nas seguintes Convenções Coletivas de Trabalho:</w:t>
      </w:r>
    </w:p>
    <w:p>
      <w:pPr>
        <w:pStyle w:val="LOnormal"/>
        <w:widowControl/>
        <w:suppressAutoHyphens w:val="true"/>
        <w:bidi w:val="0"/>
        <w:spacing w:lineRule="auto" w:line="276" w:before="120" w:after="120"/>
        <w:ind w:left="850" w:right="0" w:hanging="0"/>
        <w:jc w:val="both"/>
        <w:rPr>
          <w:color w:val="000000"/>
        </w:rPr>
      </w:pPr>
      <w:r>
        <w:rPr>
          <w:color w:val="000000"/>
        </w:rPr>
        <w:t xml:space="preserve">10.1.9.1 </w:t>
      </w:r>
      <w:r>
        <w:rPr>
          <w:b/>
          <w:bCs/>
          <w:color w:val="000000"/>
        </w:rPr>
        <w:t>CCT PE000091/2022</w:t>
      </w:r>
      <w:r>
        <w:rPr>
          <w:color w:val="000000"/>
        </w:rPr>
        <w:t xml:space="preserve"> do SINDICATO INTER. EMPREG. EM EMP. ASSEIO E CONSERV. LIMPEZA URBANA, LOC.MAO DE OBRA, ADM. IMOVEIS, CONDOMINIOS DE EDIF.RES.COM.DA REG.S..EST.PERNAMBUCO, CNPJ n 13.936.184/0001-48 </w:t>
      </w:r>
      <w:r>
        <w:rPr>
          <w:b/>
          <w:bCs/>
          <w:color w:val="000000"/>
        </w:rPr>
        <w:t xml:space="preserve">para todos os </w:t>
      </w:r>
      <w:r>
        <w:rPr>
          <w:b/>
          <w:bCs/>
          <w:i/>
          <w:iCs/>
          <w:color w:val="000000"/>
        </w:rPr>
        <w:t>campi</w:t>
      </w:r>
      <w:r>
        <w:rPr>
          <w:b/>
          <w:bCs/>
          <w:color w:val="000000"/>
        </w:rPr>
        <w:t xml:space="preserve"> do IFSertãoPE(campis Petrolina, Petrolina Zona Rural, Floresta, Salgueiro, Ouricuri, Santa Maria da Boa Vista e Serra Talhada).</w:t>
      </w:r>
    </w:p>
    <w:p>
      <w:pPr>
        <w:pStyle w:val="LOnormal"/>
        <w:widowControl/>
        <w:suppressAutoHyphens w:val="true"/>
        <w:bidi w:val="0"/>
        <w:spacing w:lineRule="auto" w:line="276" w:before="120" w:after="120"/>
        <w:ind w:left="850" w:right="0" w:hanging="0"/>
        <w:jc w:val="both"/>
        <w:rPr>
          <w:color w:val="000000"/>
        </w:rPr>
      </w:pPr>
      <w:r>
        <w:rPr>
          <w:b w:val="false"/>
          <w:bCs w:val="false"/>
          <w:color w:val="000000"/>
        </w:rPr>
        <w:t xml:space="preserve">10.1.9.2 </w:t>
      </w:r>
      <w:r>
        <w:rPr>
          <w:b/>
          <w:bCs/>
          <w:color w:val="000000"/>
        </w:rPr>
        <w:t xml:space="preserve">CCT PE000090/2022: </w:t>
      </w:r>
      <w:r>
        <w:rPr>
          <w:rFonts w:ascii="Arial;Verdana;Helvetica;sans-serif" w:hAnsi="Arial;Verdana;Helvetica;sans-serif"/>
          <w:b w:val="false"/>
          <w:bCs/>
          <w:i w:val="false"/>
          <w:caps w:val="false"/>
          <w:smallCaps w:val="false"/>
          <w:color w:val="000000"/>
          <w:spacing w:val="0"/>
          <w:sz w:val="21"/>
        </w:rPr>
        <w:t>SIND DOS EMP EM EMP PREST DE SERV, ASSEIO E CONSERVACAO NOS MUNICIPIOS DE JABOATAO, CABO DE SANTO AGOSTINHO, IPOJUCA E MORENO/PE – SINDPREST, CNPJ n. 05.140.881/0001-60</w:t>
      </w:r>
      <w:r>
        <w:rPr>
          <w:rFonts w:ascii="T3Font_0" w:hAnsi="T3Font_0"/>
          <w:b/>
          <w:bCs/>
          <w:color w:val="000000"/>
          <w:sz w:val="21"/>
        </w:rPr>
        <w:t xml:space="preserve"> </w:t>
      </w:r>
      <w:r>
        <w:rPr>
          <w:b/>
          <w:bCs/>
          <w:i w:val="false"/>
          <w:iCs w:val="false"/>
          <w:color w:val="000000"/>
        </w:rPr>
        <w:t xml:space="preserve"> </w:t>
      </w:r>
      <w:r>
        <w:rPr>
          <w:b w:val="false"/>
          <w:bCs w:val="false"/>
          <w:i w:val="false"/>
          <w:iCs w:val="false"/>
          <w:color w:val="000000"/>
        </w:rPr>
        <w:t xml:space="preserve">para os </w:t>
      </w:r>
      <w:r>
        <w:rPr>
          <w:b/>
          <w:bCs/>
          <w:i w:val="false"/>
          <w:iCs w:val="false"/>
          <w:color w:val="000000"/>
        </w:rPr>
        <w:t xml:space="preserve">campi Jaboatão, Ipojuca e Cabo de Santo Agostinho </w:t>
      </w:r>
      <w:r>
        <w:rPr>
          <w:b w:val="false"/>
          <w:bCs w:val="false"/>
          <w:i w:val="false"/>
          <w:iCs w:val="false"/>
          <w:color w:val="000000"/>
        </w:rPr>
        <w:t>do Instituto Federal de Pernambuco(IFPE);</w:t>
      </w:r>
    </w:p>
    <w:p>
      <w:pPr>
        <w:pStyle w:val="LOnormal"/>
        <w:widowControl/>
        <w:suppressAutoHyphens w:val="true"/>
        <w:bidi w:val="0"/>
        <w:spacing w:lineRule="auto" w:line="276" w:before="120" w:after="120"/>
        <w:ind w:left="850" w:right="0" w:hanging="0"/>
        <w:jc w:val="both"/>
        <w:rPr>
          <w:color w:val="000000"/>
        </w:rPr>
      </w:pPr>
      <w:r>
        <w:rPr>
          <w:rFonts w:ascii="Arial;Verdana;Helvetica;sans-serif" w:hAnsi="Arial;Verdana;Helvetica;sans-serif"/>
          <w:b w:val="false"/>
          <w:bCs w:val="false"/>
          <w:i w:val="false"/>
          <w:caps w:val="false"/>
          <w:smallCaps w:val="false"/>
          <w:color w:val="000000"/>
          <w:spacing w:val="0"/>
          <w:sz w:val="21"/>
        </w:rPr>
        <w:t>10.1.9.3</w:t>
      </w:r>
      <w:r>
        <w:rPr>
          <w:rFonts w:ascii="Arial;Verdana;Helvetica;sans-serif" w:hAnsi="Arial;Verdana;Helvetica;sans-serif"/>
          <w:b/>
          <w:bCs/>
          <w:i w:val="false"/>
          <w:caps w:val="false"/>
          <w:smallCaps w:val="false"/>
          <w:color w:val="000000"/>
          <w:spacing w:val="0"/>
          <w:sz w:val="21"/>
        </w:rPr>
        <w:t xml:space="preserve"> CCT PE000089/2022: </w:t>
      </w:r>
      <w:r>
        <w:rPr>
          <w:rFonts w:ascii="Arial;Verdana;Helvetica;sans-serif" w:hAnsi="Arial;Verdana;Helvetica;sans-serif"/>
          <w:b w:val="false"/>
          <w:bCs/>
          <w:i w:val="false"/>
          <w:caps w:val="false"/>
          <w:smallCaps w:val="false"/>
          <w:color w:val="000000"/>
          <w:spacing w:val="0"/>
          <w:sz w:val="21"/>
        </w:rPr>
        <w:t>SINDICATO DOS TRAB. NAS EMP. DE ASSEIO E CONS.,LIMP. URB.,LOC. DE MAO DE OBRA, ADM. DE IMOV., COND. DE EDIF.,RESID. E COM. DO EST. DE PERNAMBUCO, CNPJ n. 04.072.540/0001-31 p</w:t>
      </w:r>
      <w:r>
        <w:rPr>
          <w:rFonts w:ascii="Arial;Verdana;Helvetica;sans-serif" w:hAnsi="Arial;Verdana;Helvetica;sans-serif"/>
          <w:b w:val="false"/>
          <w:bCs/>
          <w:i w:val="false"/>
          <w:iCs w:val="false"/>
          <w:caps w:val="false"/>
          <w:smallCaps w:val="false"/>
          <w:color w:val="000000"/>
          <w:spacing w:val="0"/>
          <w:sz w:val="21"/>
        </w:rPr>
        <w:t xml:space="preserve">ara os </w:t>
      </w:r>
      <w:r>
        <w:rPr>
          <w:rFonts w:ascii="Arial;Verdana;Helvetica;sans-serif" w:hAnsi="Arial;Verdana;Helvetica;sans-serif"/>
          <w:b/>
          <w:bCs/>
          <w:i w:val="false"/>
          <w:iCs w:val="false"/>
          <w:caps w:val="false"/>
          <w:smallCaps w:val="false"/>
          <w:color w:val="000000"/>
          <w:spacing w:val="0"/>
          <w:sz w:val="21"/>
        </w:rPr>
        <w:t>campi</w:t>
      </w:r>
      <w:r>
        <w:rPr>
          <w:b/>
          <w:bCs/>
          <w:i w:val="false"/>
          <w:iCs w:val="false"/>
          <w:color w:val="000000"/>
        </w:rPr>
        <w:t xml:space="preserve"> </w:t>
      </w:r>
      <w:r>
        <w:rPr>
          <w:rFonts w:eastAsia="Arial" w:cs="Arial"/>
          <w:b/>
          <w:bCs/>
          <w:i w:val="false"/>
          <w:iCs w:val="false"/>
          <w:color w:val="000000"/>
          <w:kern w:val="0"/>
          <w:sz w:val="20"/>
          <w:szCs w:val="20"/>
          <w:lang w:val="pt-BR" w:eastAsia="zh-CN" w:bidi="hi-IN"/>
        </w:rPr>
        <w:t xml:space="preserve">Recife, Olinda, Caruaru, Palmares, Barreiros, Belo Jardim, Pesqueira, Vitoria de Santo Antão, Afogados da Ingazeira, Igarassu, Paulista, Pesqueira </w:t>
      </w:r>
      <w:r>
        <w:rPr>
          <w:rFonts w:eastAsia="Arial" w:cs="Arial"/>
          <w:b w:val="false"/>
          <w:bCs w:val="false"/>
          <w:i w:val="false"/>
          <w:iCs w:val="false"/>
          <w:color w:val="000000"/>
          <w:kern w:val="0"/>
          <w:sz w:val="20"/>
          <w:szCs w:val="20"/>
          <w:lang w:val="pt-BR" w:eastAsia="zh-CN" w:bidi="hi-IN"/>
        </w:rPr>
        <w:t xml:space="preserve">do Instituto Federal de Pernambuco(IFPE). </w:t>
      </w:r>
    </w:p>
    <w:p>
      <w:pPr>
        <w:pStyle w:val="LOnormal"/>
        <w:widowControl/>
        <w:suppressAutoHyphens w:val="true"/>
        <w:bidi w:val="0"/>
        <w:spacing w:lineRule="auto" w:line="276" w:before="120" w:after="120"/>
        <w:ind w:left="850" w:right="0" w:hanging="0"/>
        <w:jc w:val="both"/>
        <w:rPr>
          <w:color w:val="000000"/>
        </w:rPr>
      </w:pPr>
      <w:r>
        <w:rPr>
          <w:color w:val="000000"/>
        </w:rPr>
        <w:t>10.1.9.4 O custo da mão de obra a ser empregada, não disponível na CCT é de responsabilidade da licitante, devendo o seu valor ser compatível com os preços de mercado.</w:t>
      </w:r>
    </w:p>
    <w:p>
      <w:pPr>
        <w:pStyle w:val="LOnormal"/>
        <w:spacing w:lineRule="auto" w:line="276" w:before="120" w:after="120"/>
        <w:ind w:left="141" w:hanging="0"/>
        <w:jc w:val="both"/>
        <w:rPr>
          <w:color w:val="000000"/>
        </w:rPr>
      </w:pPr>
      <w:r>
        <w:rPr>
          <w:color w:val="000000"/>
        </w:rPr>
        <w:t>10.1.10. O valor obtido para remuneração através de pesquisa de preço encontra-se na Planilha de Custos e Formação de Preço, anexo a este Termo, não sendo admitido pagamento de salário com valor inferior ao estimado.</w:t>
      </w:r>
    </w:p>
    <w:p>
      <w:pPr>
        <w:pStyle w:val="LOnormal"/>
        <w:spacing w:lineRule="auto" w:line="276" w:before="120" w:after="120"/>
        <w:ind w:left="141" w:hanging="0"/>
        <w:jc w:val="both"/>
        <w:rPr/>
      </w:pPr>
      <w:r>
        <w:rPr>
          <w:color w:val="000000"/>
        </w:rPr>
        <w:t>10.1.11.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before="120" w:after="120"/>
        <w:ind w:left="141" w:hanging="0"/>
        <w:jc w:val="both"/>
        <w:rPr>
          <w:color w:val="000000"/>
        </w:rPr>
      </w:pPr>
      <w:r>
        <w:rPr>
          <w:color w:val="000000"/>
        </w:rPr>
        <w:t xml:space="preserve">10.1.12. A composição do valor deverá ser apresentada através do preenchimento da Planilha de Custos e Formação de Preços - </w:t>
      </w:r>
      <w:r>
        <w:rPr>
          <w:b/>
          <w:bCs/>
          <w:color w:val="000000"/>
        </w:rPr>
        <w:t>Anexo  I/C</w:t>
      </w:r>
      <w:r>
        <w:rPr>
          <w:color w:val="000000"/>
        </w:rPr>
        <w:t>, elaborada a partir do modelo do Anexo VII-D da Instrução Normativa MPDG nº 5/2017, considerando todos os benefícios elencados na convenção coletiva de trabalho da categoria, pertinentes ao município de atuação, impostos municipais/estaduais/federais e demais encargos julgados necessários para execução do serviço.</w:t>
      </w:r>
    </w:p>
    <w:p>
      <w:pPr>
        <w:pStyle w:val="LOnormal"/>
        <w:spacing w:lineRule="auto" w:line="276" w:before="120" w:after="120"/>
        <w:ind w:left="141" w:hanging="0"/>
        <w:jc w:val="both"/>
        <w:rPr>
          <w:i/>
          <w:i/>
          <w:color w:val="FF0000"/>
        </w:rPr>
      </w:pPr>
      <w:r>
        <w:rPr>
          <w:color w:val="000000"/>
        </w:rPr>
        <w:t>10.1.13. A Planilha de Custos e Formação de Preços deverá ser preenchida com clareza e precisão pela licitante, demonstrando todos os benefícios e custos diretos e indiretos que forem exigidos para a prestação do serviço licitado, devendo ser apresentada devidamente assinada, sem rasuras e emendas e em conformidade com a sua realidade e com o previsto neste Termo de Referência.</w:t>
      </w:r>
    </w:p>
    <w:p>
      <w:pPr>
        <w:pStyle w:val="LOnormal"/>
        <w:spacing w:lineRule="auto" w:line="276" w:before="120" w:after="120"/>
        <w:ind w:left="141" w:hanging="0"/>
        <w:jc w:val="both"/>
        <w:rPr>
          <w:color w:val="000000"/>
        </w:rPr>
      </w:pPr>
      <w:r>
        <w:rPr>
          <w:color w:val="000000"/>
        </w:rPr>
        <w:t>10.1.14. Na composição dos preços para elaboração das propostas, os licitantes não deverão considerar os percentuais referentes à Contribuição Social sobre o Lucro Líquido (CSLL) e o Imposto de Renda de Pessoa Jurídica (IRPJ), de acordo com o ACÓRDÃO 950/2007, do TCU, e Mensagem 37226 do SIASG.</w:t>
      </w:r>
    </w:p>
    <w:p>
      <w:pPr>
        <w:pStyle w:val="LOnormal"/>
        <w:spacing w:lineRule="auto" w:line="276" w:before="120" w:after="120"/>
        <w:ind w:left="141" w:hanging="0"/>
        <w:jc w:val="both"/>
        <w:rPr>
          <w:color w:val="000000"/>
        </w:rPr>
      </w:pPr>
      <w:r>
        <w:rPr>
          <w:color w:val="000000"/>
        </w:rPr>
        <w:t>10.1.15. Em nenhuma hipótese poderá ser alterado o conteúdo da proposta apresentada, seja com relação a preço, prazo ou qualquer outra condição que importe modificação dos seus termos originais, ressalvadas aquelas destinadas a sanar erros materiais e à redução de preços.</w:t>
      </w:r>
    </w:p>
    <w:p>
      <w:pPr>
        <w:pStyle w:val="LOnormal"/>
        <w:spacing w:lineRule="auto" w:line="276" w:before="120" w:after="120"/>
        <w:ind w:left="141" w:hanging="0"/>
        <w:jc w:val="both"/>
        <w:rPr>
          <w:color w:val="000000"/>
        </w:rPr>
      </w:pPr>
      <w:r>
        <w:rPr>
          <w:color w:val="000000"/>
        </w:rPr>
        <w:t>10.1.16. Erros no preenchimento da planilha não são motivos suficientes para a desclassificação da proposta, quando a planilha puder ser ajustada sem a necessidade de majoração do preço ofertado, e desde que se comprove que este é o bastante para arcar com todos os custos da contratação, nos termos do subitem 7.9 do Anexo VII-A da IN MPDG nº 05/2017.</w:t>
      </w:r>
    </w:p>
    <w:p>
      <w:pPr>
        <w:pStyle w:val="LOnormal"/>
        <w:spacing w:lineRule="auto" w:line="276" w:before="120" w:after="120"/>
        <w:ind w:left="141" w:hanging="0"/>
        <w:jc w:val="both"/>
        <w:rPr>
          <w:color w:val="000000"/>
        </w:rPr>
      </w:pPr>
      <w:r>
        <w:rPr>
          <w:color w:val="000000"/>
        </w:rPr>
        <w:t>10.1.17. A CONTRATADA ficará obrigada a aceitar, no interesse da Administração, nas mesmas condições assumidas, os acréscimos ou supressões que se fizerem, até o limite de 25% (vinte e cinco por cento) do valor do contrato inicial atualizado, conforme prevê o §1º do Art. 65, da Lei nº 8.666/93.</w:t>
      </w:r>
    </w:p>
    <w:p>
      <w:pPr>
        <w:pStyle w:val="LOnormal"/>
        <w:spacing w:lineRule="auto" w:line="276" w:before="120" w:after="120"/>
        <w:ind w:left="141" w:hanging="0"/>
        <w:jc w:val="both"/>
        <w:rPr>
          <w:color w:val="000000"/>
        </w:rPr>
      </w:pPr>
      <w:r>
        <w:rPr>
          <w:color w:val="000000"/>
        </w:rPr>
        <w:t>10.1.18. Os preços propostos deverão incluir todos os custos necessários à execução do objeto do contrato, tais como salários, impostos, encargos trabalhistas, previdenciários e comerciais emolumentos, taxas, fretes, seguros, deslocamentos de pessoal e quaisquer outras despesas que incidam ou venham a incidir sobre o custo (direto ou indireto) do Contrato.</w:t>
      </w:r>
    </w:p>
    <w:p>
      <w:pPr>
        <w:pStyle w:val="LOnormal"/>
        <w:spacing w:lineRule="auto" w:line="276" w:before="120" w:after="120"/>
        <w:ind w:left="141" w:hanging="0"/>
        <w:jc w:val="both"/>
        <w:rPr>
          <w:color w:val="000000"/>
        </w:rPr>
      </w:pPr>
      <w:r>
        <w:rPr>
          <w:color w:val="000000"/>
        </w:rPr>
        <w:t>10.1.19. Quaisquer tributos, custos e despesas diretas ou indiretas omitidas da proposta ou incorretamente cotadas serão considerados como inclusos nos preços, não sendo considerados pleitos de acréscimos, a esse título.</w:t>
      </w:r>
    </w:p>
    <w:p>
      <w:pPr>
        <w:pStyle w:val="LOnormal"/>
        <w:spacing w:lineRule="auto" w:line="276" w:before="120" w:after="120"/>
        <w:ind w:left="141" w:hanging="0"/>
        <w:jc w:val="both"/>
        <w:rPr>
          <w:color w:val="000000"/>
        </w:rPr>
      </w:pPr>
      <w:r>
        <w:rPr>
          <w:color w:val="000000"/>
        </w:rPr>
        <w:t>10.1.20. As planilhas de custos e formação de preços na apresentação da proposta deverão seguir a estrutura instituída pela IN MPDG nº 05/2017, conforme modelo anexo ao Edital.</w:t>
      </w:r>
    </w:p>
    <w:p>
      <w:pPr>
        <w:pStyle w:val="LOnormal"/>
        <w:spacing w:lineRule="auto" w:line="276" w:before="120" w:after="120"/>
        <w:ind w:left="141" w:hanging="0"/>
        <w:jc w:val="both"/>
        <w:rPr>
          <w:color w:val="000000"/>
        </w:rPr>
      </w:pPr>
      <w:r>
        <w:rPr>
          <w:color w:val="000000"/>
        </w:rPr>
        <w:t>10.1.21. Não se admitirá proposta que apresente preços global ou unitários acima do valor estimado neste Termo de Referência,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Onormal"/>
        <w:spacing w:lineRule="auto" w:line="276" w:before="120" w:after="120"/>
        <w:ind w:left="141" w:hanging="0"/>
        <w:jc w:val="both"/>
        <w:rPr>
          <w:color w:val="000000"/>
        </w:rPr>
      </w:pPr>
      <w:r>
        <w:rPr>
          <w:color w:val="000000"/>
        </w:rPr>
        <w:t>10.1.22. Se houver indícios de inexequibilidade da proposta de preço, ou em caso da necessidade de esclarecimentos complementares, poderá ser efetuada diligência, na forma do § 3º do art. 43 da Lei nº 8.666, de 1993, para efeito de comprovação de sua exequibilidade, podendo ser adotado, dentre outros, os procedimentos definidos no subitem 9.4 do Anexo VII-A da IN MPDG nº 05/2017.</w:t>
      </w:r>
    </w:p>
    <w:p>
      <w:pPr>
        <w:pStyle w:val="LOnormal"/>
        <w:spacing w:lineRule="auto" w:line="276" w:before="120" w:after="120"/>
        <w:ind w:left="141" w:hanging="0"/>
        <w:jc w:val="both"/>
        <w:rPr>
          <w:color w:val="000000"/>
        </w:rPr>
      </w:pPr>
      <w:r>
        <w:rPr>
          <w:color w:val="000000"/>
        </w:rPr>
        <w:t>10.1.23. Na formulação da proposta, a licitante deverá observar ainda o regime de tributação ao qual está submetida, no tocante à incidência das alíquotas do ISS, PIS e COFINS sobre seu faturamento, conforme prevista nas Leis nº 10.637/2002 e 10.833/2003 (Acórdão TCU Plenário no 2.647/2009).</w:t>
      </w:r>
    </w:p>
    <w:p>
      <w:pPr>
        <w:pStyle w:val="LOnormal"/>
        <w:spacing w:lineRule="auto" w:line="276" w:before="120" w:after="120"/>
        <w:ind w:left="141" w:hanging="0"/>
        <w:jc w:val="both"/>
        <w:rPr>
          <w:color w:val="000000"/>
        </w:rPr>
      </w:pPr>
      <w:r>
        <w:rPr>
          <w:color w:val="000000"/>
        </w:rPr>
        <w:t>10.1.24. A licitante deverá comprovar por meio de documentação hábil o seu regime de tributação, a fim de certificar se as alíquotas do PIS e da COFINS consignadas na planilha conferem com sua opção tributária.</w:t>
      </w:r>
    </w:p>
    <w:p>
      <w:pPr>
        <w:pStyle w:val="LOnormal"/>
        <w:spacing w:lineRule="auto" w:line="276" w:before="120" w:after="120"/>
        <w:ind w:left="141" w:hanging="0"/>
        <w:jc w:val="both"/>
        <w:rPr/>
      </w:pPr>
      <w:r>
        <w:rPr>
          <w:color w:val="000000"/>
        </w:rPr>
        <w:t>10.1.25</w:t>
      </w:r>
      <w:r>
        <w:rPr>
          <w:i/>
          <w:color w:val="FF0000"/>
        </w:rPr>
        <w:t>.</w:t>
      </w:r>
      <w:r>
        <w:rPr>
          <w:color w:val="000000"/>
        </w:rPr>
        <w:t xml:space="preserve"> Para as empresas tributadas pelo regime de incidência não-cumulativa de PIS e de COFINS não será admitida, em nenhuma hipótese, a cotação do percentual integral das alíquotas relativas a PIS (1,65%) e COFINS (7,60%), tendo em vista que as Leis nº 10.637/2002 e 10.833/2003 permitem o desconto de créditos apurados com base em custos, despesas e encargos da pessoa jurídica pagos em etapas anteriores, fazendo com que o valor do tributo efetivamente recolhido, em relação ao faturamento, seja inferior à alíquota dessas contribuições.</w:t>
      </w:r>
    </w:p>
    <w:p>
      <w:pPr>
        <w:pStyle w:val="LOnormal"/>
        <w:spacing w:lineRule="auto" w:line="276" w:before="120" w:after="120"/>
        <w:ind w:left="141" w:hanging="0"/>
        <w:jc w:val="both"/>
        <w:rPr/>
      </w:pPr>
      <w:r>
        <w:rPr>
          <w:color w:val="000000"/>
        </w:rPr>
        <w:t>10.1.26 As empresas tributadas pelo regime de incidência não-cumulativa de PIS e COFINS devem cotar os percentuais que representem a média das alíquotas efetivamente recolhidas nos 12 (doze) meses anteriores à apresentação da proposta, apurada com base nos dados da Escrituração Fiscal Digital da Contribuição para o PIS/PASEP e para a COFINS (EFD - Contribuições) cujos respectivos registros deverão ser remetidos junto as planilhas de custos e formação de preços.</w:t>
      </w:r>
    </w:p>
    <w:p>
      <w:pPr>
        <w:pStyle w:val="LOnormal"/>
        <w:spacing w:lineRule="auto" w:line="276" w:before="120" w:after="120"/>
        <w:ind w:left="141" w:hanging="0"/>
        <w:jc w:val="both"/>
        <w:rPr/>
      </w:pPr>
      <w:r>
        <w:rPr>
          <w:color w:val="000000"/>
        </w:rPr>
        <w:t>10.1.27. Caso a licitante tenha recolhido tributos pelo regime de incidência não-cumulativa em apenas alguns meses do período que deve ser considerado para o cálculo do percentual médio efetivo (12 meses anteriores à data da proposta), poderá apresentar o cálculo considerando apenas os meses em que houve o recolhimento.</w:t>
      </w:r>
    </w:p>
    <w:p>
      <w:pPr>
        <w:pStyle w:val="LOnormal"/>
        <w:spacing w:lineRule="auto" w:line="276" w:before="120" w:after="120"/>
        <w:ind w:left="141" w:hanging="0"/>
        <w:jc w:val="both"/>
        <w:rPr>
          <w:color w:val="000000"/>
        </w:rPr>
      </w:pPr>
      <w:r>
        <w:rPr>
          <w:color w:val="000000"/>
        </w:rPr>
        <w:t>10.1.28. Caso seja constatada a divergência do regime tributário ou verificada a incidência de percentuais superiores aos legalmente instituídos, deverão ser efetuados os devidos ajustes nas referidas planilhas com aceitação obrigatória pela CONTRATADA, absorvendo em seus custos toda e qualquer diferença oriunda de tais ajustes.</w:t>
      </w:r>
    </w:p>
    <w:p>
      <w:pPr>
        <w:pStyle w:val="LOnormal"/>
        <w:spacing w:lineRule="auto" w:line="276" w:before="120" w:after="120"/>
        <w:ind w:left="141" w:hanging="0"/>
        <w:jc w:val="both"/>
        <w:rPr>
          <w:i/>
          <w:i/>
          <w:color w:val="FF0000"/>
        </w:rPr>
      </w:pPr>
      <w:r>
        <w:rPr>
          <w:color w:val="000000"/>
        </w:rPr>
        <w:t xml:space="preserve">10.1.29. O licitante vencedor do certame deverá prestar garantia de execução do contrato, nos moldes do art. 56 da Lei nº 8.666, de 1993, com validade durante a execução do contrato e por 90 (noventa) dias após o término da vigência contratual, em valor correspondente a 5% (cinco por cento) do valor do contrato. </w:t>
      </w:r>
    </w:p>
    <w:p>
      <w:pPr>
        <w:pStyle w:val="LOnormal"/>
        <w:keepNext w:val="true"/>
        <w:keepLines/>
        <w:spacing w:lineRule="auto" w:line="276" w:before="480" w:after="0"/>
        <w:ind w:left="141" w:hanging="0"/>
        <w:jc w:val="both"/>
        <w:rPr>
          <w:b/>
          <w:b/>
          <w:color w:val="000000"/>
        </w:rPr>
      </w:pPr>
      <w:r>
        <w:rPr>
          <w:b/>
          <w:color w:val="000000"/>
          <w:sz w:val="22"/>
          <w:szCs w:val="22"/>
        </w:rPr>
        <w:t xml:space="preserve">11. </w:t>
      </w:r>
      <w:r>
        <w:rPr>
          <w:b/>
          <w:color w:val="000000"/>
        </w:rPr>
        <w:t>UNIFORMES</w:t>
      </w:r>
    </w:p>
    <w:p>
      <w:pPr>
        <w:pStyle w:val="LOnormal"/>
        <w:spacing w:lineRule="auto" w:line="276" w:before="120" w:after="120"/>
        <w:ind w:left="141" w:hanging="0"/>
        <w:jc w:val="both"/>
        <w:rPr>
          <w:color w:val="000000"/>
        </w:rPr>
      </w:pPr>
      <w:r>
        <w:rPr>
          <w:color w:val="000000"/>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pPr>
        <w:pStyle w:val="LOnormal"/>
        <w:widowControl/>
        <w:suppressAutoHyphens w:val="true"/>
        <w:bidi w:val="0"/>
        <w:spacing w:lineRule="auto" w:line="276" w:before="120" w:after="120"/>
        <w:ind w:left="680" w:right="0" w:hanging="0"/>
        <w:jc w:val="both"/>
        <w:rPr>
          <w:color w:val="000000"/>
        </w:rPr>
      </w:pPr>
      <w:r>
        <w:rPr>
          <w:color w:val="000000"/>
        </w:rPr>
        <w:t>11.1.1 O uniforme deverá compreender as seguintes peças do vestuário:</w:t>
      </w:r>
    </w:p>
    <w:p>
      <w:pPr>
        <w:pStyle w:val="LOnormal"/>
        <w:widowControl/>
        <w:suppressAutoHyphens w:val="true"/>
        <w:bidi w:val="0"/>
        <w:spacing w:lineRule="auto" w:line="276" w:before="120" w:after="120"/>
        <w:ind w:left="1304" w:right="0" w:hanging="0"/>
        <w:jc w:val="both"/>
        <w:rPr/>
      </w:pPr>
      <w:r>
        <w:rPr>
          <w:color w:val="000000"/>
        </w:rPr>
        <w:t>11.1.1.1. Crachá de identificação;</w:t>
      </w:r>
    </w:p>
    <w:p>
      <w:pPr>
        <w:pStyle w:val="LOnormal"/>
        <w:widowControl/>
        <w:suppressAutoHyphens w:val="true"/>
        <w:bidi w:val="0"/>
        <w:spacing w:lineRule="auto" w:line="276" w:before="120" w:after="120"/>
        <w:ind w:left="1304" w:right="0" w:hanging="0"/>
        <w:jc w:val="both"/>
        <w:rPr>
          <w:color w:val="000000"/>
        </w:rPr>
      </w:pPr>
      <w:r>
        <w:rPr>
          <w:color w:val="000000"/>
        </w:rPr>
        <w:t>11.1.1.2. Camisa com manga, tipo fechada, contendo a identificação da Contratada (a ser fornecida em duas unidades semestralmente), material tecido brim (100% algodão), pré-lavado, colarinho gola italiana ou polo, com bolso externo tipo chapado, lado superior esquerdo e logomarca da empresa. As peças devem ser confeccionadas com tecido e material de qualidade, compatível com o clima da cidade, duráveis e que não desbotem facilmente.</w:t>
      </w:r>
    </w:p>
    <w:p>
      <w:pPr>
        <w:pStyle w:val="LOnormal"/>
        <w:spacing w:lineRule="auto" w:line="276" w:before="120" w:after="120"/>
        <w:ind w:left="141" w:hanging="0"/>
        <w:jc w:val="both"/>
        <w:rPr>
          <w:color w:val="000000"/>
        </w:rPr>
      </w:pPr>
      <w:r>
        <w:rPr>
          <w:color w:val="000000"/>
        </w:rPr>
        <w:t>11.1.2 As peças devem ser confeccionadas com tecido e material de qualidade, seguindo os seguintes parâmetros mínimos.</w:t>
      </w:r>
    </w:p>
    <w:p>
      <w:pPr>
        <w:pStyle w:val="LOnormal"/>
        <w:spacing w:lineRule="auto" w:line="276" w:before="120" w:after="120"/>
        <w:ind w:left="141" w:hanging="0"/>
        <w:jc w:val="both"/>
        <w:rPr>
          <w:color w:val="000000"/>
        </w:rPr>
      </w:pPr>
      <w:r>
        <w:rPr>
          <w:color w:val="000000"/>
        </w:rPr>
        <w:t>11.1.3 A empresa contratada deverá disponibilizar quatro uniformes por ano para cada um dos funcionários. Sendo dois entregues no início do contrato e os outros dois após seis meses. Havendo prorrogação de contrato, a cada seis meses a empresa deverá entregar dois kits de uniformes a cada funcionário.</w:t>
      </w:r>
    </w:p>
    <w:p>
      <w:pPr>
        <w:pStyle w:val="LOnormal"/>
        <w:spacing w:lineRule="auto" w:line="276" w:before="120" w:after="120"/>
        <w:ind w:left="141" w:hanging="0"/>
        <w:jc w:val="both"/>
        <w:rPr>
          <w:color w:val="000000"/>
        </w:rPr>
      </w:pPr>
      <w:r>
        <w:rPr>
          <w:color w:val="000000"/>
        </w:rPr>
        <w:t>11.1.4 A Contratada também deverá substituir os uniformes que apresentarem defeitos ou desgastes, independente do prazo estabelecido acima, sem qualquer custo adicional para a Contratante ou mesmo para os empregados.</w:t>
      </w:r>
    </w:p>
    <w:p>
      <w:pPr>
        <w:pStyle w:val="LOnormal"/>
        <w:spacing w:lineRule="auto" w:line="276" w:before="120" w:after="120"/>
        <w:ind w:left="141" w:hanging="0"/>
        <w:jc w:val="both"/>
        <w:rPr>
          <w:color w:val="000000"/>
        </w:rPr>
      </w:pPr>
      <w:r>
        <w:rPr>
          <w:color w:val="000000"/>
        </w:rPr>
        <w:t>11.1.5 Em hipótese alguma, os custos de qualquer um dos itens de uniformes e materiais deverão ser repassados aos prestadores de serviço.</w:t>
      </w:r>
    </w:p>
    <w:p>
      <w:pPr>
        <w:pStyle w:val="LOnormal"/>
        <w:spacing w:lineRule="auto" w:line="276" w:before="120" w:after="120"/>
        <w:ind w:left="141" w:hanging="0"/>
        <w:jc w:val="both"/>
        <w:rPr>
          <w:color w:val="000000"/>
        </w:rPr>
      </w:pPr>
      <w:r>
        <w:rPr>
          <w:color w:val="000000"/>
        </w:rPr>
        <w:t>11.1.6 Os uniformes deverão conter o emblema da Contratada, de forma visível, preferencialmente na própria camisa, podendo para isto conter um bolso, do lado esquerdo, para sua colocação.</w:t>
      </w:r>
    </w:p>
    <w:p>
      <w:pPr>
        <w:pStyle w:val="LOnormal"/>
        <w:spacing w:lineRule="auto" w:line="276" w:before="120" w:after="120"/>
        <w:ind w:left="141" w:hanging="0"/>
        <w:jc w:val="both"/>
        <w:rPr>
          <w:color w:val="000000"/>
        </w:rPr>
      </w:pPr>
      <w:r>
        <w:rPr>
          <w:color w:val="000000"/>
        </w:rPr>
        <w:t>11.1.7 O prazo para a entrega dos uniformes, a contar da data de assinatura do contrato, é de no máximo 30 (trinta) dias corridos.</w:t>
      </w:r>
    </w:p>
    <w:p>
      <w:pPr>
        <w:pStyle w:val="LOnormal"/>
        <w:spacing w:lineRule="auto" w:line="276" w:before="120" w:after="120"/>
        <w:ind w:left="141" w:hanging="0"/>
        <w:jc w:val="both"/>
        <w:rPr>
          <w:color w:val="000000"/>
        </w:rPr>
      </w:pPr>
      <w:r>
        <w:rPr>
          <w:color w:val="000000"/>
        </w:rPr>
        <w:t>11.1.8 No caso de empregada gestante, os uniformes deverão ser apropriados para a situação, substituindo-os sempre que estiverem apertados;</w:t>
      </w:r>
    </w:p>
    <w:p>
      <w:pPr>
        <w:pStyle w:val="LOnormal"/>
        <w:spacing w:lineRule="auto" w:line="276" w:before="120" w:after="120"/>
        <w:ind w:left="141" w:hanging="0"/>
        <w:jc w:val="both"/>
        <w:rPr>
          <w:color w:val="000000"/>
        </w:rPr>
      </w:pPr>
      <w:r>
        <w:rPr>
          <w:color w:val="000000"/>
        </w:rPr>
        <w:t>11.1.9 Para intérprete de Libras deve ser evitado fundos e vestimenta em tom próximo à cor da pele do intérprete.</w:t>
      </w:r>
    </w:p>
    <w:p>
      <w:pPr>
        <w:pStyle w:val="LOnormal"/>
        <w:spacing w:lineRule="auto" w:line="276" w:before="120" w:after="120"/>
        <w:ind w:left="141" w:hanging="0"/>
        <w:jc w:val="both"/>
        <w:rPr>
          <w:color w:val="000000"/>
        </w:rPr>
      </w:pPr>
      <w:r>
        <w:rPr>
          <w:color w:val="000000"/>
        </w:rPr>
        <w:t>11.1.10 Os uniformes deverão ser entregues mediante recibo, cuja cópia, devidamente acompanhada do original para conferência, deverá ser enviada ao servidor responsável pela fiscalização do contrato.</w:t>
      </w:r>
    </w:p>
    <w:p>
      <w:pPr>
        <w:pStyle w:val="LOnormal"/>
        <w:spacing w:lineRule="auto" w:line="276" w:before="120" w:after="120"/>
        <w:ind w:left="141" w:hanging="0"/>
        <w:jc w:val="both"/>
        <w:rPr>
          <w:color w:val="000000"/>
        </w:rPr>
      </w:pPr>
      <w:r>
        <w:rPr>
          <w:color w:val="000000"/>
        </w:rPr>
        <w:t>11.1.11 Além da utilização do uniforme, o empregado deverá estar identificado, obrigatoriamente, por meio de crachá, nas dependências do campus, dispensado o seu uso somente durante o período em que estiver interpretando ao estudante.</w:t>
      </w:r>
    </w:p>
    <w:p>
      <w:pPr>
        <w:pStyle w:val="LOnormal"/>
        <w:keepNext w:val="true"/>
        <w:keepLines/>
        <w:spacing w:lineRule="auto" w:line="276" w:before="480" w:after="0"/>
        <w:ind w:left="141" w:hanging="0"/>
        <w:jc w:val="both"/>
        <w:rPr>
          <w:b/>
          <w:b/>
          <w:color w:val="000000"/>
        </w:rPr>
      </w:pPr>
      <w:r>
        <w:rPr>
          <w:b/>
          <w:color w:val="000000"/>
        </w:rPr>
        <w:t>12. OBRIGAÇÕES DA CONTRATANTE</w:t>
      </w:r>
    </w:p>
    <w:p>
      <w:pPr>
        <w:pStyle w:val="LOnormal"/>
        <w:spacing w:lineRule="auto" w:line="276" w:before="120" w:after="120"/>
        <w:ind w:left="141" w:hanging="0"/>
        <w:jc w:val="both"/>
        <w:rPr/>
      </w:pPr>
      <w:r>
        <w:rPr/>
        <w:t>12.1 Exigir o cumprimento de todas as obrigações assumidas pela Contratada, de acordo com as cláusulas contratuais e os termos de sua proposta;</w:t>
      </w:r>
    </w:p>
    <w:p>
      <w:pPr>
        <w:pStyle w:val="LOnormal"/>
        <w:spacing w:lineRule="auto" w:line="276" w:before="120" w:after="120"/>
        <w:ind w:left="141" w:hanging="0"/>
        <w:jc w:val="both"/>
        <w:rPr/>
      </w:pPr>
      <w:r>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spacing w:lineRule="auto" w:line="276" w:before="120" w:after="120"/>
        <w:ind w:left="141" w:hanging="0"/>
        <w:jc w:val="both"/>
        <w:rPr>
          <w:color w:val="000000"/>
        </w:rPr>
      </w:pPr>
      <w:r>
        <w:rPr>
          <w:color w:val="000000"/>
        </w:rPr>
        <w:t>12.2.1 O fiscal designado não deverá ter exercido a função de pregoeiro na licitação que tenha antecedido o contrato, a fim de preservar a segregação de funções (TCU, acórdão 1375/2015 – Plenário e, TCU, acórdão 2146/2011, Segunda Câmara);</w:t>
      </w:r>
    </w:p>
    <w:p>
      <w:pPr>
        <w:pStyle w:val="LOnormal"/>
        <w:spacing w:lineRule="auto" w:line="276" w:before="120" w:after="120"/>
        <w:ind w:left="141" w:hanging="0"/>
        <w:jc w:val="both"/>
        <w:rPr>
          <w:color w:val="000000"/>
        </w:rPr>
      </w:pPr>
      <w:r>
        <w:rPr>
          <w:color w:val="000000"/>
        </w:rPr>
        <w:t>12.2.2 A designação do fiscal deverá levar em conta potenciais conflitos de interesse, que possam ameaçar a qualidade da atividade a ser desenvolvida. (Acórdão TCU 3083/2010 – Plenário);</w:t>
      </w:r>
    </w:p>
    <w:p>
      <w:pPr>
        <w:pStyle w:val="LOnormal"/>
        <w:spacing w:lineRule="auto" w:line="276" w:before="120" w:after="120"/>
        <w:ind w:left="141" w:hanging="0"/>
        <w:jc w:val="both"/>
        <w:rPr>
          <w:color w:val="000000"/>
        </w:rPr>
      </w:pPr>
      <w:r>
        <w:rPr>
          <w:color w:val="000000"/>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spacing w:lineRule="auto" w:line="276" w:before="120" w:after="120"/>
        <w:ind w:left="141" w:hanging="0"/>
        <w:jc w:val="both"/>
        <w:rPr/>
      </w:pPr>
      <w:r>
        <w:rPr/>
        <w:t xml:space="preserve">12.4  Pagar à Contratada o valor resultante da prestação do serviço, no prazo e condições </w:t>
      </w:r>
      <w:r>
        <w:rPr>
          <w:color w:val="000000"/>
        </w:rPr>
        <w:t>estabelecidas neste Termo de Referência;</w:t>
      </w:r>
    </w:p>
    <w:p>
      <w:pPr>
        <w:pStyle w:val="LOnormal"/>
        <w:spacing w:lineRule="auto" w:line="276" w:before="120" w:after="120"/>
        <w:ind w:left="141" w:hanging="0"/>
        <w:jc w:val="both"/>
        <w:rPr>
          <w:color w:val="000000"/>
        </w:rPr>
      </w:pPr>
      <w:r>
        <w:rPr>
          <w:color w:val="000000"/>
        </w:rPr>
        <w:t>12.5 Efetuar as retenções tributárias devidas sobre o valor da Nota Fiscal/Fatura da contratada, no que couber, em conformidade com o item 6 do Anexo XI da IN SEGES/MP n. 5/2017;</w:t>
      </w:r>
    </w:p>
    <w:p>
      <w:pPr>
        <w:pStyle w:val="LOnormal"/>
        <w:spacing w:lineRule="auto" w:line="276" w:before="120" w:after="120"/>
        <w:ind w:left="141" w:hanging="0"/>
        <w:jc w:val="both"/>
        <w:rPr/>
      </w:pPr>
      <w:r>
        <w:rPr/>
        <w:t>12.6 Não praticar atos de ingerência na administração da Contratada, tais como:</w:t>
      </w:r>
    </w:p>
    <w:p>
      <w:pPr>
        <w:pStyle w:val="LOnormal"/>
        <w:spacing w:lineRule="auto" w:line="276" w:before="120" w:after="120"/>
        <w:ind w:left="141" w:hanging="0"/>
        <w:jc w:val="both"/>
        <w:rPr>
          <w:color w:val="000000"/>
        </w:rPr>
      </w:pPr>
      <w:r>
        <w:rPr>
          <w:color w:val="000000"/>
        </w:rPr>
        <w:t>12.6.1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spacing w:lineRule="auto" w:line="276" w:before="120" w:after="120"/>
        <w:ind w:left="141" w:hanging="0"/>
        <w:jc w:val="both"/>
        <w:rPr>
          <w:color w:val="000000"/>
        </w:rPr>
      </w:pPr>
      <w:r>
        <w:rPr>
          <w:color w:val="000000"/>
        </w:rPr>
        <w:t>12.6.2 direcionar a contratação de pessoas para trabalhar nas empresas Contratadas;</w:t>
      </w:r>
    </w:p>
    <w:p>
      <w:pPr>
        <w:pStyle w:val="LOnormal"/>
        <w:spacing w:lineRule="auto" w:line="276" w:before="120" w:after="120"/>
        <w:ind w:left="141" w:hanging="0"/>
        <w:jc w:val="both"/>
        <w:rPr>
          <w:color w:val="000000"/>
        </w:rPr>
      </w:pPr>
      <w:r>
        <w:rPr>
          <w:color w:val="000000"/>
        </w:rPr>
        <w:t>12.6.3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spacing w:lineRule="auto" w:line="276" w:before="120" w:after="120"/>
        <w:ind w:left="141" w:hanging="0"/>
        <w:jc w:val="both"/>
        <w:rPr>
          <w:color w:val="000000"/>
        </w:rPr>
      </w:pPr>
      <w:r>
        <w:rPr>
          <w:color w:val="000000"/>
        </w:rPr>
        <w:t>12.6.4 considerar os trabalhadores da Contratada como colaboradores eventuais do próprio órgão ou entidade responsável pela contratação, especialmente para efeito de concessão de diárias e passagens.</w:t>
      </w:r>
    </w:p>
    <w:p>
      <w:pPr>
        <w:pStyle w:val="LOnormal"/>
        <w:spacing w:lineRule="auto" w:line="276" w:before="120" w:after="120"/>
        <w:ind w:left="141" w:hanging="0"/>
        <w:jc w:val="both"/>
        <w:rPr/>
      </w:pPr>
      <w:r>
        <w:rPr/>
        <w:t xml:space="preserve">12.7 Fornecer por escrito as informações necessárias para o desenvolvimento dos serviços objeto </w:t>
      </w:r>
      <w:r>
        <w:rPr>
          <w:color w:val="000000"/>
        </w:rPr>
        <w:t>do contrato;</w:t>
      </w:r>
    </w:p>
    <w:p>
      <w:pPr>
        <w:pStyle w:val="LOnormal"/>
        <w:spacing w:lineRule="auto" w:line="276" w:before="120" w:after="120"/>
        <w:ind w:left="141" w:hanging="0"/>
        <w:jc w:val="both"/>
        <w:rPr>
          <w:color w:val="000000"/>
        </w:rPr>
      </w:pPr>
      <w:r>
        <w:rPr>
          <w:color w:val="000000"/>
        </w:rPr>
        <w:t>12.8 Realizar avaliações periódicas da qualidade dos serviços, após seu recebimento;</w:t>
      </w:r>
    </w:p>
    <w:p>
      <w:pPr>
        <w:pStyle w:val="LOnormal"/>
        <w:spacing w:lineRule="auto" w:line="276" w:before="120" w:after="120"/>
        <w:ind w:left="141" w:hanging="0"/>
        <w:jc w:val="both"/>
        <w:rPr/>
      </w:pPr>
      <w:r>
        <w:rPr>
          <w:color w:val="000000"/>
        </w:rPr>
        <w:t xml:space="preserve">12.9 Cientificar o órgão de representação judicial da Advocacia-Geral da União para adoção das </w:t>
      </w:r>
      <w:r>
        <w:rPr/>
        <w:t>medidas cabíveis quando do descumprimento das obrigações pela Contratada;</w:t>
      </w:r>
    </w:p>
    <w:p>
      <w:pPr>
        <w:pStyle w:val="LOnormal"/>
        <w:spacing w:lineRule="auto" w:line="276" w:before="120" w:after="120"/>
        <w:ind w:left="141" w:hanging="0"/>
        <w:jc w:val="both"/>
        <w:rPr/>
      </w:pPr>
      <w:r>
        <w:rPr>
          <w:b/>
          <w:sz w:val="22"/>
          <w:szCs w:val="22"/>
          <w:u w:val="single"/>
        </w:rPr>
        <w:t>12.10 SUPRIMIDO</w:t>
      </w:r>
    </w:p>
    <w:p>
      <w:pPr>
        <w:pStyle w:val="LOnormal"/>
        <w:spacing w:lineRule="auto" w:line="276" w:before="120" w:after="120"/>
        <w:ind w:left="141" w:hanging="0"/>
        <w:jc w:val="both"/>
        <w:rPr/>
      </w:pPr>
      <w:r>
        <w:rPr/>
        <w:t>12.11 Fiscalizar o cumprimento dos requisitos legais, quando a contratada houver se beneficiado da preferência estabelecida pelo art. 3º, § 5º, da Lei nº 8.666, de 1993;</w:t>
      </w:r>
    </w:p>
    <w:p>
      <w:pPr>
        <w:pStyle w:val="LOnormal"/>
        <w:spacing w:lineRule="auto" w:line="276" w:before="6" w:after="6"/>
        <w:ind w:left="141" w:hanging="0"/>
        <w:jc w:val="both"/>
        <w:rPr/>
      </w:pPr>
      <w:r>
        <w:rPr>
          <w:color w:val="000000"/>
        </w:rPr>
        <w:t xml:space="preserve">12.12 Assegurar que o ambiente de trabalho, inclusive seus equipamentos e instalações, apresentam condições adequadas ao cumprimento, pela contratada, das normas de segurança e </w:t>
      </w:r>
      <w:r>
        <w:rPr/>
        <w:t>saúde no trabalho, quando o serviço for executado em suas dependências, ou em local por ela designado.</w:t>
      </w:r>
    </w:p>
    <w:p>
      <w:pPr>
        <w:pStyle w:val="LOnormal"/>
        <w:keepNext w:val="true"/>
        <w:keepLines/>
        <w:spacing w:lineRule="auto" w:line="276" w:before="480" w:after="0"/>
        <w:ind w:left="141" w:hanging="0"/>
        <w:jc w:val="both"/>
        <w:rPr>
          <w:b/>
          <w:b/>
          <w:color w:val="000000"/>
        </w:rPr>
      </w:pPr>
      <w:r>
        <w:rPr>
          <w:b/>
          <w:color w:val="000000"/>
        </w:rPr>
        <w:t xml:space="preserve">13. OBRIGAÇÕES DA CONTRATADA </w:t>
      </w:r>
    </w:p>
    <w:p>
      <w:pPr>
        <w:pStyle w:val="LOnormal"/>
        <w:spacing w:lineRule="auto" w:line="276" w:before="120" w:after="120"/>
        <w:ind w:left="141" w:hanging="0"/>
        <w:jc w:val="both"/>
        <w:rPr/>
      </w:pPr>
      <w:r>
        <w:rPr/>
        <w:t>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spacing w:lineRule="auto" w:line="276" w:before="120" w:after="120"/>
        <w:ind w:left="141" w:hanging="0"/>
        <w:jc w:val="both"/>
        <w:rPr/>
      </w:pPr>
      <w:r>
        <w:rPr/>
        <w:t>13.2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spacing w:lineRule="auto" w:line="276" w:before="120" w:after="120"/>
        <w:ind w:left="141" w:hanging="0"/>
        <w:jc w:val="both"/>
        <w:rPr/>
      </w:pPr>
      <w:r>
        <w:rPr/>
        <w:t>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spacing w:lineRule="auto" w:line="276" w:before="120" w:after="120"/>
        <w:ind w:left="141" w:hanging="0"/>
        <w:jc w:val="both"/>
        <w:rPr/>
      </w:pPr>
      <w:r>
        <w:rPr/>
        <w:t>13.4 Utilizar empregados habilitados e com conhecimentos básicos dos serviços a serem executados, em conformidade com as normas e determinações em vigor;</w:t>
      </w:r>
    </w:p>
    <w:p>
      <w:pPr>
        <w:pStyle w:val="LOnormal"/>
        <w:spacing w:lineRule="auto" w:line="276" w:before="120" w:after="120"/>
        <w:ind w:left="141" w:hanging="0"/>
        <w:jc w:val="both"/>
        <w:rPr/>
      </w:pPr>
      <w:r>
        <w:rPr/>
        <w:t>13.5 Vedar a utilização, na execução dos serviços, de empregado que seja familiar de agente público ocupante de cargo em comissão ou função de confiança no órgão Contratante, nos termos do artigo 7° do Decreto n° 7.203, de 2010;</w:t>
      </w:r>
    </w:p>
    <w:p>
      <w:pPr>
        <w:pStyle w:val="LOnormal"/>
        <w:spacing w:lineRule="auto" w:line="276" w:before="120" w:after="120"/>
        <w:ind w:left="141" w:hanging="0"/>
        <w:jc w:val="both"/>
        <w:rPr/>
      </w:pPr>
      <w:r>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w:t>
      </w:r>
      <w:r>
        <w:rPr>
          <w:color w:val="000000"/>
        </w:rPr>
        <w:t xml:space="preserve">da Municipal/Estadual ou </w:t>
      </w:r>
      <w:r>
        <w:rPr/>
        <w:t>Distrital do domicílio ou sede do contratado; 4) Certidão de Regularidade do FGTS – CRF; e 5) Certidão Negativa de Débitos Trabalhistas – CNDT, conforme alínea "c" do item 10.2 do Anexo VIII-B da IN SEGES/MP n. 5/2017;</w:t>
      </w:r>
    </w:p>
    <w:p>
      <w:pPr>
        <w:pStyle w:val="LOnormal"/>
        <w:spacing w:lineRule="auto" w:line="276" w:before="120" w:after="120"/>
        <w:ind w:left="141" w:hanging="0"/>
        <w:jc w:val="both"/>
        <w:rPr/>
      </w:pPr>
      <w:r>
        <w:rPr/>
        <w:t>13.7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LOnormal"/>
        <w:spacing w:lineRule="auto" w:line="276" w:before="120" w:after="120"/>
        <w:ind w:left="141" w:hanging="0"/>
        <w:jc w:val="both"/>
        <w:rPr/>
      </w:pPr>
      <w:r>
        <w:rPr/>
        <w:t xml:space="preserve">13.8 Comunicar ao Fiscal do contrato, no prazo de 24 (vinte e quatro) horas, qualquer ocorrência anormal ou </w:t>
      </w:r>
      <w:r>
        <w:rPr>
          <w:color w:val="000000"/>
        </w:rPr>
        <w:t>acidente</w:t>
      </w:r>
      <w:r>
        <w:rPr/>
        <w:t xml:space="preserve"> que se verifique no local dos serviços.</w:t>
      </w:r>
    </w:p>
    <w:p>
      <w:pPr>
        <w:pStyle w:val="LOnormal"/>
        <w:spacing w:lineRule="auto" w:line="276" w:before="120" w:after="120"/>
        <w:ind w:left="141" w:hanging="0"/>
        <w:jc w:val="both"/>
        <w:rPr/>
      </w:pPr>
      <w:r>
        <w:rPr/>
        <w:t>13.9 Prestar todo esclarecimento ou informação solicitada pela Contratante ou por seus prepostos, garantindo-lhes o acesso, a qualquer tempo, ao local dos trabalhos, bem como aos documentos relativos à execução do empreendimento.</w:t>
      </w:r>
    </w:p>
    <w:p>
      <w:pPr>
        <w:pStyle w:val="LOnormal"/>
        <w:spacing w:lineRule="auto" w:line="276" w:before="120" w:after="120"/>
        <w:ind w:left="141" w:hanging="0"/>
        <w:jc w:val="both"/>
        <w:rPr/>
      </w:pPr>
      <w:r>
        <w:rPr/>
        <w:t>13.10 Paralisar, por determinação da Contratante, qualquer atividade que não esteja sendo executada de acordo com a boa técnica ou que ponha em risco a segurança de pessoas ou bens de terceiros.</w:t>
      </w:r>
    </w:p>
    <w:p>
      <w:pPr>
        <w:pStyle w:val="LOnormal"/>
        <w:spacing w:lineRule="auto" w:line="276" w:before="120" w:after="120"/>
        <w:ind w:left="141" w:hanging="0"/>
        <w:jc w:val="both"/>
        <w:rPr/>
      </w:pPr>
      <w:r>
        <w:rPr/>
        <w:t>13.11 Promover a guarda, manutenção e vigilância de materiais, ferramentas, e tudo o que for necessário à execução dos serviços, durante a vigência do contrato.</w:t>
      </w:r>
    </w:p>
    <w:p>
      <w:pPr>
        <w:pStyle w:val="LOnormal"/>
        <w:spacing w:lineRule="auto" w:line="276" w:before="120" w:after="120"/>
        <w:ind w:left="141" w:hanging="0"/>
        <w:jc w:val="both"/>
        <w:rPr/>
      </w:pPr>
      <w:r>
        <w:rPr/>
        <w:t>13.12 Promover a organização técnica e administrativa dos serviços, de modo a conduzi-los eficaz e eficientemente, de acordo com os documentos e especificações que integram este Termo de Referência, no prazo determinado.</w:t>
      </w:r>
    </w:p>
    <w:p>
      <w:pPr>
        <w:pStyle w:val="LOnormal"/>
        <w:spacing w:lineRule="auto" w:line="276" w:before="120" w:after="120"/>
        <w:ind w:left="141" w:hanging="0"/>
        <w:jc w:val="both"/>
        <w:rPr/>
      </w:pPr>
      <w:r>
        <w:rPr/>
        <w:t>13.13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spacing w:lineRule="auto" w:line="276" w:before="120" w:after="120"/>
        <w:ind w:left="141" w:hanging="0"/>
        <w:jc w:val="both"/>
        <w:rPr/>
      </w:pPr>
      <w:r>
        <w:rPr/>
        <w:t>13.14 Submeter previamente, por escrito, à Contratante, para análise e aprovação, quaisquer mudanças nos métodos executivos que fujam às especificações do memorial descritivo.</w:t>
      </w:r>
    </w:p>
    <w:p>
      <w:pPr>
        <w:pStyle w:val="LOnormal"/>
        <w:spacing w:lineRule="auto" w:line="276" w:before="120" w:after="120"/>
        <w:ind w:left="141" w:hanging="0"/>
        <w:jc w:val="both"/>
        <w:rPr/>
      </w:pPr>
      <w:r>
        <w:rPr/>
        <w:t>13.15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spacing w:lineRule="auto" w:line="276" w:before="120" w:after="120"/>
        <w:ind w:left="141" w:hanging="0"/>
        <w:jc w:val="both"/>
        <w:rPr/>
      </w:pPr>
      <w:r>
        <w:rPr/>
        <w:t>13.16 Manter durante toda a vigência do contrato, em compatibilidade com as obrigações assumidas, todas as condições de habilitação e qualificação exigidas na licitação;</w:t>
      </w:r>
    </w:p>
    <w:p>
      <w:pPr>
        <w:pStyle w:val="LOnormal"/>
        <w:spacing w:lineRule="auto" w:line="276" w:before="120" w:after="120"/>
        <w:ind w:left="141" w:hanging="0"/>
        <w:jc w:val="both"/>
        <w:rPr/>
      </w:pPr>
      <w:r>
        <w:rPr/>
        <w:t>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rPr>
        <w:t>.</w:t>
      </w:r>
    </w:p>
    <w:p>
      <w:pPr>
        <w:pStyle w:val="LOnormal"/>
        <w:spacing w:lineRule="auto" w:line="276" w:before="120" w:after="120"/>
        <w:ind w:left="141" w:hanging="0"/>
        <w:jc w:val="both"/>
        <w:rPr/>
      </w:pPr>
      <w:r>
        <w:rPr/>
        <w:t>13.18 Guardar sigilo sobre todas as informações obtidas em decorrência do cumprimento do contrato;</w:t>
      </w:r>
    </w:p>
    <w:p>
      <w:pPr>
        <w:pStyle w:val="LOnormal"/>
        <w:spacing w:lineRule="auto" w:line="276" w:before="120" w:after="120"/>
        <w:ind w:left="141" w:hanging="0"/>
        <w:jc w:val="both"/>
        <w:rPr/>
      </w:pPr>
      <w:r>
        <w:rPr/>
        <w:t>13.19 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spacing w:lineRule="auto" w:line="276" w:before="120" w:after="120"/>
        <w:ind w:left="141" w:hanging="0"/>
        <w:jc w:val="both"/>
        <w:rPr/>
      </w:pPr>
      <w:r>
        <w:rPr/>
        <w:t>13.20 Cumprir, além dos postulados legais vigentes de âmbito federal, estadual ou municipal, as normas de segurança da Contratante;</w:t>
      </w:r>
    </w:p>
    <w:p>
      <w:pPr>
        <w:pStyle w:val="LOnormal"/>
        <w:spacing w:lineRule="auto" w:line="276" w:before="120" w:after="120"/>
        <w:ind w:left="141" w:hanging="0"/>
        <w:jc w:val="both"/>
        <w:rPr/>
      </w:pPr>
      <w:r>
        <w:rPr/>
        <w:t>13.21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spacing w:lineRule="auto" w:line="276" w:before="120" w:after="120"/>
        <w:ind w:left="141" w:hanging="0"/>
        <w:jc w:val="both"/>
        <w:rPr/>
      </w:pPr>
      <w:r>
        <w:rPr/>
        <w:t>13.22 Assegurar à CONTRATANTE, em conformidade com o previsto no subitem 6.1, “a”e “b”, do Anexo VII – F da Instrução Normativa SEGES/MP nº 5, de 25/05/2017:</w:t>
      </w:r>
    </w:p>
    <w:p>
      <w:pPr>
        <w:pStyle w:val="LOnormal"/>
        <w:spacing w:lineRule="auto" w:line="276" w:before="120" w:after="120"/>
        <w:ind w:left="141" w:hanging="0"/>
        <w:jc w:val="both"/>
        <w:rPr>
          <w:color w:val="000000"/>
        </w:rPr>
      </w:pPr>
      <w:r>
        <w:rPr>
          <w:color w:val="000000"/>
        </w:rPr>
        <w:t>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spacing w:lineRule="auto" w:line="276" w:before="120" w:after="120"/>
        <w:ind w:left="141" w:hanging="0"/>
        <w:jc w:val="both"/>
        <w:rPr>
          <w:color w:val="000000"/>
        </w:rPr>
      </w:pPr>
      <w:r>
        <w:rPr>
          <w:color w:val="000000"/>
        </w:rPr>
        <w:t>13.22.2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spacing w:lineRule="auto" w:line="276" w:before="120" w:after="120"/>
        <w:ind w:left="141" w:hanging="0"/>
        <w:jc w:val="both"/>
        <w:rPr/>
      </w:pPr>
      <w:r>
        <w:rPr/>
        <w:t>13.23 Disponibilizar à Contratante os empregados devidamente uniformizados e identificados por meio de crachá, além de provê-los com os Equipamentos de Proteção Individual - EPI, quando for o caso;</w:t>
      </w:r>
    </w:p>
    <w:p>
      <w:pPr>
        <w:pStyle w:val="LOnormal"/>
        <w:spacing w:lineRule="auto" w:line="276" w:before="120" w:after="120"/>
        <w:ind w:left="141" w:hanging="0"/>
        <w:jc w:val="both"/>
        <w:rPr/>
      </w:pPr>
      <w:r>
        <w:rPr/>
        <w:t>13.24 Fornecer os uniformes a serem utilizados por seus empregados, conforme disposto neste Termo de Referência, sem repassar quaisquer custos a estes;</w:t>
      </w:r>
    </w:p>
    <w:p>
      <w:pPr>
        <w:pStyle w:val="LOnormal"/>
        <w:spacing w:lineRule="auto" w:line="276" w:before="120" w:after="120"/>
        <w:ind w:left="141" w:hanging="0"/>
        <w:jc w:val="both"/>
        <w:rPr/>
      </w:pPr>
      <w:r>
        <w:rPr/>
        <w:t>13.25 Apresentar relação mensal dos empregados que expressamente optarem por não receber o vale-transporte.</w:t>
      </w:r>
    </w:p>
    <w:p>
      <w:pPr>
        <w:pStyle w:val="LOnormal"/>
        <w:spacing w:lineRule="auto" w:line="276" w:before="120" w:after="120"/>
        <w:ind w:left="141" w:hanging="0"/>
        <w:jc w:val="both"/>
        <w:rPr/>
      </w:pPr>
      <w:r>
        <w:rPr/>
        <w:t>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ind w:left="141" w:hanging="0"/>
        <w:jc w:val="both"/>
        <w:rPr/>
      </w:pPr>
      <w:r>
        <w:rPr/>
        <w:t>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LOnormal"/>
        <w:spacing w:lineRule="auto" w:line="276" w:before="120" w:after="120"/>
        <w:ind w:left="141" w:hanging="0"/>
        <w:jc w:val="both"/>
        <w:rPr/>
      </w:pPr>
      <w:r>
        <w:rPr/>
        <w:t>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LOnormal"/>
        <w:spacing w:lineRule="auto" w:line="276" w:before="120" w:after="120"/>
        <w:ind w:left="141" w:hanging="0"/>
        <w:jc w:val="both"/>
        <w:rPr/>
      </w:pPr>
      <w:r>
        <w:rPr/>
        <w:t>13.29 Não permitir que o empregado designado para trabalhar em um turno preste seus serviços no turno imediatamente subsequente;</w:t>
      </w:r>
    </w:p>
    <w:p>
      <w:pPr>
        <w:pStyle w:val="LOnormal"/>
        <w:spacing w:lineRule="auto" w:line="276" w:before="120" w:after="120"/>
        <w:ind w:left="141" w:hanging="0"/>
        <w:jc w:val="both"/>
        <w:rPr/>
      </w:pPr>
      <w:r>
        <w:rPr/>
        <w:t>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LOnormal"/>
        <w:spacing w:lineRule="auto" w:line="276" w:before="120" w:after="120"/>
        <w:ind w:left="141" w:hanging="0"/>
        <w:jc w:val="both"/>
        <w:rPr/>
      </w:pPr>
      <w:r>
        <w:rPr/>
        <w:t>13.31 Instruir seus empregados quanto à necessidade de acatar as Normas Internas da Administração;</w:t>
      </w:r>
    </w:p>
    <w:p>
      <w:pPr>
        <w:pStyle w:val="LOnormal"/>
        <w:spacing w:lineRule="auto" w:line="276" w:before="120" w:after="120"/>
        <w:ind w:left="141" w:hanging="0"/>
        <w:jc w:val="both"/>
        <w:rPr/>
      </w:pPr>
      <w:r>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LOnormal"/>
        <w:spacing w:lineRule="auto" w:line="276" w:before="120" w:after="120"/>
        <w:ind w:left="141" w:hanging="0"/>
        <w:jc w:val="both"/>
        <w:rPr/>
      </w:pPr>
      <w:r>
        <w:rPr/>
        <w:t>13.33 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Onormal"/>
        <w:spacing w:lineRule="auto" w:line="276" w:before="120" w:after="120"/>
        <w:ind w:left="141" w:hanging="0"/>
        <w:jc w:val="both"/>
        <w:rPr>
          <w:color w:val="000000"/>
        </w:rPr>
      </w:pPr>
      <w:r>
        <w:rPr>
          <w:color w:val="000000"/>
        </w:rPr>
        <w:t>13.33.1 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Onormal"/>
        <w:spacing w:lineRule="auto" w:line="276" w:before="120" w:after="120"/>
        <w:ind w:left="141" w:hanging="0"/>
        <w:jc w:val="both"/>
        <w:rPr>
          <w:color w:val="000000"/>
        </w:rPr>
      </w:pPr>
      <w:r>
        <w:rPr>
          <w:color w:val="000000"/>
        </w:rPr>
        <w:t>13.33.2 viabilizar a emissão do cartão cidadão pela Caixa Econômica Federal para todos os empregados, no prazo máximo de 60 (sessenta) dias, contados do início da prestação dos serviços ou da admissão do empregado;</w:t>
      </w:r>
    </w:p>
    <w:p>
      <w:pPr>
        <w:pStyle w:val="LOnormal"/>
        <w:spacing w:lineRule="auto" w:line="276" w:before="120" w:after="120"/>
        <w:ind w:left="141" w:hanging="0"/>
        <w:jc w:val="both"/>
        <w:rPr>
          <w:color w:val="000000"/>
        </w:rPr>
      </w:pPr>
      <w:r>
        <w:rPr>
          <w:color w:val="000000"/>
        </w:rPr>
        <w:t>13.33.3  oferecer todos os meios necessários aos seus empregados para a obtenção de extratos de recolhimentos de seus direitos sociais, preferencialmente por meio eletrônico, quando disponível.</w:t>
      </w:r>
    </w:p>
    <w:p>
      <w:pPr>
        <w:pStyle w:val="LOnormal"/>
        <w:spacing w:lineRule="auto" w:line="276" w:before="120" w:after="120"/>
        <w:ind w:left="141" w:hanging="0"/>
        <w:jc w:val="both"/>
        <w:rPr/>
      </w:pPr>
      <w:r>
        <w:rPr/>
        <w:t>13.34 Não se beneficiar da condição de optante pelo Simples Nacional, salvo as exceções previstas no § 5º-C do art. 18 da Lei Complementar no 123, de 14 de dezembro de 2006;</w:t>
      </w:r>
    </w:p>
    <w:p>
      <w:pPr>
        <w:pStyle w:val="LOnormal"/>
        <w:spacing w:lineRule="auto" w:line="276" w:before="120" w:after="120"/>
        <w:ind w:left="141" w:hanging="0"/>
        <w:jc w:val="both"/>
        <w:rPr/>
      </w:pPr>
      <w:r>
        <w:rPr/>
        <w:t>13.35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pPr>
        <w:pStyle w:val="LOnormal"/>
        <w:spacing w:lineRule="auto" w:line="276" w:before="120" w:after="120"/>
        <w:ind w:left="141" w:hanging="0"/>
        <w:jc w:val="both"/>
        <w:rPr>
          <w:color w:val="000000"/>
        </w:rPr>
      </w:pPr>
      <w:r>
        <w:rPr>
          <w:color w:val="000000"/>
        </w:rPr>
        <w:t>13.35.1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LOnormal"/>
        <w:spacing w:lineRule="auto" w:line="276" w:before="120" w:after="120"/>
        <w:ind w:left="141" w:hanging="0"/>
        <w:jc w:val="both"/>
        <w:rPr>
          <w:color w:val="000000"/>
        </w:rPr>
      </w:pPr>
      <w:r>
        <w:rPr>
          <w:color w:val="000000"/>
        </w:rPr>
        <w:t>13.36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spacing w:lineRule="auto" w:line="276" w:before="480" w:after="0"/>
        <w:ind w:left="141" w:hanging="0"/>
        <w:jc w:val="both"/>
        <w:rPr>
          <w:b/>
          <w:b/>
          <w:color w:val="000000"/>
        </w:rPr>
      </w:pPr>
      <w:r>
        <w:rPr>
          <w:b/>
          <w:color w:val="000000"/>
        </w:rPr>
        <w:t>14. DA SUBCONTRATAÇÃO</w:t>
      </w:r>
    </w:p>
    <w:p>
      <w:pPr>
        <w:pStyle w:val="LOnormal"/>
        <w:spacing w:lineRule="auto" w:line="276" w:before="120" w:after="120"/>
        <w:ind w:left="141" w:hanging="0"/>
        <w:jc w:val="both"/>
        <w:rPr>
          <w:color w:val="000000"/>
        </w:rPr>
      </w:pPr>
      <w:r>
        <w:rPr>
          <w:color w:val="000000"/>
        </w:rPr>
        <w:t>14.1 Não será admitida a subcontratação do objeto licitatório.</w:t>
      </w:r>
    </w:p>
    <w:p>
      <w:pPr>
        <w:pStyle w:val="LOnormal"/>
        <w:keepNext w:val="true"/>
        <w:keepLines/>
        <w:spacing w:lineRule="auto" w:line="276" w:before="480" w:after="0"/>
        <w:ind w:left="141" w:hanging="0"/>
        <w:jc w:val="both"/>
        <w:rPr>
          <w:b/>
          <w:b/>
        </w:rPr>
      </w:pPr>
      <w:r>
        <w:rPr>
          <w:b/>
        </w:rPr>
        <w:t>15. DA ALTERAÇÃO SUBJETIVA</w:t>
      </w:r>
    </w:p>
    <w:p>
      <w:pPr>
        <w:pStyle w:val="LOnormal"/>
        <w:spacing w:lineRule="auto" w:line="276" w:before="120" w:after="120"/>
        <w:ind w:left="141" w:hanging="0"/>
        <w:jc w:val="both"/>
        <w:rPr/>
      </w:pPr>
      <w:r>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spacing w:lineRule="auto" w:line="276" w:before="480" w:after="0"/>
        <w:ind w:left="141" w:hanging="0"/>
        <w:jc w:val="both"/>
        <w:rPr>
          <w:b/>
          <w:b/>
        </w:rPr>
      </w:pPr>
      <w:r>
        <w:rPr>
          <w:b/>
        </w:rPr>
        <w:t>16. DO CONTROLE E FISCALIZAÇÃO DA EXECUÇÃO</w:t>
      </w:r>
    </w:p>
    <w:p>
      <w:pPr>
        <w:pStyle w:val="LOnormal"/>
        <w:spacing w:lineRule="auto" w:line="276" w:before="120" w:after="120"/>
        <w:ind w:left="141" w:hanging="0"/>
        <w:jc w:val="both"/>
        <w:rPr>
          <w:color w:val="000000"/>
        </w:rPr>
      </w:pPr>
      <w:r>
        <w:rPr>
          <w:color w:val="000000"/>
        </w:rPr>
        <w:t>16.1 A Contratada designará formalmente o preposto da empresa, antes do início da prestação dos serviços, indicando no instrumento os poderes e deveres em relação à execução do objeto contratado.</w:t>
      </w:r>
    </w:p>
    <w:p>
      <w:pPr>
        <w:pStyle w:val="LOnormal"/>
        <w:spacing w:lineRule="auto" w:line="276" w:before="120" w:after="120"/>
        <w:ind w:left="141" w:hanging="0"/>
        <w:jc w:val="both"/>
        <w:rPr>
          <w:color w:val="000000"/>
        </w:rPr>
      </w:pPr>
      <w:r>
        <w:rPr>
          <w:color w:val="000000"/>
        </w:rPr>
        <w:t>16.2 A Contratante poderá recusar, desde que justificadamente, a indicação ou a manutenção do preposto da empresa, hipótese em que a Contratada designará outro para o exercício da atividade.</w:t>
      </w:r>
    </w:p>
    <w:p>
      <w:pPr>
        <w:pStyle w:val="LOnormal"/>
        <w:spacing w:lineRule="auto" w:line="276" w:before="120" w:after="120"/>
        <w:ind w:left="141" w:hanging="0"/>
        <w:jc w:val="both"/>
        <w:rPr>
          <w:color w:val="000000"/>
        </w:rPr>
      </w:pPr>
      <w:r>
        <w:rPr>
          <w:color w:val="000000"/>
        </w:rPr>
        <w:t>16.3 As comunicações entre a Contratante e a Contratada serão realizadas por escrito, através de carta ou e-mail.</w:t>
      </w:r>
    </w:p>
    <w:p>
      <w:pPr>
        <w:pStyle w:val="LOnormal"/>
        <w:spacing w:lineRule="auto" w:line="276" w:before="63" w:after="63"/>
        <w:ind w:left="141" w:hanging="0"/>
        <w:jc w:val="both"/>
        <w:rPr/>
      </w:pPr>
      <w:r>
        <w:rPr>
          <w:color w:val="000000"/>
        </w:rPr>
        <w:t xml:space="preserve">16.4 A Contratante poderá convocar o preposto para adoção de providências que devam ser cumpridas de imediato. </w:t>
      </w:r>
    </w:p>
    <w:p>
      <w:pPr>
        <w:pStyle w:val="LOnormal"/>
        <w:spacing w:lineRule="auto" w:line="276" w:before="120" w:after="120"/>
        <w:ind w:left="141" w:hanging="0"/>
        <w:jc w:val="both"/>
        <w:rPr>
          <w:color w:val="000000"/>
        </w:rPr>
      </w:pPr>
      <w:r>
        <w:rPr>
          <w:color w:val="000000"/>
        </w:rPr>
        <w:t>16.5 A Contratada não está obrigada a manter preposto da empresa no local da execução do objeto.</w:t>
      </w:r>
    </w:p>
    <w:p>
      <w:pPr>
        <w:pStyle w:val="LOnormal"/>
        <w:spacing w:lineRule="auto" w:line="276" w:before="120" w:after="120"/>
        <w:ind w:left="141" w:hanging="0"/>
        <w:jc w:val="both"/>
        <w:rPr/>
      </w:pPr>
      <w:r>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Onormal"/>
        <w:spacing w:lineRule="auto" w:line="276" w:before="120" w:after="120"/>
        <w:ind w:left="141" w:hanging="0"/>
        <w:jc w:val="both"/>
        <w:rPr/>
      </w:pPr>
      <w:r>
        <w:rPr/>
        <w:t>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p>
    <w:p>
      <w:pPr>
        <w:pStyle w:val="LOnormal"/>
        <w:spacing w:lineRule="auto" w:line="276" w:before="120" w:after="120"/>
        <w:ind w:left="141" w:hanging="0"/>
        <w:jc w:val="both"/>
        <w:rPr>
          <w:color w:val="000000"/>
        </w:rPr>
      </w:pPr>
      <w:bookmarkStart w:id="5" w:name="_30j0zll"/>
      <w:bookmarkEnd w:id="5"/>
      <w:r>
        <w:rPr/>
        <w:t xml:space="preserve">16.7.1 no primeiro mês da prestação dos serviços, a CONTRATADA deverá apresentar a seguinte documentação:  </w:t>
      </w:r>
    </w:p>
    <w:p>
      <w:pPr>
        <w:pStyle w:val="LOnormal"/>
        <w:tabs>
          <w:tab w:val="clear" w:pos="720"/>
          <w:tab w:val="left" w:pos="360" w:leader="none"/>
        </w:tabs>
        <w:spacing w:lineRule="auto" w:line="276" w:before="120" w:after="120"/>
        <w:ind w:left="141" w:hanging="0"/>
        <w:jc w:val="both"/>
        <w:rPr/>
      </w:pPr>
      <w:r>
        <w:rPr/>
        <w:t>16.7.1.1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Onormal"/>
        <w:tabs>
          <w:tab w:val="clear" w:pos="720"/>
          <w:tab w:val="left" w:pos="360" w:leader="none"/>
        </w:tabs>
        <w:spacing w:lineRule="auto" w:line="276" w:before="120" w:after="120"/>
        <w:ind w:left="141" w:hanging="0"/>
        <w:jc w:val="both"/>
        <w:rPr/>
      </w:pPr>
      <w:r>
        <w:rPr/>
        <w:t>16.7.1.2 Carteira de Trabalho e Previdência Social (CTPS) dos empregados admitidos e dos responsáveis técnicos pela execução dos serviços, quando for o caso, devidamente assinada pela CONTRATADA;</w:t>
      </w:r>
    </w:p>
    <w:p>
      <w:pPr>
        <w:pStyle w:val="LOnormal"/>
        <w:tabs>
          <w:tab w:val="clear" w:pos="720"/>
          <w:tab w:val="left" w:pos="360" w:leader="none"/>
        </w:tabs>
        <w:spacing w:lineRule="auto" w:line="276" w:before="120" w:after="120"/>
        <w:ind w:left="141" w:hanging="0"/>
        <w:jc w:val="both"/>
        <w:rPr/>
      </w:pPr>
      <w:r>
        <w:rPr/>
        <w:t>16.7.1.3 exames médicos admissionais dos empregados da CONTRATADA que prestarão os serviços; e</w:t>
      </w:r>
    </w:p>
    <w:p>
      <w:pPr>
        <w:pStyle w:val="LOnormal"/>
        <w:tabs>
          <w:tab w:val="clear" w:pos="720"/>
          <w:tab w:val="left" w:pos="360" w:leader="none"/>
        </w:tabs>
        <w:spacing w:lineRule="auto" w:line="276" w:before="120" w:after="120"/>
        <w:ind w:left="141" w:hanging="0"/>
        <w:jc w:val="both"/>
        <w:rPr/>
      </w:pPr>
      <w:r>
        <w:rPr/>
        <w:t>16.7.1.4 declaração de responsabilidade exclusiva da contratada sobre a quitação dos encargos trabalhistas e sociais decorrentes do contrato.</w:t>
      </w:r>
    </w:p>
    <w:p>
      <w:pPr>
        <w:pStyle w:val="LOnormal"/>
        <w:spacing w:lineRule="auto" w:line="276" w:before="120" w:after="120"/>
        <w:ind w:left="141" w:hanging="0"/>
        <w:jc w:val="both"/>
        <w:rPr/>
      </w:pPr>
      <w:r>
        <w:rPr/>
        <w:t>16.7.2 entrega até o dia trinta do mês seguinte ao da prestação dos serviços ao setor responsável pela fiscalização do contrato dos seguintes documentos, quando não for possível a verificação da regularidade destes no Sistema de Cadastro de Fornecedores (SICAF):</w:t>
      </w:r>
    </w:p>
    <w:p>
      <w:pPr>
        <w:pStyle w:val="LOnormal"/>
        <w:tabs>
          <w:tab w:val="clear" w:pos="720"/>
          <w:tab w:val="left" w:pos="360" w:leader="none"/>
        </w:tabs>
        <w:spacing w:lineRule="auto" w:line="276" w:before="120" w:after="120"/>
        <w:ind w:left="141" w:hanging="0"/>
        <w:jc w:val="both"/>
        <w:rPr/>
      </w:pPr>
      <w:r>
        <w:rPr/>
        <w:t xml:space="preserve">16.7.2.1 Certidão Negativa de Débitos relativos a Créditos Tributários Federais e à Dívida Ativa da União (CND);  </w:t>
      </w:r>
    </w:p>
    <w:p>
      <w:pPr>
        <w:pStyle w:val="LOnormal"/>
        <w:tabs>
          <w:tab w:val="clear" w:pos="720"/>
          <w:tab w:val="left" w:pos="360" w:leader="none"/>
        </w:tabs>
        <w:spacing w:lineRule="auto" w:line="276" w:before="120" w:after="120"/>
        <w:ind w:left="141" w:hanging="0"/>
        <w:jc w:val="both"/>
        <w:rPr/>
      </w:pPr>
      <w:r>
        <w:rPr/>
        <w:t xml:space="preserve">16.7.2.2 certidões que comprovem a regularidade perante as Fazendas Estadual, Distrital e Municipal do domicílio ou sede do contratado;  </w:t>
      </w:r>
    </w:p>
    <w:p>
      <w:pPr>
        <w:pStyle w:val="LOnormal"/>
        <w:tabs>
          <w:tab w:val="clear" w:pos="720"/>
          <w:tab w:val="left" w:pos="360" w:leader="none"/>
        </w:tabs>
        <w:spacing w:lineRule="auto" w:line="276" w:before="120" w:after="120"/>
        <w:ind w:left="141" w:hanging="0"/>
        <w:jc w:val="both"/>
        <w:rPr/>
      </w:pPr>
      <w:r>
        <w:rPr/>
        <w:t xml:space="preserve">16.7.2.3 Certidão de Regularidade do FGTS (CRF); e  </w:t>
      </w:r>
    </w:p>
    <w:p>
      <w:pPr>
        <w:pStyle w:val="LOnormal"/>
        <w:tabs>
          <w:tab w:val="clear" w:pos="720"/>
          <w:tab w:val="left" w:pos="360" w:leader="none"/>
        </w:tabs>
        <w:spacing w:lineRule="auto" w:line="276" w:before="120" w:after="120"/>
        <w:ind w:left="141" w:hanging="0"/>
        <w:jc w:val="both"/>
        <w:rPr/>
      </w:pPr>
      <w:r>
        <w:rPr/>
        <w:t xml:space="preserve">16.7.2.4 Certidão Negativa de Débitos Trabalhistas (CNDT).  </w:t>
      </w:r>
    </w:p>
    <w:p>
      <w:pPr>
        <w:pStyle w:val="LOnormal"/>
        <w:spacing w:lineRule="auto" w:line="276" w:before="120" w:after="120"/>
        <w:ind w:left="141" w:hanging="0"/>
        <w:jc w:val="both"/>
        <w:rPr/>
      </w:pPr>
      <w:r>
        <w:rPr/>
        <w:t xml:space="preserve">16.7.3 entrega, quando solicitado pela CONTRATANTE, de quaisquer dos seguintes documentos: </w:t>
      </w:r>
      <w:r>
        <w:rPr>
          <w:b/>
          <w:sz w:val="32"/>
          <w:szCs w:val="32"/>
        </w:rPr>
        <w:t xml:space="preserve"> </w:t>
      </w:r>
      <w:r>
        <w:rPr>
          <w:b/>
          <w:sz w:val="32"/>
          <w:szCs w:val="32"/>
          <w:highlight w:val="magenta"/>
        </w:rPr>
        <w:t xml:space="preserve">  </w:t>
      </w:r>
    </w:p>
    <w:p>
      <w:pPr>
        <w:pStyle w:val="LOnormal"/>
        <w:tabs>
          <w:tab w:val="clear" w:pos="720"/>
          <w:tab w:val="left" w:pos="360" w:leader="none"/>
        </w:tabs>
        <w:spacing w:lineRule="auto" w:line="276" w:before="120" w:after="120"/>
        <w:ind w:left="850" w:hanging="0"/>
        <w:jc w:val="both"/>
        <w:rPr/>
      </w:pPr>
      <w:r>
        <w:rPr/>
        <w:t>16.7.3.1 extrato da conta do INSS e do FGTS de qualquer empregado, a critério da CONTRATANTE;</w:t>
      </w:r>
    </w:p>
    <w:p>
      <w:pPr>
        <w:pStyle w:val="LOnormal"/>
        <w:tabs>
          <w:tab w:val="clear" w:pos="720"/>
          <w:tab w:val="left" w:pos="360" w:leader="none"/>
        </w:tabs>
        <w:spacing w:lineRule="auto" w:line="276" w:before="120" w:after="120"/>
        <w:ind w:left="850" w:hanging="0"/>
        <w:rPr/>
      </w:pPr>
      <w:r>
        <w:rPr/>
        <w:t>16.7.3.2 cópia da folha de pagamento analítica de qualquer mês da prestação dos serviços, em que conste como tomador CONTRATANTE;</w:t>
      </w:r>
    </w:p>
    <w:p>
      <w:pPr>
        <w:pStyle w:val="LOnormal"/>
        <w:tabs>
          <w:tab w:val="clear" w:pos="720"/>
          <w:tab w:val="left" w:pos="360" w:leader="none"/>
        </w:tabs>
        <w:spacing w:lineRule="auto" w:line="276" w:before="120" w:after="120"/>
        <w:ind w:left="850" w:hanging="0"/>
        <w:jc w:val="both"/>
        <w:rPr/>
      </w:pPr>
      <w:r>
        <w:rPr/>
        <w:t xml:space="preserve">16.7.3.3 cópia dos contracheques dos empregados relativos a qualquer mês da prestação dos serviços ou, ainda, quando necessário, cópia de recibos de depósitos bancários;  </w:t>
      </w:r>
    </w:p>
    <w:p>
      <w:pPr>
        <w:pStyle w:val="LOnormal"/>
        <w:tabs>
          <w:tab w:val="clear" w:pos="720"/>
          <w:tab w:val="left" w:pos="360" w:leader="none"/>
        </w:tabs>
        <w:spacing w:lineRule="auto" w:line="276" w:before="120" w:after="120"/>
        <w:ind w:left="850" w:hanging="0"/>
        <w:jc w:val="both"/>
        <w:rPr/>
      </w:pPr>
      <w:r>
        <w:rPr/>
        <w:t xml:space="preserve">16.7.3.4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pPr>
        <w:pStyle w:val="LOnormal"/>
        <w:tabs>
          <w:tab w:val="clear" w:pos="720"/>
          <w:tab w:val="left" w:pos="360" w:leader="none"/>
        </w:tabs>
        <w:spacing w:lineRule="auto" w:line="276" w:before="120" w:after="120"/>
        <w:ind w:left="850" w:hanging="0"/>
        <w:jc w:val="both"/>
        <w:rPr/>
      </w:pPr>
      <w:r>
        <w:rPr/>
        <w:t>16.7.3.5 comprovantes de realização de eventuais cursos de treinamento e reciclagem que forem exigidos por lei ou pelo contrato.</w:t>
      </w:r>
    </w:p>
    <w:p>
      <w:pPr>
        <w:pStyle w:val="LOnormal"/>
        <w:spacing w:lineRule="auto" w:line="276" w:before="120" w:after="120"/>
        <w:ind w:left="141" w:hanging="0"/>
        <w:jc w:val="both"/>
        <w:rPr/>
      </w:pPr>
      <w:r>
        <w:rPr/>
        <w:t xml:space="preserve">16.7.4 entrega de cópia da documentação abaixo relacionada, quando da extinção ou rescisão do contrato, após o último mês de prestação dos serviços, no prazo definido no contrato:  </w:t>
      </w:r>
    </w:p>
    <w:p>
      <w:pPr>
        <w:pStyle w:val="LOnormal"/>
        <w:tabs>
          <w:tab w:val="clear" w:pos="720"/>
          <w:tab w:val="left" w:pos="360" w:leader="none"/>
        </w:tabs>
        <w:spacing w:lineRule="auto" w:line="276" w:before="120" w:after="120"/>
        <w:ind w:left="850" w:hanging="0"/>
        <w:jc w:val="both"/>
        <w:rPr/>
      </w:pPr>
      <w:r>
        <w:rPr/>
        <w:t>16.7.4.1 termos de rescisão dos contratos de trabalho dos empregados prestadores de serviço, devidamente homologados, quando exigível pelo sindicato da categoria;</w:t>
      </w:r>
    </w:p>
    <w:p>
      <w:pPr>
        <w:pStyle w:val="LOnormal"/>
        <w:tabs>
          <w:tab w:val="clear" w:pos="720"/>
          <w:tab w:val="left" w:pos="360" w:leader="none"/>
        </w:tabs>
        <w:spacing w:lineRule="auto" w:line="276" w:before="120" w:after="120"/>
        <w:ind w:left="850" w:hanging="0"/>
        <w:jc w:val="both"/>
        <w:rPr/>
      </w:pPr>
      <w:r>
        <w:rPr/>
        <w:t xml:space="preserve">16.7.4.2 guias de recolhimento da contribuição previdenciária e do FGTS, referentes às rescisões contratuais;  </w:t>
      </w:r>
    </w:p>
    <w:p>
      <w:pPr>
        <w:pStyle w:val="LOnormal"/>
        <w:tabs>
          <w:tab w:val="clear" w:pos="720"/>
          <w:tab w:val="left" w:pos="360" w:leader="none"/>
        </w:tabs>
        <w:spacing w:lineRule="auto" w:line="276" w:before="120" w:after="120"/>
        <w:ind w:left="850" w:hanging="0"/>
        <w:jc w:val="both"/>
        <w:rPr/>
      </w:pPr>
      <w:r>
        <w:rPr/>
        <w:t xml:space="preserve">16.7.4.3 extratos dos depósitos efetuados nas contas vinculadas individuais do FGTS de cada empregado dispensado;  </w:t>
      </w:r>
    </w:p>
    <w:p>
      <w:pPr>
        <w:pStyle w:val="LOnormal"/>
        <w:tabs>
          <w:tab w:val="clear" w:pos="720"/>
          <w:tab w:val="left" w:pos="360" w:leader="none"/>
        </w:tabs>
        <w:spacing w:lineRule="auto" w:line="276" w:before="120" w:after="120"/>
        <w:ind w:left="850" w:hanging="0"/>
        <w:jc w:val="both"/>
        <w:rPr/>
      </w:pPr>
      <w:r>
        <w:rPr/>
        <w:t xml:space="preserve">16.7.4.4 exames médicos demissionais dos empregados dispensados.  </w:t>
      </w:r>
    </w:p>
    <w:p>
      <w:pPr>
        <w:pStyle w:val="LOnormal"/>
        <w:spacing w:lineRule="auto" w:line="276" w:before="120" w:after="120"/>
        <w:ind w:left="-141" w:hanging="0"/>
        <w:jc w:val="both"/>
        <w:rPr>
          <w:color w:val="000001"/>
          <w:highlight w:val="white"/>
        </w:rPr>
      </w:pPr>
      <w:r>
        <w:rPr>
          <w:color w:val="000001"/>
          <w:highlight w:val="white"/>
        </w:rPr>
        <w:t>16.8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LOnormal"/>
        <w:spacing w:lineRule="auto" w:line="276" w:before="120" w:after="120"/>
        <w:ind w:left="850" w:hanging="0"/>
        <w:jc w:val="both"/>
        <w:rPr>
          <w:color w:val="000001"/>
          <w:highlight w:val="white"/>
        </w:rPr>
      </w:pPr>
      <w:r>
        <w:rPr>
          <w:color w:val="000001"/>
          <w:highlight w:val="white"/>
        </w:rPr>
        <w:t>16.8.1 O termo de quitação anual efetivado deverá ser firmado junto ao respectivo Sindicato dos Empregados e obedecerá ao disposto no art. 507-B, parágrafo único, da CLT.</w:t>
      </w:r>
    </w:p>
    <w:p>
      <w:pPr>
        <w:pStyle w:val="LOnormal"/>
        <w:spacing w:lineRule="auto" w:line="276" w:before="120" w:after="120"/>
        <w:ind w:left="850" w:hanging="0"/>
        <w:jc w:val="both"/>
        <w:rPr>
          <w:color w:val="000001"/>
          <w:highlight w:val="white"/>
        </w:rPr>
      </w:pPr>
      <w:r>
        <w:rPr>
          <w:color w:val="000001"/>
          <w:highlight w:val="white"/>
        </w:rPr>
        <w:t>16.8.2 Para fins de comprovação da adoção das providências a que se refere o presente item, será aceito qualquer meio de prova, tais como: recibo de convocação, declaração de negativa de negociação, ata de negociação, dentre outros.</w:t>
      </w:r>
    </w:p>
    <w:p>
      <w:pPr>
        <w:pStyle w:val="LOnormal"/>
        <w:spacing w:lineRule="auto" w:line="276" w:before="120" w:after="120"/>
        <w:ind w:left="850" w:hanging="0"/>
        <w:jc w:val="both"/>
        <w:rPr>
          <w:color w:val="000001"/>
          <w:highlight w:val="white"/>
        </w:rPr>
      </w:pPr>
      <w:r>
        <w:rPr>
          <w:color w:val="000001"/>
          <w:highlight w:val="white"/>
        </w:rPr>
        <w:t>16.8.3 Não haverá pagamento adicional pela Contratante à Contratada em razão do cumprimento das obrigações previstas neste item.</w:t>
      </w:r>
    </w:p>
    <w:p>
      <w:pPr>
        <w:pStyle w:val="LOnormal"/>
        <w:spacing w:lineRule="auto" w:line="276" w:before="120" w:after="120"/>
        <w:jc w:val="both"/>
        <w:rPr/>
      </w:pPr>
      <w:r>
        <w:rPr/>
      </w:r>
    </w:p>
    <w:p>
      <w:pPr>
        <w:pStyle w:val="LOnormal"/>
        <w:spacing w:lineRule="auto" w:line="276" w:before="120" w:after="120"/>
        <w:jc w:val="both"/>
        <w:rPr/>
      </w:pPr>
      <w:r>
        <w:rPr/>
        <w:t>16.9 No caso de sociedades diversas, tais como as Organizações Sociais, será exigida a comprovação de atendimento a eventuais obrigações decorrentes da legislação que rege as respectivas organizações.</w:t>
      </w:r>
    </w:p>
    <w:p>
      <w:pPr>
        <w:pStyle w:val="LOnormal"/>
        <w:spacing w:lineRule="auto" w:line="276" w:before="120" w:after="120"/>
        <w:jc w:val="both"/>
        <w:rPr/>
      </w:pPr>
      <w:r>
        <w:rPr/>
        <w:t>16.10 Sempre que houver admissão de novos empregados pela contratada, os documentos elencados no subitem  acima deverão ser apresentados.</w:t>
      </w:r>
    </w:p>
    <w:p>
      <w:pPr>
        <w:pStyle w:val="LOnormal"/>
        <w:spacing w:lineRule="auto" w:line="276" w:before="120" w:after="120"/>
        <w:jc w:val="both"/>
        <w:rPr/>
      </w:pPr>
      <w:r>
        <w:rPr/>
        <w:t>16.11 A Contratante deverá analisar a documentação solicitada nos subitens acima no prazo de 30 (trinta) dias após o recebimento dos documentos, prorrogáveis por mais 30 (trinta) dias, justificadamente.</w:t>
      </w:r>
    </w:p>
    <w:p>
      <w:pPr>
        <w:pStyle w:val="LOnormal"/>
        <w:spacing w:lineRule="auto" w:line="276" w:before="120" w:after="120"/>
        <w:jc w:val="both"/>
        <w:rPr/>
      </w:pPr>
      <w:r>
        <w:rPr/>
        <w:t>16.12  Em caso de indício de irregularidade no recolhimento das contribuições previdenciárias, os fiscais ou gestores do contrato deverão oficiar à Receita Federal do Brasil (RFB).</w:t>
      </w:r>
    </w:p>
    <w:p>
      <w:pPr>
        <w:pStyle w:val="LOnormal"/>
        <w:spacing w:lineRule="auto" w:line="276" w:before="120" w:after="120"/>
        <w:jc w:val="both"/>
        <w:rPr/>
      </w:pPr>
      <w:r>
        <w:rPr/>
        <w:t>16.13  Em caso de indício de irregularidade no recolhimento da contribuição para o FGTS, os fiscais ou gestores do contrato deverão oficiar à Superintendência Regional do Trabalho.</w:t>
      </w:r>
    </w:p>
    <w:p>
      <w:pPr>
        <w:pStyle w:val="LOnormal"/>
        <w:spacing w:lineRule="auto" w:line="276" w:before="120" w:after="120"/>
        <w:jc w:val="both"/>
        <w:rPr/>
      </w:pPr>
      <w:bookmarkStart w:id="6" w:name="_1fob9te"/>
      <w:bookmarkEnd w:id="6"/>
      <w:r>
        <w:rPr/>
        <w:t>16.14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pPr>
        <w:pStyle w:val="LOnormal"/>
        <w:spacing w:lineRule="auto" w:line="276" w:before="120" w:after="120"/>
        <w:jc w:val="both"/>
        <w:rPr/>
      </w:pPr>
      <w:r>
        <w:rPr/>
        <w:t>16.15 A Contratante poderá conceder prazo para que a Contratada regularize suas obrigações trabalhistas ou suas condições de habilitação, sob pena de rescisão contratual, quando não identificar má-fé ou incapacidade de correção.</w:t>
      </w:r>
    </w:p>
    <w:p>
      <w:pPr>
        <w:pStyle w:val="LOnormal"/>
        <w:spacing w:lineRule="auto" w:line="276" w:before="120" w:after="120"/>
        <w:jc w:val="both"/>
        <w:rPr/>
      </w:pPr>
      <w:r>
        <w:rPr/>
        <w:t>16.16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pPr>
        <w:pStyle w:val="LOnormal"/>
        <w:spacing w:lineRule="auto" w:line="276" w:before="120" w:after="120"/>
        <w:ind w:left="1417" w:hanging="0"/>
        <w:jc w:val="both"/>
        <w:rPr/>
      </w:pPr>
      <w:r>
        <w:rPr/>
        <w:t>16.16.1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LOnormal"/>
        <w:spacing w:lineRule="auto" w:line="276" w:before="120" w:after="120"/>
        <w:ind w:left="1417" w:hanging="0"/>
        <w:jc w:val="both"/>
        <w:rPr/>
      </w:pPr>
      <w:r>
        <w:rPr/>
        <w:t>16.16.2 O sindicato representante da categoria do trabalhador deverá ser notificado pela Contratante para acompanhar o pagamento das verbas mencionadas.</w:t>
      </w:r>
    </w:p>
    <w:p>
      <w:pPr>
        <w:pStyle w:val="LOnormal"/>
        <w:spacing w:lineRule="auto" w:line="276" w:before="120" w:after="120"/>
        <w:ind w:left="1417" w:hanging="0"/>
        <w:jc w:val="both"/>
        <w:rPr/>
      </w:pPr>
      <w:r>
        <w:rPr/>
        <w:t>16.16.3 Tais pagamentos não configuram vínculo empregatício ou implicam a assunção de responsabilidade por quaisquer obrigações dele decorrentes entre a contratante e os empregados da Contratada.</w:t>
      </w:r>
    </w:p>
    <w:p>
      <w:pPr>
        <w:pStyle w:val="LOnormal"/>
        <w:spacing w:lineRule="auto" w:line="276" w:before="120" w:after="120"/>
        <w:jc w:val="both"/>
        <w:rPr/>
      </w:pPr>
      <w:r>
        <w:rPr/>
        <w:t>16.17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pPr>
        <w:pStyle w:val="LOnormal"/>
        <w:spacing w:lineRule="auto" w:line="276" w:before="120" w:after="120"/>
        <w:jc w:val="both"/>
        <w:rPr/>
      </w:pPr>
      <w:r>
        <w:rPr/>
        <w:t>16.18 A Contratada é responsável pelos encargos trabalhistas, previdenciários, fiscais e comerciais resultantes da execução do contrato.</w:t>
      </w:r>
    </w:p>
    <w:p>
      <w:pPr>
        <w:pStyle w:val="LOnormal"/>
        <w:spacing w:lineRule="auto" w:line="276" w:before="120" w:after="120"/>
        <w:jc w:val="both"/>
        <w:rPr/>
      </w:pPr>
      <w:r>
        <w:rPr/>
        <w:t>16.19 A inadimplência da Contratada, com referência aos encargos trabalhistas, fiscais e comerciais não transfere à Administração Pública a responsabilidade por seu pagamento.</w:t>
      </w:r>
    </w:p>
    <w:p>
      <w:pPr>
        <w:pStyle w:val="LOnormal"/>
        <w:spacing w:lineRule="auto" w:line="276" w:before="120" w:after="120"/>
        <w:jc w:val="both"/>
        <w:rPr/>
      </w:pPr>
      <w:r>
        <w:rPr/>
        <w:t>16.20 A fiscalização administrativa observará, ainda, as diretrizes relacionadas no item 10 do Anexo VIII-B da Instrução Normativa nº 5, de 26 de maio de 2017.</w:t>
      </w:r>
    </w:p>
    <w:p>
      <w:pPr>
        <w:pStyle w:val="LOnormal"/>
        <w:spacing w:lineRule="auto" w:line="276" w:before="120" w:after="120"/>
        <w:jc w:val="both"/>
        <w:rPr/>
      </w:pPr>
      <w:r>
        <w:rPr/>
        <w:t>16.21 O fiscal técnico deverá apresentar ao preposto da Contratada a avaliação da execução do objeto ou, se for o caso, a avaliação de desempenho e qualidade da prestação dos serviços realizada.</w:t>
      </w:r>
    </w:p>
    <w:p>
      <w:pPr>
        <w:pStyle w:val="LOnormal"/>
        <w:spacing w:lineRule="auto" w:line="276" w:before="120" w:after="120"/>
        <w:jc w:val="both"/>
        <w:rPr/>
      </w:pPr>
      <w:r>
        <w:rPr/>
        <w:t>16.22 Em hipótese alguma, será admitido que a própria Contratada materialize a avaliação de desempenho e qualidade da prestação dos serviços realizada.</w:t>
      </w:r>
    </w:p>
    <w:p>
      <w:pPr>
        <w:pStyle w:val="LOnormal"/>
        <w:spacing w:lineRule="auto" w:line="276" w:before="120" w:after="120"/>
        <w:jc w:val="both"/>
        <w:rPr/>
      </w:pPr>
      <w:r>
        <w:rPr/>
        <w:t>16.23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LOnormal"/>
        <w:spacing w:lineRule="auto" w:line="276" w:before="120" w:after="120"/>
        <w:jc w:val="both"/>
        <w:rPr/>
      </w:pPr>
      <w:r>
        <w:rPr/>
        <w:t>16.25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pPr>
        <w:pStyle w:val="LOnormal"/>
        <w:spacing w:lineRule="auto" w:line="276" w:before="120" w:after="120"/>
        <w:jc w:val="both"/>
        <w:rPr/>
      </w:pPr>
      <w:r>
        <w:rPr/>
        <w:t>16.26 O fiscal técnico poderá realizar avaliação diária, semanal ou mensal, desde que o período escolhido seja suficiente para avaliar ou, se for o caso, aferir o desempenho e qualidade da prestação dos serviços.</w:t>
      </w:r>
    </w:p>
    <w:p>
      <w:pPr>
        <w:pStyle w:val="LOnormal"/>
        <w:spacing w:lineRule="auto" w:line="276" w:before="120" w:after="120"/>
        <w:jc w:val="both"/>
        <w:rPr/>
      </w:pPr>
      <w:r>
        <w:rPr/>
        <w:t>16.27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spacing w:lineRule="auto" w:line="276" w:before="120" w:after="120"/>
        <w:jc w:val="both"/>
        <w:rPr/>
      </w:pPr>
      <w:r>
        <w:rPr/>
        <w:t>16.28 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pPr>
        <w:pStyle w:val="LOnormal"/>
        <w:spacing w:lineRule="auto" w:line="276" w:before="120" w:after="120"/>
        <w:jc w:val="both"/>
        <w:rPr/>
      </w:pPr>
      <w:r>
        <w:rPr/>
        <w:t>16.29 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spacing w:lineRule="auto" w:line="276" w:before="120" w:after="120"/>
        <w:jc w:val="both"/>
        <w:rPr/>
      </w:pPr>
      <w:r>
        <w:rPr/>
        <w:t>16.30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LOnormal"/>
        <w:spacing w:lineRule="auto" w:line="276" w:before="120" w:after="120"/>
        <w:jc w:val="both"/>
        <w:rPr/>
      </w:pPr>
      <w:r>
        <w:rPr/>
        <w:t>16.31 As disposições previstas nesta cláusula não excluem o disposto no Anexo VIII da Instrução Normativa SEGES/MP nº 05, de 2017, aplicável no que for pertinente à contratação.</w:t>
      </w:r>
    </w:p>
    <w:p>
      <w:pPr>
        <w:pStyle w:val="LOnormal"/>
        <w:keepNext w:val="true"/>
        <w:keepLines/>
        <w:spacing w:lineRule="auto" w:line="276" w:before="480" w:after="0"/>
        <w:jc w:val="both"/>
        <w:rPr>
          <w:b/>
          <w:b/>
          <w:color w:val="000000"/>
        </w:rPr>
      </w:pPr>
      <w:r>
        <w:rPr>
          <w:b/>
          <w:color w:val="000000"/>
        </w:rPr>
        <w:t>17 DOS CRITÉRIOS DE AFERIÇÃO E MEDIÇÃO PARA FATURAMENTO</w:t>
      </w:r>
    </w:p>
    <w:p>
      <w:pPr>
        <w:pStyle w:val="LOnormal"/>
        <w:spacing w:lineRule="auto" w:line="276" w:before="120" w:after="120"/>
        <w:jc w:val="both"/>
        <w:rPr/>
      </w:pPr>
      <w:r>
        <w:rPr>
          <w:color w:val="000000"/>
        </w:rPr>
        <w:t>17.1 A avaliação da execução do objeto utilizará o Instrumento de Medição de Resultado (IMR), previsto no</w:t>
      </w:r>
      <w:r>
        <w:rPr>
          <w:b/>
          <w:bCs/>
          <w:color w:val="000000"/>
        </w:rPr>
        <w:t xml:space="preserve"> Anexo I/D </w:t>
      </w:r>
      <w:r>
        <w:rPr>
          <w:color w:val="000000"/>
        </w:rPr>
        <w:t>deste termo de referência, d</w:t>
      </w:r>
      <w:r>
        <w:rPr/>
        <w:t>evendo haver o redimensionamento no pagamento com base nos indicadores estabelecidos, sempre que a CONTRATADA:</w:t>
      </w:r>
    </w:p>
    <w:p>
      <w:pPr>
        <w:pStyle w:val="LOnormal"/>
        <w:spacing w:lineRule="auto" w:line="276" w:before="120" w:after="120"/>
        <w:ind w:left="141" w:hanging="0"/>
        <w:jc w:val="both"/>
        <w:rPr/>
      </w:pPr>
      <w:r>
        <w:rPr/>
        <w:t>a) não produzir os resultados, deixar de executar, ou não executar com a qualidade mínima exigida as atividades contratadas; ou</w:t>
      </w:r>
    </w:p>
    <w:p>
      <w:pPr>
        <w:pStyle w:val="LOnormal"/>
        <w:spacing w:lineRule="auto" w:line="276" w:before="120" w:after="120"/>
        <w:ind w:left="141" w:hanging="0"/>
        <w:jc w:val="both"/>
        <w:rPr/>
      </w:pPr>
      <w:r>
        <w:rPr/>
        <w:t xml:space="preserve">b) deixar de utilizar materiais e recursos humanos exigidos para a execução do serviço, ou utilizá-los </w:t>
      </w:r>
      <w:r>
        <w:rPr>
          <w:highlight w:val="white"/>
        </w:rPr>
        <w:t>com qualidade ou quantidade inferior à demandada.</w:t>
      </w:r>
    </w:p>
    <w:p>
      <w:pPr>
        <w:pStyle w:val="LOnormal"/>
        <w:spacing w:lineRule="auto" w:line="276" w:before="120" w:after="120"/>
        <w:ind w:left="141" w:hanging="0"/>
        <w:jc w:val="both"/>
        <w:rPr/>
      </w:pPr>
      <w:r>
        <w:rPr>
          <w:highlight w:val="white"/>
        </w:rPr>
        <w:t xml:space="preserve">17.2 A aferição da execução contratual para fins de pagamento considerará os critérios estabelecidos no </w:t>
      </w:r>
      <w:r>
        <w:rPr>
          <w:b/>
          <w:bCs/>
          <w:highlight w:val="white"/>
        </w:rPr>
        <w:t>In</w:t>
      </w:r>
      <w:r>
        <w:rPr>
          <w:b/>
          <w:highlight w:val="white"/>
        </w:rPr>
        <w:t xml:space="preserve">strumento de Medição de Resultados - </w:t>
      </w:r>
      <w:r>
        <w:rPr>
          <w:b/>
          <w:bCs/>
          <w:highlight w:val="white"/>
        </w:rPr>
        <w:t xml:space="preserve">ANEXO I/D </w:t>
      </w:r>
      <w:r>
        <w:rPr>
          <w:highlight w:val="white"/>
        </w:rPr>
        <w:t>deste Termo de Referência.</w:t>
      </w:r>
    </w:p>
    <w:p>
      <w:pPr>
        <w:pStyle w:val="LOnormal"/>
        <w:spacing w:lineRule="auto" w:line="276" w:before="120" w:after="120"/>
        <w:ind w:left="141" w:hanging="0"/>
        <w:jc w:val="both"/>
        <w:rPr/>
      </w:pPr>
      <w:r>
        <w:rPr/>
        <w:t>17.3 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1133" w:hanging="0"/>
        <w:jc w:val="both"/>
        <w:rPr/>
      </w:pPr>
      <w:r>
        <w:rPr/>
        <w:t>17.3.1 não produziu os resultados acordados;</w:t>
      </w:r>
    </w:p>
    <w:p>
      <w:pPr>
        <w:pStyle w:val="LOnormal"/>
        <w:spacing w:lineRule="auto" w:line="276" w:before="120" w:after="120"/>
        <w:ind w:left="1133" w:hanging="0"/>
        <w:jc w:val="both"/>
        <w:rPr>
          <w:color w:val="000000"/>
        </w:rPr>
      </w:pPr>
      <w:r>
        <w:rPr>
          <w:color w:val="000000"/>
        </w:rPr>
        <w:t>17.3.2 deixou de executar as atividades contratadas, ou não as executou com a qualidade mínima exigida;</w:t>
      </w:r>
    </w:p>
    <w:p>
      <w:pPr>
        <w:pStyle w:val="LOnormal"/>
        <w:spacing w:lineRule="auto" w:line="276" w:before="120" w:after="120"/>
        <w:ind w:left="1133" w:hanging="0"/>
        <w:jc w:val="both"/>
        <w:rPr/>
      </w:pPr>
      <w:r>
        <w:rPr>
          <w:color w:val="000000"/>
        </w:rPr>
        <w:t>17.3.3 deixou de utilizar os materiais e recursos humanos exigidos para a execução do serviço, ou utilizou-os com qualidade ou quantidade inferior à demandada.</w:t>
      </w:r>
    </w:p>
    <w:p>
      <w:pPr>
        <w:pStyle w:val="LOnormal"/>
        <w:keepNext w:val="true"/>
        <w:keepLines/>
        <w:spacing w:lineRule="auto" w:line="276" w:before="480" w:after="0"/>
        <w:ind w:left="141" w:hanging="0"/>
        <w:jc w:val="both"/>
        <w:rPr>
          <w:b/>
          <w:b/>
        </w:rPr>
      </w:pPr>
      <w:r>
        <w:rPr>
          <w:b/>
        </w:rPr>
        <w:t xml:space="preserve">18. DO RECEBIMENTO E ACEITAÇÃO DO OBJETO  </w:t>
      </w:r>
    </w:p>
    <w:p>
      <w:pPr>
        <w:pStyle w:val="LOnormal"/>
        <w:spacing w:lineRule="auto" w:line="276" w:before="120" w:after="120"/>
        <w:ind w:left="141" w:hanging="0"/>
        <w:jc w:val="both"/>
        <w:rPr>
          <w:color w:val="000000"/>
          <w:highlight w:val="white"/>
        </w:rPr>
      </w:pPr>
      <w:r>
        <w:rPr>
          <w:color w:val="000000"/>
          <w:highlight w:val="white"/>
        </w:rPr>
        <w:t>18.1 A emissão da Nota Fiscal/Fatura deve ser precedida do recebimento definitivo do objeto contratual, nos termos abaixo.</w:t>
      </w:r>
    </w:p>
    <w:p>
      <w:pPr>
        <w:pStyle w:val="LOnormal"/>
        <w:spacing w:lineRule="auto" w:line="276" w:before="120" w:after="120"/>
        <w:ind w:left="850" w:hanging="0"/>
        <w:jc w:val="both"/>
        <w:rPr>
          <w:highlight w:val="white"/>
        </w:rPr>
      </w:pPr>
      <w:r>
        <w:rPr>
          <w:color w:val="000000"/>
          <w:highlight w:val="white"/>
        </w:rPr>
        <w:t>18.1.1 No prazo de até 5 dias corridos do a</w:t>
      </w:r>
      <w:r>
        <w:rPr>
          <w:highlight w:val="white"/>
        </w:rPr>
        <w:t>dimplemento da parcela, a CONTRATADA deverá entregar toda a documentação comprobatória do cumprimento da obrigação contratual;</w:t>
      </w:r>
    </w:p>
    <w:p>
      <w:pPr>
        <w:pStyle w:val="LOnormal"/>
        <w:spacing w:lineRule="auto" w:line="276" w:before="120" w:after="120"/>
        <w:ind w:left="141" w:hanging="0"/>
        <w:jc w:val="both"/>
        <w:rPr>
          <w:highlight w:val="white"/>
        </w:rPr>
      </w:pPr>
      <w:r>
        <w:rPr>
          <w:highlight w:val="white"/>
        </w:rPr>
        <w:t>18.2 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pPr>
        <w:pStyle w:val="LOnormal"/>
        <w:spacing w:lineRule="auto" w:line="276" w:before="120" w:after="120"/>
        <w:ind w:left="850" w:hanging="0"/>
        <w:jc w:val="both"/>
        <w:rPr/>
      </w:pPr>
      <w:r>
        <w:rPr/>
        <w:t xml:space="preserve">18.2.1 </w:t>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spacing w:lineRule="auto" w:line="276" w:before="120" w:after="120"/>
        <w:ind w:left="141" w:hanging="0"/>
        <w:jc w:val="both"/>
        <w:rPr/>
      </w:pPr>
      <w:r>
        <w:rPr/>
        <w:t>18.3 Para efeito de recebimento provisório, ao final de cada período mensal,</w:t>
      </w:r>
    </w:p>
    <w:p>
      <w:pPr>
        <w:pStyle w:val="LOnormal"/>
        <w:spacing w:lineRule="auto" w:line="276" w:before="120" w:after="120"/>
        <w:ind w:left="850" w:hanging="0"/>
        <w:jc w:val="both"/>
        <w:rPr/>
      </w:pPr>
      <w:r>
        <w:rPr/>
        <w:t>18.3.1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pPr>
        <w:pStyle w:val="LOnormal"/>
        <w:spacing w:lineRule="auto" w:line="276" w:before="120" w:after="120"/>
        <w:ind w:left="850" w:hanging="0"/>
        <w:jc w:val="both"/>
        <w:rPr/>
      </w:pPr>
      <w:r>
        <w:rPr/>
        <w:t>18.3.2 o fiscal administrativo deverá verificar a efetiva realização dos dispêndios concernentes aos salários e às obrigações trabalhistas, previdenciárias e com o FGTS do mês anterior, dentre outros, emitindo relatório que será encaminhado ao gestor do contrato.</w:t>
      </w:r>
    </w:p>
    <w:p>
      <w:pPr>
        <w:pStyle w:val="LOnormal"/>
        <w:spacing w:lineRule="auto" w:line="276" w:before="120" w:after="120"/>
        <w:ind w:left="141" w:hanging="0"/>
        <w:jc w:val="both"/>
        <w:rPr/>
      </w:pPr>
      <w:r>
        <w:rPr/>
        <w:t>18.4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spacing w:lineRule="auto" w:line="276" w:before="120" w:after="120"/>
        <w:ind w:left="716" w:hanging="574"/>
        <w:jc w:val="both"/>
        <w:rPr/>
      </w:pPr>
      <w:r>
        <w:rPr/>
        <w:t>18.5 O recebimento provisório também ficará sujeito, quando cabível, à conclusão de todos os testes de campo e à entrega dos Manuais e Instruções exigíveis.</w:t>
      </w:r>
    </w:p>
    <w:p>
      <w:pPr>
        <w:pStyle w:val="LOnormal"/>
        <w:spacing w:lineRule="auto" w:line="276" w:before="120" w:after="120"/>
        <w:jc w:val="both"/>
        <w:rPr/>
      </w:pPr>
      <w:r>
        <w:rPr/>
        <w:t>18.6 No prazo de até</w:t>
      </w:r>
      <w:r>
        <w:rPr>
          <w:color w:val="000000"/>
        </w:rPr>
        <w:t xml:space="preserve"> 10 dias corridos a pa</w:t>
      </w:r>
      <w:r>
        <w:rPr/>
        <w:t>rtir do recebimento dos documentos da CONTRATADA, cada fiscal ou a equipe de fiscalização deverá elaborar Relatório Circunstanciado em consonância com suas atribuições, e encaminhá-lo ao gestor do contrato.</w:t>
      </w:r>
    </w:p>
    <w:p>
      <w:pPr>
        <w:pStyle w:val="LOnormal"/>
        <w:spacing w:lineRule="auto" w:line="276" w:before="120" w:after="120"/>
        <w:jc w:val="both"/>
        <w:rPr/>
      </w:pPr>
      <w:r>
        <w:rPr/>
        <w:t>18.7 Será considerado como ocorrido o recebimento provisório com a entrega do relatório circunstanciado ou, havendo mais de um a ser feito, com a entrega do último.</w:t>
      </w:r>
    </w:p>
    <w:p>
      <w:pPr>
        <w:pStyle w:val="LOnormal"/>
        <w:spacing w:lineRule="auto" w:line="276" w:before="120" w:after="120"/>
        <w:ind w:left="708" w:hanging="0"/>
        <w:jc w:val="both"/>
        <w:rPr>
          <w:color w:val="000000"/>
        </w:rPr>
      </w:pPr>
      <w:r>
        <w:rPr>
          <w:color w:val="000000"/>
        </w:rPr>
        <w:t>18.7.1 Na hipótese de a verificação a que se refere o parágrafo anterior não ser procedida tempestivamente, reputar-se-á como realizada, consumando-se o recebimento provisório no dia do esgotamento do prazo.</w:t>
      </w:r>
    </w:p>
    <w:p>
      <w:pPr>
        <w:pStyle w:val="LOnormal"/>
        <w:spacing w:lineRule="auto" w:line="276" w:before="120" w:after="120"/>
        <w:ind w:left="141" w:hanging="0"/>
        <w:jc w:val="both"/>
        <w:rPr/>
      </w:pPr>
      <w:r>
        <w:rPr/>
        <w:t>18.8 No prazo de até</w:t>
      </w:r>
      <w:r>
        <w:rPr>
          <w:color w:val="000000"/>
        </w:rPr>
        <w:t xml:space="preserve"> 10 (dez) dias corridos a partir do recebimento provisório dos serviços, o Gestor do Contrato deverá providenciar o recebimento definitivo, ato que concretiza o ateste da execução dos serviços, obedecendo às seguintes diretrizes:</w:t>
      </w:r>
    </w:p>
    <w:p>
      <w:pPr>
        <w:pStyle w:val="LOnormal"/>
        <w:spacing w:lineRule="auto" w:line="276" w:before="120" w:after="120"/>
        <w:ind w:left="708" w:hanging="0"/>
        <w:jc w:val="both"/>
        <w:rPr>
          <w:color w:val="000000"/>
        </w:rPr>
      </w:pPr>
      <w:r>
        <w:rPr>
          <w:color w:val="000000"/>
        </w:rPr>
        <w:t>18.8.1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LOnormal"/>
        <w:spacing w:lineRule="auto" w:line="276" w:before="120" w:after="120"/>
        <w:ind w:left="708" w:hanging="0"/>
        <w:jc w:val="both"/>
        <w:rPr>
          <w:color w:val="000000"/>
        </w:rPr>
      </w:pPr>
      <w:r>
        <w:rPr>
          <w:color w:val="000000"/>
        </w:rPr>
        <w:t>18.8.2 emitir Termo Circunstanciado para efeito de recebimento definitivo dos serviços prestados, com base nos relatórios e documentações apresentadas; e</w:t>
      </w:r>
    </w:p>
    <w:p>
      <w:pPr>
        <w:pStyle w:val="LOnormal"/>
        <w:rPr>
          <w:color w:val="000000"/>
        </w:rPr>
      </w:pPr>
      <w:r>
        <w:rPr>
          <w:color w:val="000000"/>
        </w:rPr>
        <w:t>18.8.3 comunicar a empresa para que emita a Nota Fiscal ou Fatura, com o valor exato dimensionado pela fiscalização, com base no Instrumento de Medição de Resultado (IMR).</w:t>
      </w:r>
    </w:p>
    <w:p>
      <w:pPr>
        <w:pStyle w:val="LOnormal"/>
        <w:spacing w:lineRule="auto" w:line="276" w:before="120" w:after="120"/>
        <w:ind w:left="141" w:hanging="0"/>
        <w:jc w:val="both"/>
        <w:rPr/>
      </w:pPr>
      <w:r>
        <w:rPr/>
        <w:t>18.9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spacing w:lineRule="auto" w:line="276" w:before="120" w:after="120"/>
        <w:ind w:left="141" w:hanging="0"/>
        <w:jc w:val="both"/>
        <w:rPr/>
      </w:pPr>
      <w:r>
        <w:rPr/>
        <w:t>18.10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spacing w:lineRule="auto" w:line="276" w:before="480" w:after="0"/>
        <w:ind w:left="141" w:hanging="0"/>
        <w:jc w:val="both"/>
        <w:rPr>
          <w:b/>
          <w:b/>
        </w:rPr>
      </w:pPr>
      <w:r>
        <w:rPr>
          <w:b/>
        </w:rPr>
        <w:t>19. DO PAGAMENTO</w:t>
      </w:r>
    </w:p>
    <w:p>
      <w:pPr>
        <w:pStyle w:val="LOnormal"/>
        <w:spacing w:lineRule="auto" w:line="276" w:before="120" w:after="120"/>
        <w:jc w:val="both"/>
        <w:rPr/>
      </w:pPr>
      <w:r>
        <w:rPr/>
        <w:t>19.1 A emissão da Nota Fiscal/Fatura será precedida do recebimento definitivo do serviço, conforme este Termo de Referência.</w:t>
      </w:r>
    </w:p>
    <w:p>
      <w:pPr>
        <w:pStyle w:val="LOnormal"/>
        <w:spacing w:lineRule="auto" w:line="276" w:before="120" w:after="120"/>
        <w:jc w:val="both"/>
        <w:rPr/>
      </w:pPr>
      <w:r>
        <w:rPr/>
        <w:t>19.2 Quando houver glosa parcial dos serviços, a contratante deverá comunicar a empresa para que emita a nota fiscal ou fatura com o valor exato dimensionado.</w:t>
      </w:r>
    </w:p>
    <w:p>
      <w:pPr>
        <w:pStyle w:val="LOnormal"/>
        <w:spacing w:lineRule="auto" w:line="276" w:before="120" w:after="120"/>
        <w:jc w:val="both"/>
        <w:rPr/>
      </w:pPr>
      <w:r>
        <w:rPr/>
        <w:t>19.3 O pagamento será efet</w:t>
      </w:r>
      <w:r>
        <w:rPr>
          <w:color w:val="000000"/>
        </w:rPr>
        <w:t>uado pela Contratante no prazo de 30 (trinta) dias, contados do recebimento da Nota Fiscal/Fatura.</w:t>
      </w:r>
    </w:p>
    <w:p>
      <w:pPr>
        <w:pStyle w:val="LOnormal"/>
        <w:spacing w:lineRule="auto" w:line="276" w:before="120" w:after="120"/>
        <w:ind w:left="708" w:hanging="0"/>
        <w:jc w:val="both"/>
        <w:rPr>
          <w:color w:val="000000"/>
        </w:rPr>
      </w:pPr>
      <w:r>
        <w:rPr>
          <w:color w:val="000000"/>
        </w:rPr>
        <w:t>19.3.1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LOnormal"/>
        <w:spacing w:lineRule="auto" w:line="276" w:before="120" w:after="120"/>
        <w:jc w:val="both"/>
        <w:rPr/>
      </w:pPr>
      <w:r>
        <w:rPr/>
        <w:t>19.4 O setor competente para proceder o pagamento deve verificar se a Nota Fiscal ou Fatura apresentada expressa os elementos necessários e essenciais do documento, tais como:</w:t>
      </w:r>
    </w:p>
    <w:p>
      <w:pPr>
        <w:pStyle w:val="LOnormal"/>
        <w:spacing w:lineRule="auto" w:line="276" w:before="120" w:after="120"/>
        <w:ind w:left="850" w:hanging="0"/>
        <w:jc w:val="both"/>
        <w:rPr>
          <w:color w:val="000000"/>
        </w:rPr>
      </w:pPr>
      <w:r>
        <w:rPr>
          <w:color w:val="000000"/>
        </w:rPr>
        <w:t>19.4.1 o prazo de validade;</w:t>
      </w:r>
    </w:p>
    <w:p>
      <w:pPr>
        <w:pStyle w:val="LOnormal"/>
        <w:spacing w:lineRule="auto" w:line="276" w:before="120" w:after="120"/>
        <w:ind w:left="850" w:hanging="0"/>
        <w:jc w:val="both"/>
        <w:rPr>
          <w:color w:val="000000"/>
        </w:rPr>
      </w:pPr>
      <w:r>
        <w:rPr>
          <w:color w:val="000000"/>
        </w:rPr>
        <w:t>19.4.2 a data da emissão;</w:t>
      </w:r>
    </w:p>
    <w:p>
      <w:pPr>
        <w:pStyle w:val="LOnormal"/>
        <w:spacing w:lineRule="auto" w:line="276" w:before="120" w:after="120"/>
        <w:ind w:left="850" w:hanging="0"/>
        <w:jc w:val="both"/>
        <w:rPr>
          <w:color w:val="000000"/>
        </w:rPr>
      </w:pPr>
      <w:r>
        <w:rPr>
          <w:color w:val="000000"/>
        </w:rPr>
        <w:t>19.4.3 os dados do contrato e do órgão contratante;</w:t>
      </w:r>
    </w:p>
    <w:p>
      <w:pPr>
        <w:pStyle w:val="LOnormal"/>
        <w:spacing w:lineRule="auto" w:line="276" w:before="120" w:after="120"/>
        <w:ind w:left="850" w:hanging="0"/>
        <w:jc w:val="both"/>
        <w:rPr>
          <w:color w:val="000000"/>
        </w:rPr>
      </w:pPr>
      <w:r>
        <w:rPr>
          <w:color w:val="000000"/>
        </w:rPr>
        <w:t>19.4.4 o período de prestação dos serviços;</w:t>
      </w:r>
    </w:p>
    <w:p>
      <w:pPr>
        <w:pStyle w:val="LOnormal"/>
        <w:spacing w:lineRule="auto" w:line="276" w:before="120" w:after="120"/>
        <w:ind w:left="850" w:hanging="0"/>
        <w:jc w:val="both"/>
        <w:rPr>
          <w:color w:val="000000"/>
        </w:rPr>
      </w:pPr>
      <w:r>
        <w:rPr>
          <w:color w:val="000000"/>
        </w:rPr>
        <w:t>19.4.5 o valor a pagar; e</w:t>
      </w:r>
    </w:p>
    <w:p>
      <w:pPr>
        <w:pStyle w:val="LOnormal"/>
        <w:spacing w:lineRule="auto" w:line="276" w:before="120" w:after="120"/>
        <w:ind w:left="850" w:hanging="0"/>
        <w:jc w:val="both"/>
        <w:rPr>
          <w:color w:val="000000"/>
        </w:rPr>
      </w:pPr>
      <w:r>
        <w:rPr>
          <w:color w:val="000000"/>
        </w:rPr>
        <w:t>19.4.6 eventual destaque do valor de retenções tributárias cabíveis.</w:t>
      </w:r>
    </w:p>
    <w:p>
      <w:pPr>
        <w:pStyle w:val="LOnormal"/>
        <w:spacing w:lineRule="auto" w:line="276" w:before="120" w:after="120"/>
        <w:jc w:val="both"/>
        <w:rPr/>
      </w:pPr>
      <w:r>
        <w:rPr/>
        <w:t xml:space="preserve">19.5 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spacing w:lineRule="auto" w:line="276" w:before="120" w:after="120"/>
        <w:jc w:val="both"/>
        <w:rPr/>
      </w:pPr>
      <w:r>
        <w:rPr/>
        <w:t>19.6 Antes de cada pagamento à contratada, será realizada consulta ao SICAF para verificar a manutenção das condições de habilitação exigidas no edital.</w:t>
      </w:r>
    </w:p>
    <w:p>
      <w:pPr>
        <w:pStyle w:val="LOnormal"/>
        <w:spacing w:lineRule="auto" w:line="276" w:before="120" w:after="120"/>
        <w:jc w:val="both"/>
        <w:rPr/>
      </w:pPr>
      <w:r>
        <w:rPr/>
        <w:t>19.7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spacing w:lineRule="auto" w:line="276" w:before="120" w:after="120"/>
        <w:jc w:val="both"/>
        <w:rPr/>
      </w:pPr>
      <w:r>
        <w:rPr/>
        <w:t>19.8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LOnormal"/>
        <w:spacing w:lineRule="auto" w:line="276" w:before="120" w:after="120"/>
        <w:jc w:val="both"/>
        <w:rPr/>
      </w:pPr>
      <w:r>
        <w:rPr/>
        <w:t>19.9 Persistindo a irregularidade, a contratante deverá adotar as medidas necessárias à rescisão contratual nos autos do processo administrativo correspondente, assegurada à contratada a ampla defesa.</w:t>
      </w:r>
    </w:p>
    <w:p>
      <w:pPr>
        <w:pStyle w:val="LOnormal"/>
        <w:spacing w:lineRule="auto" w:line="276" w:before="120" w:after="120"/>
        <w:jc w:val="both"/>
        <w:rPr/>
      </w:pPr>
      <w:r>
        <w:rPr/>
        <w:t>19.10 Havendo a efetiva execução do objeto, os pagamentos serão realizados normalmente, até que se decida pela rescisão do contrato, caso a contratada não regularize sua situação junto ao SICAF.</w:t>
      </w:r>
    </w:p>
    <w:p>
      <w:pPr>
        <w:pStyle w:val="LOnormal"/>
        <w:spacing w:lineRule="auto" w:line="276" w:before="120" w:after="120"/>
        <w:jc w:val="both"/>
        <w:rPr>
          <w:color w:val="000000"/>
        </w:rPr>
      </w:pPr>
      <w:r>
        <w:rPr>
          <w:color w:val="000000"/>
        </w:rPr>
        <w:t>19.11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Onormal"/>
        <w:spacing w:lineRule="auto" w:line="276" w:before="120" w:after="120"/>
        <w:jc w:val="both"/>
        <w:rPr/>
      </w:pPr>
      <w:r>
        <w:rPr/>
        <w:t>19.12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spacing w:lineRule="auto" w:line="276" w:before="120" w:after="120"/>
        <w:jc w:val="both"/>
        <w:rPr/>
      </w:pPr>
      <w:r>
        <w:rPr/>
        <w:t>19.13 É vedado o pagamento, a qualquer título, por serviços prestados, à empresa privada que tenha em seu quadro societário servidor público da ativa do órgão contratante, com fundamento na Lei de Diretrizes Orçamentárias vigente.</w:t>
      </w:r>
    </w:p>
    <w:p>
      <w:pPr>
        <w:pStyle w:val="LOnormal"/>
        <w:spacing w:lineRule="auto" w:line="276" w:before="120" w:after="120"/>
        <w:jc w:val="both"/>
        <w:rPr/>
      </w:pPr>
      <w:r>
        <w:rPr/>
        <w:t>19.14 Quando do pagamento, será efetuada a retenção tributária prevista na legislação aplicável, em especial a prevista no artigo 31 da Lei 8.212, de 1993, nos termos do item 6 do Anexo XI da IN SEGES/MP n. 5/2017, quando couber.</w:t>
      </w:r>
    </w:p>
    <w:p>
      <w:pPr>
        <w:pStyle w:val="LOnormal"/>
        <w:spacing w:lineRule="auto" w:line="276" w:before="120" w:after="120"/>
        <w:jc w:val="both"/>
        <w:rPr/>
      </w:pPr>
      <w:r>
        <w:rPr/>
        <w:t>19.15 Será considerada data do pagamento o dia em que constar como emitida a ordem bancária para pagamento.</w:t>
      </w:r>
    </w:p>
    <w:p>
      <w:pPr>
        <w:pStyle w:val="LOnormal"/>
        <w:spacing w:lineRule="auto" w:line="276" w:before="120" w:after="120"/>
        <w:jc w:val="both"/>
        <w:rPr/>
      </w:pPr>
      <w:r>
        <w:rPr/>
        <w:t>19.16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141" w:hanging="0"/>
        <w:jc w:val="both"/>
        <w:rPr/>
      </w:pPr>
      <w:r>
        <w:rPr/>
        <w:t>EM = I x N x VP, sendo:</w:t>
      </w:r>
    </w:p>
    <w:p>
      <w:pPr>
        <w:pStyle w:val="LOnormal"/>
        <w:tabs>
          <w:tab w:val="clear" w:pos="720"/>
          <w:tab w:val="left" w:pos="1701" w:leader="none"/>
        </w:tabs>
        <w:spacing w:lineRule="auto" w:line="276"/>
        <w:ind w:left="141" w:hanging="0"/>
        <w:jc w:val="both"/>
        <w:rPr>
          <w:color w:val="000000"/>
        </w:rPr>
      </w:pPr>
      <w:r>
        <w:rPr>
          <w:color w:val="000000"/>
        </w:rPr>
        <w:t>EM = Encargos moratórios;</w:t>
      </w:r>
    </w:p>
    <w:p>
      <w:pPr>
        <w:pStyle w:val="LOnormal"/>
        <w:tabs>
          <w:tab w:val="clear" w:pos="720"/>
          <w:tab w:val="left" w:pos="1701" w:leader="none"/>
        </w:tabs>
        <w:spacing w:lineRule="auto" w:line="276"/>
        <w:ind w:left="141" w:hanging="0"/>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141" w:hanging="0"/>
        <w:jc w:val="both"/>
        <w:rPr>
          <w:color w:val="000000"/>
        </w:rPr>
      </w:pPr>
      <w:r>
        <w:rPr>
          <w:color w:val="000000"/>
        </w:rPr>
        <w:t>VP = Valor da parcela a ser paga.</w:t>
      </w:r>
    </w:p>
    <w:p>
      <w:pPr>
        <w:pStyle w:val="LOnormal"/>
        <w:tabs>
          <w:tab w:val="clear" w:pos="720"/>
          <w:tab w:val="left" w:pos="1701" w:leader="none"/>
        </w:tabs>
        <w:spacing w:lineRule="auto" w:line="276"/>
        <w:ind w:left="141" w:hanging="0"/>
        <w:jc w:val="both"/>
        <w:rPr>
          <w:color w:val="000000"/>
        </w:rPr>
      </w:pPr>
      <w:r>
        <w:rPr>
          <w:color w:val="000000"/>
        </w:rPr>
        <w:t>I = Índice de compensação financeira = 0,00016438, assim apurado:</w:t>
      </w:r>
    </w:p>
    <w:tbl>
      <w:tblPr>
        <w:tblStyle w:val="TableNormal"/>
        <w:tblW w:w="8647" w:type="dxa"/>
        <w:jc w:val="left"/>
        <w:tblInd w:w="528" w:type="dxa"/>
        <w:tblLayout w:type="fixed"/>
        <w:tblCellMar>
          <w:top w:w="0" w:type="dxa"/>
          <w:left w:w="108" w:type="dxa"/>
          <w:bottom w:w="0" w:type="dxa"/>
          <w:right w:w="108" w:type="dxa"/>
        </w:tblCellMar>
        <w:tblLook w:firstRow="0" w:noVBand="0" w:lastRow="0" w:firstColumn="0" w:lastColumn="0" w:noHBand="0" w:val="0000"/>
      </w:tblPr>
      <w:tblGrid>
        <w:gridCol w:w="2147"/>
        <w:gridCol w:w="441"/>
        <w:gridCol w:w="1247"/>
        <w:gridCol w:w="4811"/>
      </w:tblGrid>
      <w:tr>
        <w:trPr/>
        <w:tc>
          <w:tcPr>
            <w:tcW w:w="2147"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(TX)</w:t>
            </w:r>
          </w:p>
        </w:tc>
        <w:tc>
          <w:tcPr>
            <w:tcW w:w="44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w:t>
            </w:r>
          </w:p>
        </w:tc>
        <w:tc>
          <w:tcPr>
            <w:tcW w:w="1247" w:type="dxa"/>
            <w:tcBorders>
              <w:bottom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( 6 / 100 )</w:t>
            </w:r>
          </w:p>
        </w:tc>
        <w:tc>
          <w:tcPr>
            <w:tcW w:w="481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0,00016438</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TX = Percentual da taxa anual = 6%</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color w:val="000000"/>
              </w:rPr>
            </w:r>
          </w:p>
        </w:tc>
      </w:tr>
      <w:tr>
        <w:trPr/>
        <w:tc>
          <w:tcPr>
            <w:tcW w:w="2147"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44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1247" w:type="dxa"/>
            <w:tcBorders>
              <w:top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365</w:t>
            </w:r>
          </w:p>
        </w:tc>
        <w:tc>
          <w:tcPr>
            <w:tcW w:w="481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r>
    </w:tbl>
    <w:p>
      <w:pPr>
        <w:pStyle w:val="LOnormal"/>
        <w:keepNext w:val="true"/>
        <w:keepLines/>
        <w:spacing w:lineRule="auto" w:line="276" w:before="480" w:after="0"/>
        <w:jc w:val="both"/>
        <w:rPr>
          <w:b/>
          <w:b/>
          <w:color w:val="000000"/>
        </w:rPr>
      </w:pPr>
      <w:r>
        <w:rPr>
          <w:b/>
          <w:color w:val="000000"/>
        </w:rPr>
        <w:t>20. DO PAGAMENTO PELO FATO GERADOR</w:t>
      </w:r>
    </w:p>
    <w:p>
      <w:pPr>
        <w:pStyle w:val="LOnormal"/>
        <w:spacing w:lineRule="auto" w:line="276" w:before="120" w:after="120"/>
        <w:jc w:val="both"/>
        <w:rPr>
          <w:color w:val="000000"/>
        </w:rPr>
      </w:pPr>
      <w:r>
        <w:rPr>
          <w:color w:val="000000"/>
        </w:rPr>
        <w:t>20.1 No caso do Pagamento pelo Fato Gerador, os órgãos e entidades deverão adotar os seguintes procedimentos:</w:t>
      </w:r>
    </w:p>
    <w:p>
      <w:pPr>
        <w:pStyle w:val="LOnormal"/>
        <w:spacing w:lineRule="auto" w:line="276" w:before="120" w:after="120"/>
        <w:ind w:left="141" w:hanging="0"/>
        <w:jc w:val="both"/>
        <w:rPr>
          <w:color w:val="000000"/>
        </w:rPr>
      </w:pPr>
      <w:r>
        <w:rPr>
          <w:color w:val="000000"/>
        </w:rPr>
        <w:t>a) Serão objeto de pagamento mensal pela Administração à Contratada o somatório dos seguintes módulos que compõem a planilha de custos e formação de preços, disposta no Anexo VII-D:</w:t>
      </w:r>
    </w:p>
    <w:p>
      <w:pPr>
        <w:pStyle w:val="LOnormal"/>
        <w:spacing w:lineRule="auto" w:line="276" w:before="120" w:after="120"/>
        <w:ind w:left="141" w:hanging="0"/>
        <w:jc w:val="both"/>
        <w:rPr>
          <w:color w:val="000000"/>
        </w:rPr>
      </w:pPr>
      <w:r>
        <w:rPr>
          <w:color w:val="000000"/>
        </w:rPr>
        <w:t>1. Módulo 1: Composição da Remuneração;</w:t>
      </w:r>
    </w:p>
    <w:p>
      <w:pPr>
        <w:pStyle w:val="LOnormal"/>
        <w:spacing w:lineRule="auto" w:line="276" w:before="120" w:after="120"/>
        <w:ind w:left="141" w:hanging="0"/>
        <w:jc w:val="both"/>
        <w:rPr>
          <w:color w:val="000000"/>
        </w:rPr>
      </w:pPr>
      <w:r>
        <w:rPr>
          <w:color w:val="000000"/>
        </w:rPr>
        <w:t>2. Submódulo 2.2: Encargos Previdenciários e FGTS;</w:t>
      </w:r>
    </w:p>
    <w:p>
      <w:pPr>
        <w:pStyle w:val="LOnormal"/>
        <w:spacing w:lineRule="auto" w:line="276" w:before="120" w:after="120"/>
        <w:ind w:left="141" w:hanging="0"/>
        <w:jc w:val="both"/>
        <w:rPr>
          <w:color w:val="000000"/>
        </w:rPr>
      </w:pPr>
      <w:r>
        <w:rPr>
          <w:color w:val="000000"/>
        </w:rPr>
        <w:t>3. Submódulo 2.3: Benefícios Mensais e Diários;</w:t>
      </w:r>
    </w:p>
    <w:p>
      <w:pPr>
        <w:pStyle w:val="LOnormal"/>
        <w:spacing w:lineRule="auto" w:line="276" w:before="120" w:after="120"/>
        <w:ind w:left="141" w:hanging="0"/>
        <w:jc w:val="both"/>
        <w:rPr>
          <w:color w:val="000000"/>
        </w:rPr>
      </w:pPr>
      <w:r>
        <w:rPr>
          <w:color w:val="000000"/>
        </w:rPr>
        <w:t>4. Submódulo 4.2: Substituto na Intrajornada;</w:t>
      </w:r>
    </w:p>
    <w:p>
      <w:pPr>
        <w:pStyle w:val="LOnormal"/>
        <w:spacing w:lineRule="auto" w:line="276" w:before="120" w:after="120"/>
        <w:ind w:left="141" w:hanging="0"/>
        <w:jc w:val="both"/>
        <w:rPr>
          <w:color w:val="000000"/>
        </w:rPr>
      </w:pPr>
      <w:r>
        <w:rPr>
          <w:color w:val="000000"/>
        </w:rPr>
        <w:t>5. Módulo 5: Insumos; e</w:t>
      </w:r>
    </w:p>
    <w:p>
      <w:pPr>
        <w:pStyle w:val="LOnormal"/>
        <w:spacing w:lineRule="auto" w:line="276" w:before="120" w:after="120"/>
        <w:ind w:left="141" w:hanging="0"/>
        <w:jc w:val="both"/>
        <w:rPr>
          <w:color w:val="000000"/>
        </w:rPr>
      </w:pPr>
      <w:r>
        <w:rPr>
          <w:color w:val="000000"/>
        </w:rPr>
        <w:t>6. Módulo 6: Custos Indiretos, Tributos e Lucro (CITL), que será calculado tendo por base as alíneas acima.</w:t>
      </w:r>
    </w:p>
    <w:p>
      <w:pPr>
        <w:pStyle w:val="LOnormal"/>
        <w:spacing w:lineRule="auto" w:line="276" w:before="120" w:after="120"/>
        <w:ind w:left="141" w:hanging="0"/>
        <w:jc w:val="both"/>
        <w:rPr>
          <w:color w:val="000000"/>
        </w:rPr>
      </w:pPr>
      <w:r>
        <w:rPr>
          <w:color w:val="000000"/>
        </w:rPr>
        <w:t>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w:t>
      </w:r>
    </w:p>
    <w:p>
      <w:pPr>
        <w:pStyle w:val="LOnormal"/>
        <w:spacing w:lineRule="auto" w:line="276" w:before="120" w:after="120"/>
        <w:ind w:left="141" w:hanging="0"/>
        <w:jc w:val="both"/>
        <w:rPr>
          <w:color w:val="000000"/>
        </w:rPr>
      </w:pPr>
      <w:r>
        <w:rPr>
          <w:color w:val="000000"/>
        </w:rPr>
        <w:t>c) As verbas discriminadas na forma da alínea “b” acima somente serão liberadas nas seguintes condições:</w:t>
      </w:r>
    </w:p>
    <w:p>
      <w:pPr>
        <w:pStyle w:val="LOnormal"/>
        <w:spacing w:lineRule="auto" w:line="276" w:before="120" w:after="120"/>
        <w:ind w:left="141" w:hanging="0"/>
        <w:jc w:val="both"/>
        <w:rPr>
          <w:color w:val="000000"/>
        </w:rPr>
      </w:pPr>
      <w:r>
        <w:rPr>
          <w:color w:val="000000"/>
        </w:rPr>
        <w:t>c.1. pelo valor correspondente ao 13º (décimo terceiro) salário dos empregados vinculados ao contrato, quando devido;</w:t>
      </w:r>
    </w:p>
    <w:p>
      <w:pPr>
        <w:pStyle w:val="LOnormal"/>
        <w:spacing w:lineRule="auto" w:line="276" w:before="120" w:after="120"/>
        <w:ind w:left="141" w:hanging="0"/>
        <w:jc w:val="both"/>
        <w:rPr>
          <w:color w:val="000000"/>
        </w:rPr>
      </w:pPr>
      <w:r>
        <w:rPr>
          <w:color w:val="000000"/>
        </w:rPr>
        <w:t>c.2. pelo valor correspondente às férias e a 1/3 (um terço) de férias previsto na Constituição, quando do gozo de férias pelos empregados vinculados ao contrato;</w:t>
      </w:r>
    </w:p>
    <w:p>
      <w:pPr>
        <w:pStyle w:val="LOnormal"/>
        <w:spacing w:lineRule="auto" w:line="276" w:before="120" w:after="120"/>
        <w:ind w:left="141" w:hanging="0"/>
        <w:jc w:val="both"/>
        <w:rPr>
          <w:color w:val="000000"/>
        </w:rPr>
      </w:pPr>
      <w:r>
        <w:rPr>
          <w:color w:val="000000"/>
        </w:rPr>
        <w:t>c.3. pelo valor correspondente ao 13º (décimo terceiro) salário proporcional, férias proporcionais e à indenização compensatória porventura devida sobre o FGTS, quando da dispensa de empregado vinculado ao contrato;</w:t>
      </w:r>
    </w:p>
    <w:p>
      <w:pPr>
        <w:pStyle w:val="LOnormal"/>
        <w:spacing w:lineRule="auto" w:line="276" w:before="120" w:after="120"/>
        <w:ind w:left="141" w:hanging="0"/>
        <w:jc w:val="both"/>
        <w:rPr>
          <w:color w:val="000000"/>
        </w:rPr>
      </w:pPr>
      <w:r>
        <w:rPr>
          <w:color w:val="000000"/>
        </w:rPr>
        <w:t>c.4. pelos valores correspondentes às ausências legais efetivamente ocorridas dos empregados vinculados ao contrato; e</w:t>
      </w:r>
    </w:p>
    <w:p>
      <w:pPr>
        <w:pStyle w:val="LOnormal"/>
        <w:spacing w:lineRule="auto" w:line="276" w:before="120" w:after="120"/>
        <w:ind w:left="141" w:hanging="0"/>
        <w:jc w:val="both"/>
        <w:rPr>
          <w:color w:val="000000"/>
        </w:rPr>
      </w:pPr>
      <w:r>
        <w:rPr>
          <w:color w:val="000000"/>
        </w:rPr>
        <w:t>c.5. outras de evento futuro e incerto, após efetivamente ocorridas, pelos seus valores correspondentes.</w:t>
      </w:r>
    </w:p>
    <w:p>
      <w:pPr>
        <w:pStyle w:val="LOnormal"/>
        <w:spacing w:lineRule="auto" w:line="276" w:before="120" w:after="120"/>
        <w:jc w:val="both"/>
        <w:rPr>
          <w:color w:val="000000"/>
        </w:rPr>
      </w:pPr>
      <w:r>
        <w:rPr>
          <w:color w:val="000000"/>
        </w:rPr>
        <w:t>20.2 A não ocorrência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LOnormal"/>
        <w:keepNext w:val="true"/>
        <w:keepLines/>
        <w:spacing w:lineRule="auto" w:line="276" w:before="480" w:after="0"/>
        <w:jc w:val="both"/>
        <w:rPr>
          <w:color w:val="000000"/>
        </w:rPr>
      </w:pPr>
      <w:r>
        <w:rPr>
          <w:b/>
          <w:color w:val="000000"/>
        </w:rPr>
        <w:t>21. DO REAJUSTAMENTO DE PREÇOS EM SENTIDO AMPLO (REPACTUAÇÃO)</w:t>
      </w:r>
    </w:p>
    <w:p>
      <w:pPr>
        <w:pStyle w:val="LOnormal"/>
        <w:spacing w:lineRule="auto" w:line="276" w:before="120" w:after="120"/>
        <w:jc w:val="both"/>
        <w:rPr>
          <w:color w:val="000000"/>
        </w:rPr>
      </w:pPr>
      <w:r>
        <w:rPr>
          <w:color w:val="000000"/>
        </w:rPr>
        <w:t xml:space="preserve">21.1 </w:t>
      </w:r>
      <w:r>
        <w:rPr>
          <w:rFonts w:eastAsia="Arial" w:cs="Arial"/>
          <w:color w:val="000000"/>
          <w:kern w:val="0"/>
          <w:sz w:val="20"/>
          <w:szCs w:val="20"/>
          <w:lang w:val="pt-BR" w:eastAsia="zh-CN" w:bidi="hi-IN"/>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pPr>
        <w:pStyle w:val="LOnormal"/>
        <w:spacing w:lineRule="auto" w:line="276" w:before="120" w:after="120"/>
        <w:jc w:val="both"/>
        <w:rPr>
          <w:color w:val="000000"/>
        </w:rPr>
      </w:pPr>
      <w:r>
        <w:rPr>
          <w:color w:val="000000"/>
        </w:rPr>
        <w:t>21.2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LOnormal"/>
        <w:spacing w:lineRule="auto" w:line="276" w:before="120" w:after="120"/>
        <w:jc w:val="both"/>
        <w:rPr>
          <w:color w:val="000000"/>
        </w:rPr>
      </w:pPr>
      <w:r>
        <w:rPr>
          <w:color w:val="000000"/>
        </w:rPr>
        <w:t>21.3 A repactuação para reajuste do contrato em razão de novo Acordo, Convenção ou Dissídio Coletivo de Trabalho deve repassar integralmente o aumento de custos da mão de obra decorrente desses instrumentos.</w:t>
      </w:r>
    </w:p>
    <w:p>
      <w:pPr>
        <w:pStyle w:val="LOnormal"/>
        <w:spacing w:lineRule="auto" w:line="276" w:before="120" w:after="120"/>
        <w:jc w:val="both"/>
        <w:rPr>
          <w:color w:val="000000"/>
        </w:rPr>
      </w:pPr>
      <w:r>
        <w:rPr>
          <w:color w:val="000000"/>
        </w:rPr>
        <w:t>21.4 O interregno mínimo de 1 (um) ano para a primeira repactuação será contado:</w:t>
      </w:r>
    </w:p>
    <w:p>
      <w:pPr>
        <w:pStyle w:val="LOnormal"/>
        <w:spacing w:lineRule="auto" w:line="276" w:before="120" w:after="120"/>
        <w:jc w:val="both"/>
        <w:rPr>
          <w:color w:val="000000"/>
        </w:rPr>
      </w:pPr>
      <w:r>
        <w:rPr>
          <w:color w:val="000000"/>
        </w:rPr>
        <w:t>21.5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r>
        <w:rPr>
          <w:color w:val="000000"/>
          <w:sz w:val="20"/>
          <w:szCs w:val="20"/>
        </w:rPr>
        <w:t>,</w:t>
      </w:r>
      <w:r>
        <w:rPr>
          <w:b/>
          <w:bCs/>
          <w:color w:val="000000"/>
          <w:sz w:val="20"/>
          <w:szCs w:val="20"/>
          <w:u w:val="single"/>
        </w:rPr>
        <w:t xml:space="preserve"> apenas para o custo com </w:t>
      </w:r>
      <w:r>
        <w:rPr>
          <w:b/>
          <w:bCs/>
          <w:i w:val="false"/>
          <w:strike w:val="false"/>
          <w:dstrike w:val="false"/>
          <w:outline w:val="false"/>
          <w:shadow w:val="false"/>
          <w:color w:val="000000"/>
          <w:sz w:val="20"/>
          <w:szCs w:val="20"/>
          <w:u w:val="single"/>
          <w:em w:val="none"/>
        </w:rPr>
        <w:t>Auxílio-Refeição/Alimentação – Subm</w:t>
      </w:r>
      <w:r>
        <w:rPr>
          <w:b/>
          <w:i w:val="false"/>
          <w:strike w:val="false"/>
          <w:dstrike w:val="false"/>
          <w:outline w:val="false"/>
          <w:shadow w:val="false"/>
          <w:color w:val="000000"/>
          <w:sz w:val="20"/>
          <w:szCs w:val="20"/>
          <w:u w:val="single"/>
          <w:em w:val="none"/>
        </w:rPr>
        <w:t>ódulo 2.3 – Benefícios Mensais e Diários, pois este beneficio foi cotado com base em Convenção Coletiva de Trabalho.</w:t>
      </w:r>
    </w:p>
    <w:p>
      <w:pPr>
        <w:pStyle w:val="LOnormal"/>
        <w:widowControl/>
        <w:suppressAutoHyphens w:val="true"/>
        <w:bidi w:val="0"/>
        <w:spacing w:lineRule="auto" w:line="276" w:before="120" w:after="120"/>
        <w:ind w:left="0" w:right="0" w:hanging="0"/>
        <w:jc w:val="both"/>
        <w:rPr/>
      </w:pPr>
      <w:r>
        <w:rPr>
          <w:b/>
          <w:bCs/>
          <w:color w:val="000000"/>
          <w:highlight w:val="white"/>
          <w:u w:val="single"/>
        </w:rPr>
        <w:t>21.6 Para os custos relativos a REMUNERAÇÃO DOS EMPREGADOS (Módulo I da Planilha de Custos e Formação de Preços): a partir da data limite para apresentação das propostas, constante do Edital. Considerando a ausência do registro de acordos, dissídios ou convenção coletiva de trabalho para as categorias profissionais relativos a esta contratação.</w:t>
      </w:r>
    </w:p>
    <w:p>
      <w:pPr>
        <w:pStyle w:val="LOnormal"/>
        <w:widowControl/>
        <w:suppressAutoHyphens w:val="true"/>
        <w:bidi w:val="0"/>
        <w:spacing w:lineRule="auto" w:line="276" w:before="120" w:after="120"/>
        <w:ind w:left="964" w:right="0" w:hanging="0"/>
        <w:jc w:val="both"/>
        <w:rPr/>
      </w:pPr>
      <w:r>
        <w:rPr>
          <w:b/>
          <w:bCs/>
          <w:color w:val="000000"/>
          <w:highlight w:val="white"/>
          <w:u w:val="single"/>
        </w:rPr>
        <w:t xml:space="preserve">21.6.1 No caso do subitem acima a CONTRATADA efetuará a comprovação da variação dos custos com remuneração por meio de Planilha de Custos e Formação de Preços, acompanhada da apresentação do novo acordo, dissídio ou convenção coletiva da categoria profissional, se houver, abrangida pelo contrato, ou na ausência desta, demonstrações/relatórios de preços obtidos do mercado ou ainda aqueles divulgados em sites especializado como o salário.com.br e o dissidio.com.br. </w:t>
      </w:r>
    </w:p>
    <w:p>
      <w:pPr>
        <w:pStyle w:val="LOnormal"/>
        <w:spacing w:lineRule="auto" w:line="276" w:before="120" w:after="120"/>
        <w:ind w:left="2160" w:hanging="0"/>
        <w:jc w:val="both"/>
        <w:rPr>
          <w:color w:val="000000"/>
        </w:rPr>
      </w:pPr>
      <w:r>
        <w:rPr>
          <w:b/>
          <w:bCs/>
          <w:color w:val="000000"/>
          <w:highlight w:val="white"/>
          <w:u w:val="single"/>
        </w:rPr>
        <w:t>21.6.1.1 O IFSertãoPE, em paralelo, realizará pesquisa de preço de mercado a fim de aferir os preços apresentados pela contratada que se refere ao novo valor da remuneração utilizando preços públicos vigentes, reajustados no mesmo exercício em que se solicita a repactuação e o valor do salário atualizado disponível no site salário.com.br ou em outros sites especializados, utilizando-se como parâmetro a média ou mediana, conforme INSTRUÇÃO NORMATIVA Nº 73, DE 5 DE AGOSTO DE 2020.</w:t>
      </w:r>
    </w:p>
    <w:p>
      <w:pPr>
        <w:pStyle w:val="LOnormal"/>
        <w:spacing w:lineRule="auto" w:line="276" w:before="120" w:after="120"/>
        <w:ind w:left="2160" w:hanging="0"/>
        <w:jc w:val="both"/>
        <w:rPr>
          <w:color w:val="000000"/>
        </w:rPr>
      </w:pPr>
      <w:r>
        <w:rPr>
          <w:b/>
          <w:bCs/>
          <w:color w:val="000000"/>
          <w:highlight w:val="white"/>
          <w:u w:val="single"/>
        </w:rPr>
        <w:t xml:space="preserve">21.6.1.2. No caso de os preços apresentados pela empresa forem considerados superestimados, a partir da análise realizada pelo IFSertãPE, o pedido será provisoriamente rejeitado e ficará suspenso a até que a contratada apresente a planilha com os valores dentro da realidade do mercado.  </w:t>
      </w:r>
    </w:p>
    <w:p>
      <w:pPr>
        <w:pStyle w:val="LOnormal"/>
        <w:spacing w:lineRule="auto" w:line="276" w:before="120" w:after="120"/>
        <w:ind w:left="2160" w:hanging="0"/>
        <w:jc w:val="both"/>
        <w:rPr>
          <w:color w:val="000000"/>
        </w:rPr>
      </w:pPr>
      <w:r>
        <w:rPr>
          <w:b/>
          <w:bCs/>
          <w:color w:val="000000"/>
          <w:highlight w:val="white"/>
          <w:u w:val="single"/>
        </w:rPr>
        <w:t>26.6.1.3 A pesquisa de preços para aferir os preços apresentados pela contratada será realizada após o pedido de repactuação da Contratada.</w:t>
      </w:r>
    </w:p>
    <w:p>
      <w:pPr>
        <w:pStyle w:val="LOnormal"/>
        <w:spacing w:lineRule="auto" w:line="276" w:before="120" w:after="120"/>
        <w:jc w:val="both"/>
        <w:rPr/>
      </w:pPr>
      <w:r>
        <w:rPr>
          <w:color w:val="000000"/>
        </w:rPr>
        <w:t>21.7 Para os insumos discriminados na Planilha de Custos e Formação de Preços que estejam diretamente vinculados ao valor de preço público (tarifa): data do reajuste do preço público vigente à época da apresentação da proposta;</w:t>
      </w:r>
    </w:p>
    <w:p>
      <w:pPr>
        <w:pStyle w:val="LOnormal"/>
        <w:spacing w:lineRule="auto" w:line="276" w:before="120" w:after="120"/>
        <w:jc w:val="both"/>
        <w:rPr>
          <w:color w:val="000000"/>
        </w:rPr>
      </w:pPr>
      <w:r>
        <w:rPr>
          <w:color w:val="000000"/>
        </w:rPr>
        <w:t>21.8 Para os demais custos, sujeitos à variação de preços do mercado (insumos não decorrentes da mão de obra): a partir da data limite para apresentação das propostas, constante do Edital.</w:t>
      </w:r>
    </w:p>
    <w:p>
      <w:pPr>
        <w:pStyle w:val="LOnormal"/>
        <w:spacing w:lineRule="auto" w:line="276" w:before="120" w:after="120"/>
        <w:jc w:val="both"/>
        <w:rPr/>
      </w:pPr>
      <w:r>
        <w:rPr>
          <w:color w:val="000000"/>
        </w:rPr>
        <w:t xml:space="preserve">21.9 Nas repactuações subsequentes à primeira, a anualidade será contada a partir da data do fato gerador que deu ensejo à última repactuação, independentemente daquela em que celebrada ou apostilada, ou seja, </w:t>
      </w:r>
      <w:r>
        <w:rPr>
          <w:rFonts w:eastAsia="Arial" w:cs="Arial"/>
          <w:color w:val="000000"/>
          <w:kern w:val="0"/>
          <w:sz w:val="20"/>
          <w:szCs w:val="20"/>
          <w:lang w:val="pt-BR" w:eastAsia="zh-CN" w:bidi="hi-IN"/>
        </w:rPr>
        <w:t>o interregno de um ano será computado da última repactuação correspondente à mesma parcela objeto de nova solicitação. Entende-se como última repactuação, a data em que iniciados seus efeitos financeiros, independentemente daquela em que celebrada ou apostilada.</w:t>
      </w:r>
    </w:p>
    <w:p>
      <w:pPr>
        <w:pStyle w:val="LOnormal"/>
        <w:spacing w:lineRule="auto" w:line="276" w:before="120" w:after="120"/>
        <w:jc w:val="both"/>
        <w:rPr/>
      </w:pPr>
      <w:r>
        <w:rPr>
          <w:color w:val="000000"/>
        </w:rPr>
        <w:t>21.10 As repactuações a que a Contratada fizer jus e que não forem solicitadas durante a vigência do contrato serão objeto de preclusão com a assinatura da prorrogação contratual ou com o encerramento do contrato.</w:t>
      </w:r>
    </w:p>
    <w:p>
      <w:pPr>
        <w:pStyle w:val="LOnormal"/>
        <w:spacing w:lineRule="auto" w:line="276" w:before="120" w:after="120"/>
        <w:jc w:val="both"/>
        <w:rPr/>
      </w:pPr>
      <w:r>
        <w:rPr>
          <w:color w:val="000000"/>
        </w:rPr>
        <w:t>21.11 Nessas condições, se a vigência do contrato tiver sido prorrogada, nova repactuação só poderá ser pleiteada após o decurso de novo interregno mínimo de 1 (um) ano, contado:</w:t>
      </w:r>
    </w:p>
    <w:p>
      <w:pPr>
        <w:pStyle w:val="LOnormal"/>
        <w:spacing w:lineRule="auto" w:line="276" w:before="120" w:after="120"/>
        <w:ind w:left="992" w:hanging="0"/>
        <w:jc w:val="both"/>
        <w:rPr/>
      </w:pPr>
      <w:r>
        <w:rPr>
          <w:color w:val="000000"/>
        </w:rPr>
        <w:t>21.11.1  da vigência do acordo, dissídio ou convenção coletiva anterior, em relação aos custos decorrentes de mão de obra;</w:t>
      </w:r>
    </w:p>
    <w:p>
      <w:pPr>
        <w:pStyle w:val="LOnormal"/>
        <w:spacing w:lineRule="auto" w:line="276" w:before="120" w:after="120"/>
        <w:ind w:left="992" w:hanging="0"/>
        <w:jc w:val="both"/>
        <w:rPr/>
      </w:pPr>
      <w:r>
        <w:rPr>
          <w:color w:val="000000"/>
        </w:rPr>
        <w:t>21.11.2 da data do último reajuste do preço público vigente, para os insumos discriminados na planilha de custos e formação de preços que estejam diretamente vinculados ao valor de preço público (tarifa);</w:t>
      </w:r>
    </w:p>
    <w:p>
      <w:pPr>
        <w:pStyle w:val="LOnormal"/>
        <w:spacing w:lineRule="auto" w:line="276" w:before="120" w:after="120"/>
        <w:ind w:left="992" w:hanging="0"/>
        <w:jc w:val="both"/>
        <w:rPr/>
      </w:pPr>
      <w:r>
        <w:rPr>
          <w:color w:val="000000"/>
        </w:rPr>
        <w:t>21.11.3 do dia em que se completou um ou mais anos da apresentação da proposta, em relação aos custos sujeitos à variação de preços do mercado;</w:t>
      </w:r>
    </w:p>
    <w:p>
      <w:pPr>
        <w:pStyle w:val="LOnormal"/>
        <w:spacing w:lineRule="auto" w:line="276" w:before="120" w:after="120"/>
        <w:jc w:val="both"/>
        <w:rPr/>
      </w:pPr>
      <w:r>
        <w:rPr>
          <w:color w:val="000000"/>
        </w:rPr>
        <w:t>21.12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pPr>
        <w:pStyle w:val="LOnormal"/>
        <w:spacing w:lineRule="auto" w:line="276" w:before="120" w:after="120"/>
        <w:jc w:val="both"/>
        <w:rPr/>
      </w:pPr>
      <w:r>
        <w:rPr>
          <w:color w:val="000000"/>
        </w:rPr>
        <w:t>21.13 Quando a contratação envolver mais de uma categoria profissional, com datas base diferenciadas, a repactuação deverá ser dividida em tantas parcelas quantos forem os acordos, dissídios ou convenções coletivas das categorias envolvidas na contratação.</w:t>
      </w:r>
    </w:p>
    <w:p>
      <w:pPr>
        <w:pStyle w:val="LOnormal"/>
        <w:spacing w:lineRule="auto" w:line="276" w:before="120" w:after="120"/>
        <w:jc w:val="both"/>
        <w:rPr/>
      </w:pPr>
      <w:r>
        <w:rPr>
          <w:color w:val="000000"/>
        </w:rPr>
        <w:t xml:space="preserve">21.14 É vedada a inclusão, por ocasião da repactuação, de benefícios não previstos na proposta inicial, exceto quando se tornarem obrigatórios por força de instrumento legal, sentença normativa, Acordo, Convenção e Dissídio Coletivo de Trabalho.  </w:t>
      </w:r>
    </w:p>
    <w:p>
      <w:pPr>
        <w:pStyle w:val="LOnormal"/>
        <w:spacing w:lineRule="auto" w:line="276" w:before="120" w:after="120"/>
        <w:jc w:val="both"/>
        <w:rPr/>
      </w:pPr>
      <w:r>
        <w:rPr>
          <w:color w:val="000000"/>
        </w:rPr>
        <w:t>21.15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jc w:val="both"/>
        <w:rPr/>
      </w:pPr>
      <w:r>
        <w:rPr>
          <w:color w:val="000000"/>
        </w:rPr>
        <w:t>21.16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pPr>
        <w:pStyle w:val="LOnormal"/>
        <w:spacing w:lineRule="auto" w:line="276" w:before="120" w:after="120"/>
        <w:jc w:val="both"/>
        <w:rPr/>
      </w:pPr>
      <w:r>
        <w:rPr>
          <w:color w:val="000000"/>
        </w:rPr>
        <w:t>21.17 Quando a repactuação solicitada pela CONTRATADA se referir aos custos sujeitos à variação dos preços de mercado (insumos não decorrentes da mão de obra), o respectivo aumento será apurado mediante a aplicação do índice de</w:t>
      </w:r>
      <w:r>
        <w:rPr>
          <w:color w:val="000000"/>
          <w:highlight w:val="white"/>
        </w:rPr>
        <w:t xml:space="preserve"> reajustamento IPCA/IBGE, </w:t>
      </w:r>
      <w:r>
        <w:rPr>
          <w:color w:val="000000"/>
        </w:rPr>
        <w:t>com base na seguinte fórmula (art. 5º do Decreto n.º 1.054, de 1994):</w:t>
      </w:r>
    </w:p>
    <w:p>
      <w:pPr>
        <w:pStyle w:val="LOnormal"/>
        <w:spacing w:lineRule="auto" w:line="276" w:before="120" w:after="120"/>
        <w:ind w:left="141" w:hanging="0"/>
        <w:jc w:val="both"/>
        <w:rPr/>
      </w:pPr>
      <w:r>
        <w:rPr>
          <w:color w:val="000000"/>
        </w:rPr>
        <w:t>R = V (I – Iº) / Iº, onde:</w:t>
      </w:r>
    </w:p>
    <w:p>
      <w:pPr>
        <w:pStyle w:val="LOnormal"/>
        <w:spacing w:lineRule="auto" w:line="276" w:before="120" w:after="120"/>
        <w:ind w:left="141" w:hanging="0"/>
        <w:jc w:val="both"/>
        <w:rPr/>
      </w:pPr>
      <w:r>
        <w:rPr>
          <w:color w:val="000000"/>
        </w:rPr>
        <w:t>R = Valor do reajuste procurado;</w:t>
      </w:r>
    </w:p>
    <w:p>
      <w:pPr>
        <w:pStyle w:val="LOnormal"/>
        <w:spacing w:lineRule="auto" w:line="276" w:before="120" w:after="120"/>
        <w:ind w:left="141" w:hanging="0"/>
        <w:jc w:val="both"/>
        <w:rPr/>
      </w:pPr>
      <w:r>
        <w:rPr>
          <w:color w:val="000000"/>
        </w:rPr>
        <w:t>V = Valor contratual correspondente à parcela dos insumos a ser reajustada;</w:t>
      </w:r>
    </w:p>
    <w:p>
      <w:pPr>
        <w:pStyle w:val="LOnormal"/>
        <w:spacing w:lineRule="auto" w:line="276" w:before="120" w:after="120"/>
        <w:ind w:left="141" w:hanging="0"/>
        <w:jc w:val="both"/>
        <w:rPr/>
      </w:pPr>
      <w:r>
        <w:rPr>
          <w:color w:val="000000"/>
          <w:highlight w:val="white"/>
        </w:rPr>
        <w:t>Iº = índice inicial - refere-se ao índice de custos ou de preços correspondente à data fixada para entrega da proposta da licitação;</w:t>
      </w:r>
    </w:p>
    <w:p>
      <w:pPr>
        <w:pStyle w:val="LOnormal"/>
        <w:spacing w:lineRule="auto" w:line="276" w:before="120" w:after="120"/>
        <w:ind w:left="141" w:hanging="0"/>
        <w:jc w:val="both"/>
        <w:rPr/>
      </w:pPr>
      <w:r>
        <w:rPr>
          <w:color w:val="000000"/>
          <w:highlight w:val="white"/>
        </w:rPr>
        <w:t>I = Índice relativo ao mês do reajustamento;</w:t>
      </w:r>
    </w:p>
    <w:p>
      <w:pPr>
        <w:pStyle w:val="LOnormal"/>
        <w:spacing w:lineRule="auto" w:line="276" w:before="120" w:after="120"/>
        <w:ind w:left="992" w:hanging="0"/>
        <w:jc w:val="both"/>
        <w:rPr/>
      </w:pPr>
      <w:r>
        <w:rPr>
          <w:color w:val="000000"/>
        </w:rPr>
        <w:t>21.17.1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LOnormal"/>
        <w:spacing w:lineRule="auto" w:line="276" w:before="120" w:after="120"/>
        <w:ind w:left="992" w:hanging="0"/>
        <w:jc w:val="both"/>
        <w:rPr/>
      </w:pPr>
      <w:r>
        <w:rPr>
          <w:color w:val="000000"/>
        </w:rPr>
        <w:t>21.17.2 Nas aferições finais, o índice utilizado para a repactuação dos insumos será, obrigatoriamente, o definitivo.</w:t>
      </w:r>
    </w:p>
    <w:p>
      <w:pPr>
        <w:pStyle w:val="LOnormal"/>
        <w:spacing w:lineRule="auto" w:line="276" w:before="120" w:after="120"/>
        <w:ind w:left="992" w:hanging="0"/>
        <w:jc w:val="both"/>
        <w:rPr/>
      </w:pPr>
      <w:r>
        <w:rPr>
          <w:color w:val="000000"/>
        </w:rPr>
        <w:t>21.17.3 Caso o índice estabelecido para a repactuação de insumos venha a ser extinto ou de qualquer forma não possa mais ser utilizado, será adotado, em substituição, o que vier a ser determinado pela legislação então em vigor.</w:t>
      </w:r>
    </w:p>
    <w:p>
      <w:pPr>
        <w:pStyle w:val="LOnormal"/>
        <w:spacing w:lineRule="auto" w:line="276" w:before="120" w:after="120"/>
        <w:ind w:left="992" w:hanging="0"/>
        <w:jc w:val="both"/>
        <w:rPr/>
      </w:pPr>
      <w:r>
        <w:rPr>
          <w:color w:val="000000"/>
        </w:rPr>
        <w:t>21.17.4 Na ausência de previsão legal quanto ao índice substituto, as partes elegerão novo índice oficial, para reajustamento do preço do valor remanescente dos insumos e materiais, por meio de termo aditivo.</w:t>
      </w:r>
    </w:p>
    <w:p>
      <w:pPr>
        <w:pStyle w:val="LOnormal"/>
        <w:spacing w:lineRule="auto" w:line="276" w:before="120" w:after="120"/>
        <w:ind w:left="992" w:hanging="0"/>
        <w:jc w:val="both"/>
        <w:rPr/>
      </w:pPr>
      <w:r>
        <w:rPr>
          <w:color w:val="000000"/>
        </w:rPr>
        <w:t>21.17.5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LOnormal"/>
        <w:spacing w:lineRule="auto" w:line="276" w:before="120" w:after="120"/>
        <w:jc w:val="both"/>
        <w:rPr/>
      </w:pPr>
      <w:r>
        <w:rPr>
          <w:color w:val="000000"/>
        </w:rPr>
        <w:t>21.18 Os novos valores contratuais decorrentes das repactuações terão suas vigências iniciadas observando-se o seguinte:</w:t>
      </w:r>
    </w:p>
    <w:p>
      <w:pPr>
        <w:pStyle w:val="LOnormal"/>
        <w:spacing w:lineRule="auto" w:line="276" w:before="120" w:after="120"/>
        <w:ind w:left="992" w:hanging="0"/>
        <w:jc w:val="both"/>
        <w:rPr/>
      </w:pPr>
      <w:r>
        <w:rPr>
          <w:color w:val="000000"/>
        </w:rPr>
        <w:t>21.18.1  a partir da ocorrência do fato gerador que deu causa à repactuação;</w:t>
      </w:r>
    </w:p>
    <w:p>
      <w:pPr>
        <w:pStyle w:val="LOnormal"/>
        <w:spacing w:lineRule="auto" w:line="276" w:before="120" w:after="120"/>
        <w:ind w:left="992" w:hanging="0"/>
        <w:jc w:val="both"/>
        <w:rPr/>
      </w:pPr>
      <w:r>
        <w:rPr>
          <w:color w:val="000000"/>
        </w:rPr>
        <w:t>21.18.2  em data futura, desde que acordada entre as partes, sem prejuízo da contagem de periodicidade para concessão das próximas repactuações futuras; ou</w:t>
      </w:r>
    </w:p>
    <w:p>
      <w:pPr>
        <w:pStyle w:val="LOnormal"/>
        <w:spacing w:lineRule="auto" w:line="276" w:before="120" w:after="120"/>
        <w:ind w:left="992" w:hanging="0"/>
        <w:jc w:val="both"/>
        <w:rPr/>
      </w:pPr>
      <w:r>
        <w:rPr>
          <w:color w:val="000000"/>
        </w:rPr>
        <w:t>21.18.3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pPr>
        <w:pStyle w:val="LOnormal"/>
        <w:spacing w:lineRule="auto" w:line="276" w:before="120" w:after="120"/>
        <w:jc w:val="both"/>
        <w:rPr/>
      </w:pPr>
      <w:r>
        <w:rPr>
          <w:color w:val="000000"/>
        </w:rPr>
        <w:t>21.19 Os efeitos financeiros da repactuação ficarão restritos exclusivamente aos itens que a motivaram, e apenas em relação à diferença porventura existente.</w:t>
      </w:r>
    </w:p>
    <w:p>
      <w:pPr>
        <w:pStyle w:val="LOnormal"/>
        <w:spacing w:lineRule="auto" w:line="276" w:before="120" w:after="120"/>
        <w:jc w:val="both"/>
        <w:rPr/>
      </w:pPr>
      <w:r>
        <w:rPr>
          <w:color w:val="000000"/>
        </w:rPr>
        <w:t>21.20 A decisão sobre o pedido de repactuação deve ser feita no prazo máximo de 60 (sessenta) dias, contados a partir da solicitação e da entrega dos comprovantes de variação dos custos.</w:t>
      </w:r>
    </w:p>
    <w:p>
      <w:pPr>
        <w:pStyle w:val="LOnormal"/>
        <w:spacing w:lineRule="auto" w:line="276" w:before="120" w:after="120"/>
        <w:jc w:val="both"/>
        <w:rPr/>
      </w:pPr>
      <w:r>
        <w:rPr>
          <w:color w:val="000000"/>
        </w:rPr>
        <w:t>21.21 O prazo referido no subitem anterior ficará suspenso enquanto a Contratada não cumprir os atos ou apresentar a documentação solicitada pela Contratante para a comprovação da variação dos custos.</w:t>
      </w:r>
    </w:p>
    <w:p>
      <w:pPr>
        <w:pStyle w:val="LOnormal"/>
        <w:spacing w:lineRule="auto" w:line="276" w:before="120" w:after="120"/>
        <w:jc w:val="both"/>
        <w:rPr/>
      </w:pPr>
      <w:r>
        <w:rPr>
          <w:color w:val="000000"/>
        </w:rPr>
        <w:t>21.22 As repactuações serão formalizadas por meio de apostilamento, exceto quando coincidirem com a prorrogação contratual, caso em que deverão ser formalizadas por aditamento ao contrato.</w:t>
      </w:r>
    </w:p>
    <w:p>
      <w:pPr>
        <w:pStyle w:val="LOnormal"/>
        <w:spacing w:lineRule="auto" w:line="276" w:before="120" w:after="120"/>
        <w:ind w:left="141" w:hanging="0"/>
        <w:jc w:val="both"/>
        <w:rPr/>
      </w:pPr>
      <w:r>
        <w:rPr>
          <w:color w:val="000000"/>
        </w:rPr>
        <w:t>21.23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pPr>
        <w:pStyle w:val="LOnormal"/>
        <w:spacing w:lineRule="auto" w:line="276" w:before="120" w:after="120"/>
        <w:ind w:left="141" w:hanging="0"/>
        <w:jc w:val="both"/>
        <w:rPr>
          <w:b/>
          <w:b/>
          <w:color w:val="000000"/>
        </w:rPr>
      </w:pPr>
      <w:r>
        <w:rPr>
          <w:b/>
          <w:color w:val="000000"/>
        </w:rPr>
        <w:t>22 DA GARANTIA DA EXECUÇÃO</w:t>
      </w:r>
    </w:p>
    <w:p>
      <w:pPr>
        <w:pStyle w:val="LOnormal"/>
        <w:spacing w:lineRule="auto" w:line="276" w:before="120" w:after="120"/>
        <w:ind w:left="141" w:hanging="0"/>
        <w:jc w:val="both"/>
        <w:rPr/>
      </w:pPr>
      <w:r>
        <w:rPr/>
        <w:t>22.1 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pPr>
        <w:pStyle w:val="LOnormal"/>
        <w:spacing w:lineRule="auto" w:line="276" w:before="120" w:after="120"/>
        <w:ind w:left="1133" w:hanging="0"/>
        <w:jc w:val="both"/>
        <w:rPr>
          <w:color w:val="000000"/>
        </w:rPr>
      </w:pPr>
      <w:r>
        <w:rPr>
          <w:color w:val="000000"/>
        </w:rPr>
        <w:t>22.1.1 A inobservância do prazo fixado para apresentação da garantia acarretará a aplicação de multa de 0,07% (sete centésimos por cento) do valor total do contrato por dia de atraso, até o máximo de 2% (dois por cento).</w:t>
      </w:r>
    </w:p>
    <w:p>
      <w:pPr>
        <w:pStyle w:val="LOnormal"/>
        <w:spacing w:lineRule="auto" w:line="276" w:before="120" w:after="120"/>
        <w:ind w:left="1133" w:hanging="0"/>
        <w:jc w:val="both"/>
        <w:rPr>
          <w:color w:val="000000"/>
        </w:rPr>
      </w:pPr>
      <w:r>
        <w:rPr>
          <w:color w:val="000000"/>
        </w:rPr>
        <w:t>22.1.2 O atraso superior a 25 (vinte e cinco) dias autoriza a Administração a promover a rescisão do contrato por descumprimento ou cumprimento irregular de suas cláusulas, conforme dispõem os incisos I e II do art. 78 da Lei n. 8.666 de 1993.</w:t>
      </w:r>
    </w:p>
    <w:p>
      <w:pPr>
        <w:pStyle w:val="LOnormal"/>
        <w:spacing w:lineRule="auto" w:line="276" w:before="120" w:after="120"/>
        <w:ind w:left="141" w:hanging="0"/>
        <w:jc w:val="both"/>
        <w:rPr/>
      </w:pPr>
      <w:r>
        <w:rPr/>
        <w:t>22.2 A garantia assegurará, qualquer que seja a modalidade escolhida, o pagamento de:</w:t>
      </w:r>
    </w:p>
    <w:p>
      <w:pPr>
        <w:pStyle w:val="LOnormal"/>
        <w:spacing w:lineRule="auto" w:line="276" w:before="120" w:after="120"/>
        <w:ind w:left="1133" w:hanging="0"/>
        <w:jc w:val="both"/>
        <w:rPr>
          <w:color w:val="000000"/>
        </w:rPr>
      </w:pPr>
      <w:r>
        <w:rPr>
          <w:color w:val="000000"/>
        </w:rPr>
        <w:t>22.2.1 prejuízos advindos do não cumprimento do objeto do contrato e do não adimplemento das demais obrigações nele previstas;</w:t>
      </w:r>
    </w:p>
    <w:p>
      <w:pPr>
        <w:pStyle w:val="LOnormal"/>
        <w:spacing w:lineRule="auto" w:line="276" w:before="120" w:after="120"/>
        <w:ind w:left="1133" w:hanging="0"/>
        <w:jc w:val="both"/>
        <w:rPr>
          <w:color w:val="000000"/>
        </w:rPr>
      </w:pPr>
      <w:r>
        <w:rPr>
          <w:color w:val="000000"/>
        </w:rPr>
        <w:t>22.2.2 prejuízos diretos causados à Administração decorrentes de culpa ou dolo durante a execução do contrato;</w:t>
      </w:r>
    </w:p>
    <w:p>
      <w:pPr>
        <w:pStyle w:val="LOnormal"/>
        <w:spacing w:lineRule="auto" w:line="276" w:before="120" w:after="120"/>
        <w:ind w:left="1133" w:hanging="0"/>
        <w:jc w:val="both"/>
        <w:rPr>
          <w:color w:val="000000"/>
        </w:rPr>
      </w:pPr>
      <w:r>
        <w:rPr>
          <w:color w:val="000000"/>
        </w:rPr>
        <w:t xml:space="preserve">22.2.3 multas moratórias e punitivas aplicadas pela Administração à contratada; e  </w:t>
      </w:r>
    </w:p>
    <w:p>
      <w:pPr>
        <w:pStyle w:val="LOnormal"/>
        <w:spacing w:lineRule="auto" w:line="276" w:before="120" w:after="120"/>
        <w:ind w:left="1133" w:hanging="0"/>
        <w:jc w:val="both"/>
        <w:rPr>
          <w:color w:val="000000"/>
        </w:rPr>
      </w:pPr>
      <w:r>
        <w:rPr>
          <w:color w:val="000000"/>
        </w:rPr>
        <w:t>22.2.4 obrigações trabalhistas e previdenciárias de qualquer natureza e para com o FGTS, não adimplidas pela contratada, quando couber.</w:t>
      </w:r>
    </w:p>
    <w:p>
      <w:pPr>
        <w:pStyle w:val="LOnormal"/>
        <w:spacing w:lineRule="auto" w:line="276" w:before="120" w:after="120"/>
        <w:ind w:left="141" w:hanging="0"/>
        <w:jc w:val="both"/>
        <w:rPr/>
      </w:pPr>
      <w:r>
        <w:rPr/>
        <w:t>22.3 A modalidade seguro-garantia somente será aceita se contemplar todos os eventos indicados no item anterior, observada a legislação que rege a matéria.</w:t>
      </w:r>
    </w:p>
    <w:p>
      <w:pPr>
        <w:pStyle w:val="LOnormal"/>
        <w:spacing w:lineRule="auto" w:line="276" w:before="120" w:after="120"/>
        <w:ind w:left="141" w:hanging="0"/>
        <w:jc w:val="both"/>
        <w:rPr/>
      </w:pPr>
      <w:r>
        <w:rPr/>
        <w:t>22.4 A garantia em dinheiro deverá ser efetuada em favor da Contratante, em conta específica na Caixa Econômica Federal, com correção monetária.</w:t>
      </w:r>
    </w:p>
    <w:p>
      <w:pPr>
        <w:pStyle w:val="LOnormal"/>
        <w:spacing w:lineRule="auto" w:line="276" w:before="120" w:after="120"/>
        <w:ind w:left="141" w:hanging="0"/>
        <w:jc w:val="both"/>
        <w:rPr/>
      </w:pPr>
      <w:r>
        <w:rPr/>
        <w:t>22.5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LOnormal"/>
        <w:spacing w:lineRule="auto" w:line="276" w:before="120" w:after="120"/>
        <w:ind w:left="141" w:hanging="0"/>
        <w:jc w:val="both"/>
        <w:rPr/>
      </w:pPr>
      <w:r>
        <w:rPr/>
        <w:t>22.6 No caso de garantia na modalidade de fiança bancária, deverá constar expressa renúncia do fiador aos benefícios do artigo 827 do Código Civil.</w:t>
      </w:r>
    </w:p>
    <w:p>
      <w:pPr>
        <w:pStyle w:val="LOnormal"/>
        <w:spacing w:lineRule="auto" w:line="276" w:before="120" w:after="120"/>
        <w:ind w:left="141" w:hanging="0"/>
        <w:jc w:val="both"/>
        <w:rPr/>
      </w:pPr>
      <w:r>
        <w:rPr/>
        <w:t>22.7 No caso de alteração do valor do contrato, ou prorrogação de sua vigência, a garantia deverá ser ajustada à nova situação ou renovada, seguindo os mesmos parâmetros utilizados quando da contratação.</w:t>
      </w:r>
    </w:p>
    <w:p>
      <w:pPr>
        <w:pStyle w:val="LOnormal"/>
        <w:spacing w:lineRule="auto" w:line="276" w:before="120" w:after="120"/>
        <w:jc w:val="both"/>
        <w:rPr/>
      </w:pPr>
      <w:r>
        <w:rPr/>
        <w:t>22.8 Se o valor da garantia for utilizado total ou parcialmente em pagamento de qualquer obrigação, a Contratada obriga-se a fazer a respectiva reposição no prazo máximo de 10 (dez) dias úteis, contados da data em que for notificada.</w:t>
      </w:r>
    </w:p>
    <w:p>
      <w:pPr>
        <w:pStyle w:val="LOnormal"/>
        <w:spacing w:lineRule="auto" w:line="276" w:before="120" w:after="120"/>
        <w:jc w:val="both"/>
        <w:rPr/>
      </w:pPr>
      <w:r>
        <w:rPr/>
        <w:t>22.9 A Contratante executará a garantia na forma prevista na legislação que rege a matéria.</w:t>
      </w:r>
    </w:p>
    <w:p>
      <w:pPr>
        <w:pStyle w:val="LOnormal"/>
        <w:spacing w:lineRule="auto" w:line="276" w:before="120" w:after="120"/>
        <w:jc w:val="both"/>
        <w:rPr/>
      </w:pPr>
      <w:r>
        <w:rPr/>
        <w:t>22.10 Será considerada extinta a garantia:</w:t>
      </w:r>
    </w:p>
    <w:p>
      <w:pPr>
        <w:pStyle w:val="LOnormal"/>
        <w:spacing w:lineRule="auto" w:line="276" w:before="120" w:after="120"/>
        <w:ind w:left="850" w:hanging="0"/>
        <w:jc w:val="both"/>
        <w:rPr>
          <w:color w:val="000000"/>
        </w:rPr>
      </w:pPr>
      <w:r>
        <w:rPr>
          <w:color w:val="000000"/>
        </w:rPr>
        <w:t>22.10.1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LOnormal"/>
        <w:spacing w:lineRule="auto" w:line="276" w:before="120" w:after="120"/>
        <w:ind w:left="850" w:hanging="0"/>
        <w:jc w:val="both"/>
        <w:rPr>
          <w:color w:val="000000"/>
        </w:rPr>
      </w:pPr>
      <w:r>
        <w:rPr>
          <w:color w:val="000000"/>
        </w:rPr>
        <w:t>22.10.2 no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pPr>
        <w:pStyle w:val="LOnormal"/>
        <w:spacing w:lineRule="auto" w:line="276" w:before="120" w:after="120"/>
        <w:jc w:val="both"/>
        <w:rPr/>
      </w:pPr>
      <w:r>
        <w:rPr/>
        <w:t>22.11 O garantidor não é parte para figurar em processo administrativo instaurado pela contratante com o objetivo de apurar prejuízos e/ou aplicar sanções à contratada.</w:t>
      </w:r>
    </w:p>
    <w:p>
      <w:pPr>
        <w:pStyle w:val="LOnormal"/>
        <w:spacing w:lineRule="auto" w:line="276" w:before="120" w:after="120"/>
        <w:jc w:val="both"/>
        <w:rPr/>
      </w:pPr>
      <w:r>
        <w:rPr/>
        <w:t>22.12 A contratada autoriza a contratante a reter, a qualquer tempo, a garantia, na forma prevista no neste Edital e no Contrato.</w:t>
      </w:r>
    </w:p>
    <w:p>
      <w:pPr>
        <w:pStyle w:val="LOnormal"/>
        <w:spacing w:lineRule="auto" w:line="276" w:before="120" w:after="120"/>
        <w:jc w:val="both"/>
        <w:rPr/>
      </w:pPr>
      <w:r>
        <w:rPr/>
        <w:t>22.13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LOnormal"/>
        <w:spacing w:lineRule="auto" w:line="276" w:before="120" w:after="120"/>
        <w:jc w:val="both"/>
        <w:rPr/>
      </w:pPr>
      <w:r>
        <w:rPr/>
        <w:t>22.14 Também poderá haver liberação da garantia se a empresa comprovar que os empregados serão realocados em outra atividade de prestação de serviços, sem que ocorra a interrupção do contrato de trabalho</w:t>
      </w:r>
    </w:p>
    <w:p>
      <w:pPr>
        <w:pStyle w:val="LOnormal"/>
        <w:spacing w:lineRule="auto" w:line="276" w:before="120" w:after="120"/>
        <w:jc w:val="both"/>
        <w:rPr/>
      </w:pPr>
      <w:r>
        <w:rPr/>
        <w:t>22.15 Por ocasião do encerramento da prestação dos serviços contratados, a Administração Contratante poderá utilizar o valor da garantia prestada para o pagamento direto aos trabalhadores vinculados ao contrato no caso da não comprovação:(1) do pagamento das respectivas verbas rescisórias ou (2) da realocação dos trabalhadores em outra atividade de prestação de serviços, nos termos da alínea "j do item 3.1 do Anexo VII-F da IN SEGES/MP n. 5/2017.</w:t>
      </w:r>
    </w:p>
    <w:p>
      <w:pPr>
        <w:pStyle w:val="LOnormal"/>
        <w:keepNext w:val="true"/>
        <w:keepLines/>
        <w:spacing w:lineRule="auto" w:line="276" w:before="480" w:after="0"/>
        <w:jc w:val="both"/>
        <w:rPr>
          <w:b/>
          <w:b/>
          <w:color w:val="000000"/>
        </w:rPr>
      </w:pPr>
      <w:r>
        <w:rPr>
          <w:b/>
        </w:rPr>
        <w:t>23. DAS</w:t>
      </w:r>
      <w:r>
        <w:rPr>
          <w:b/>
          <w:color w:val="000000"/>
        </w:rPr>
        <w:t xml:space="preserve"> SANÇÕES ADMINISTRATIVAS</w:t>
      </w:r>
    </w:p>
    <w:p>
      <w:pPr>
        <w:pStyle w:val="LOnormal"/>
        <w:spacing w:lineRule="auto" w:line="276" w:before="120" w:after="120"/>
        <w:jc w:val="both"/>
        <w:rPr/>
      </w:pPr>
      <w:r>
        <w:rPr/>
        <w:t>23.1 Comete infração administrativa nos termos da Lei nº 10.520, de 2002, a CONTRATADA que:</w:t>
      </w:r>
    </w:p>
    <w:p>
      <w:pPr>
        <w:pStyle w:val="LOnormal"/>
        <w:numPr>
          <w:ilvl w:val="2"/>
          <w:numId w:val="2"/>
        </w:numPr>
        <w:spacing w:lineRule="auto" w:line="276" w:before="120" w:after="120"/>
        <w:ind w:left="141" w:hanging="0"/>
        <w:jc w:val="both"/>
        <w:rPr/>
      </w:pPr>
      <w:r>
        <w:rPr/>
        <w:t>falhar na execução do contrato, pela inexecução, total ou parcial, de quaisquer das obrigações assumidas na contratação;</w:t>
      </w:r>
    </w:p>
    <w:p>
      <w:pPr>
        <w:pStyle w:val="LOnormal"/>
        <w:numPr>
          <w:ilvl w:val="2"/>
          <w:numId w:val="6"/>
        </w:numPr>
        <w:spacing w:lineRule="auto" w:line="276" w:before="120" w:after="120"/>
        <w:ind w:left="141" w:hanging="0"/>
        <w:jc w:val="both"/>
        <w:rPr/>
      </w:pPr>
      <w:r>
        <w:rPr/>
        <w:t>ensejar o retardamento da execução do objeto;</w:t>
      </w:r>
    </w:p>
    <w:p>
      <w:pPr>
        <w:pStyle w:val="LOnormal"/>
        <w:numPr>
          <w:ilvl w:val="2"/>
          <w:numId w:val="6"/>
        </w:numPr>
        <w:spacing w:lineRule="auto" w:line="276" w:before="120" w:after="120"/>
        <w:ind w:left="141" w:hanging="0"/>
        <w:jc w:val="both"/>
        <w:rPr/>
      </w:pPr>
      <w:r>
        <w:rPr/>
        <w:t>fraudar na execução do contrato;</w:t>
      </w:r>
    </w:p>
    <w:p>
      <w:pPr>
        <w:pStyle w:val="LOnormal"/>
        <w:numPr>
          <w:ilvl w:val="2"/>
          <w:numId w:val="6"/>
        </w:numPr>
        <w:spacing w:lineRule="auto" w:line="276" w:before="120" w:after="120"/>
        <w:ind w:left="141" w:hanging="0"/>
        <w:jc w:val="both"/>
        <w:rPr/>
      </w:pPr>
      <w:r>
        <w:rPr/>
        <w:t>comportar-se de modo inidôneo; ou</w:t>
      </w:r>
    </w:p>
    <w:p>
      <w:pPr>
        <w:pStyle w:val="LOnormal"/>
        <w:numPr>
          <w:ilvl w:val="2"/>
          <w:numId w:val="6"/>
        </w:numPr>
        <w:spacing w:lineRule="auto" w:line="276" w:before="120" w:after="120"/>
        <w:ind w:left="141" w:hanging="0"/>
        <w:jc w:val="both"/>
        <w:rPr/>
      </w:pPr>
      <w:r>
        <w:rPr/>
        <w:t>cometer fraude fiscal.</w:t>
      </w:r>
    </w:p>
    <w:p>
      <w:pPr>
        <w:pStyle w:val="LOnormal"/>
        <w:spacing w:lineRule="auto" w:line="276" w:before="120" w:after="120"/>
        <w:jc w:val="both"/>
        <w:rPr/>
      </w:pPr>
      <w:r>
        <w:rPr/>
        <w:t xml:space="preserve">23.2 Pela inexecução </w:t>
      </w:r>
      <w:r>
        <w:rPr>
          <w:u w:val="single"/>
        </w:rPr>
        <w:t>total ou parcial</w:t>
      </w:r>
      <w:r>
        <w:rPr/>
        <w:t xml:space="preserve"> do objeto deste contrato, a Administração pode aplicar à CONTRATADA as seguintes sanções:</w:t>
      </w:r>
    </w:p>
    <w:p>
      <w:pPr>
        <w:pStyle w:val="LOnormal"/>
        <w:numPr>
          <w:ilvl w:val="2"/>
          <w:numId w:val="3"/>
        </w:numPr>
        <w:spacing w:lineRule="auto" w:line="276" w:before="120" w:after="120"/>
        <w:ind w:left="141" w:hanging="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1"/>
        </w:numPr>
        <w:spacing w:lineRule="auto" w:line="276" w:before="120" w:after="120"/>
        <w:ind w:left="141" w:hanging="0"/>
        <w:jc w:val="both"/>
        <w:rPr/>
      </w:pPr>
      <w:r>
        <w:rPr>
          <w:b/>
        </w:rPr>
        <w:t>Multa de</w:t>
      </w:r>
      <w:r>
        <w:rPr/>
        <w:t>:</w:t>
      </w:r>
    </w:p>
    <w:p>
      <w:pPr>
        <w:pStyle w:val="LOnormal"/>
        <w:numPr>
          <w:ilvl w:val="3"/>
          <w:numId w:val="1"/>
        </w:numPr>
        <w:spacing w:lineRule="auto" w:line="276" w:before="120" w:after="120"/>
        <w:ind w:left="141" w:hanging="0"/>
        <w:jc w:val="both"/>
        <w:rPr/>
      </w:pPr>
      <w:r>
        <w:rPr/>
        <w:t>0,1% (um décimo por cento) até 0,2% (dois décimos por cento) por dia sobre o valor adjudicado em caso de atraso na execução dos serviços, limitada a incidência</w:t>
      </w:r>
      <w:r>
        <w:rPr>
          <w:color w:val="000000"/>
        </w:rPr>
        <w:t xml:space="preserve"> a 15 (quinze) dias. Após o décimo quinto dia e a critério da Administração, no caso de execução com atraso, poderá ocorrer a não-aceitação do objeto, de forma a configurar</w:t>
      </w:r>
      <w:r>
        <w:rPr/>
        <w:t>, nessa hipótese, inexecução total da obrigação assumida, sem prejuízo da rescisão unilateral da avença;</w:t>
      </w:r>
    </w:p>
    <w:p>
      <w:pPr>
        <w:pStyle w:val="LOnormal"/>
        <w:numPr>
          <w:ilvl w:val="3"/>
          <w:numId w:val="1"/>
        </w:numPr>
        <w:spacing w:lineRule="auto" w:line="276" w:before="120" w:after="120"/>
        <w:ind w:left="141" w:hanging="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1"/>
        </w:numPr>
        <w:spacing w:lineRule="auto" w:line="276" w:before="120" w:after="120"/>
        <w:ind w:left="141" w:hanging="0"/>
        <w:jc w:val="both"/>
        <w:rPr/>
      </w:pPr>
      <w:r>
        <w:rPr/>
        <w:t>0,1% (um décimo por cento) até 15% (quinze por cento) sobre o valor adjudicado, em caso de inexecução total da obrigação assumida;</w:t>
      </w:r>
    </w:p>
    <w:p>
      <w:pPr>
        <w:pStyle w:val="LOnormal"/>
        <w:numPr>
          <w:ilvl w:val="3"/>
          <w:numId w:val="1"/>
        </w:numPr>
        <w:spacing w:lineRule="auto" w:line="276" w:before="120" w:after="120"/>
        <w:ind w:left="141" w:hanging="0"/>
        <w:jc w:val="both"/>
        <w:rPr/>
      </w:pPr>
      <w:r>
        <w:rPr/>
        <w:t xml:space="preserve">0,2% a 3,2% por dia sobre o valor mensal do contrato, conforme detalhamento constante das </w:t>
      </w:r>
      <w:r>
        <w:rPr>
          <w:b/>
        </w:rPr>
        <w:t>tabelas 1 e 2</w:t>
      </w:r>
      <w:r>
        <w:rPr/>
        <w:t>, abaixo; e</w:t>
      </w:r>
    </w:p>
    <w:p>
      <w:pPr>
        <w:pStyle w:val="LOnormal"/>
        <w:numPr>
          <w:ilvl w:val="3"/>
          <w:numId w:val="1"/>
        </w:numPr>
        <w:spacing w:lineRule="auto" w:line="276" w:before="120" w:after="120"/>
        <w:ind w:left="141" w:hanging="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1"/>
        </w:numPr>
        <w:spacing w:lineRule="auto" w:line="276" w:before="120" w:after="120"/>
        <w:ind w:left="141" w:hanging="0"/>
        <w:jc w:val="both"/>
        <w:rPr/>
      </w:pPr>
      <w:r>
        <w:rPr/>
        <w:t>As penalidades de multa decorrentes de fatos diversos serão consideradas independentes entre si.</w:t>
      </w:r>
    </w:p>
    <w:p>
      <w:pPr>
        <w:pStyle w:val="LOnormal"/>
        <w:numPr>
          <w:ilvl w:val="2"/>
          <w:numId w:val="1"/>
        </w:numPr>
        <w:ind w:left="141" w:hanging="0"/>
        <w:jc w:val="both"/>
        <w:rPr/>
      </w:pPr>
      <w:r>
        <w:rPr/>
        <w:t>Suspensão de licitar e impedimento de contratar com o órgão, entidade ou unidade administrativa pela qual a Administração Pública opera e atua concretamente, pelo prazo de até dois anos;</w:t>
      </w:r>
    </w:p>
    <w:p>
      <w:pPr>
        <w:pStyle w:val="LOnormal"/>
        <w:ind w:left="141" w:hanging="0"/>
        <w:jc w:val="both"/>
        <w:rPr/>
      </w:pPr>
      <w:r>
        <w:rPr/>
      </w:r>
    </w:p>
    <w:p>
      <w:pPr>
        <w:pStyle w:val="LOnormal"/>
        <w:numPr>
          <w:ilvl w:val="2"/>
          <w:numId w:val="1"/>
        </w:numPr>
        <w:ind w:left="141" w:hanging="0"/>
        <w:jc w:val="both"/>
        <w:rPr/>
      </w:pPr>
      <w:r>
        <w:rPr/>
        <w:t>Sanção de impedimento de licitar e contratar com órgãos e entidades da União, com o consequente descredenciamento no SICAF pelo prazo de até cinco anos.</w:t>
      </w:r>
    </w:p>
    <w:p>
      <w:pPr>
        <w:pStyle w:val="LOnormal"/>
        <w:ind w:left="141" w:hanging="0"/>
        <w:jc w:val="both"/>
        <w:rPr/>
      </w:pPr>
      <w:r>
        <w:rPr/>
      </w:r>
    </w:p>
    <w:p>
      <w:pPr>
        <w:pStyle w:val="LOnormal"/>
        <w:numPr>
          <w:ilvl w:val="2"/>
          <w:numId w:val="1"/>
        </w:numPr>
        <w:ind w:left="141" w:hanging="0"/>
        <w:jc w:val="both"/>
        <w:rPr/>
      </w:pPr>
      <w: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Onormal"/>
        <w:spacing w:lineRule="auto" w:line="276" w:before="120" w:after="120"/>
        <w:jc w:val="both"/>
        <w:rPr/>
      </w:pPr>
      <w:r>
        <w:rPr/>
        <w:t>23.3 A Sanção de impedimento de licitar e contratar prevista no subitem “iv” também é aplicável em quaisquer das hipóteses previstas como infração administrativa neste Termo de Referência.</w:t>
      </w:r>
    </w:p>
    <w:p>
      <w:pPr>
        <w:pStyle w:val="LOnormal"/>
        <w:spacing w:lineRule="auto" w:line="276" w:before="120" w:after="120"/>
        <w:jc w:val="both"/>
        <w:rPr/>
      </w:pPr>
      <w:r>
        <w:rPr/>
        <w:t>23.4 As sanções previstas nos subitens “i”, “iii”, “iv” e “v” poderão ser aplicadas à CONTRATADA juntamente com as de multa, descontando-a dos pagamentos a serem efetuados.</w:t>
      </w:r>
    </w:p>
    <w:p>
      <w:pPr>
        <w:pStyle w:val="LOnormal"/>
        <w:spacing w:lineRule="auto" w:line="276" w:before="120" w:after="120"/>
        <w:jc w:val="both"/>
        <w:rPr/>
      </w:pPr>
      <w:r>
        <w:rPr/>
        <w:t>23.5 Para efeito de aplicação de multas, às infrações são atribuídos graus, de acordo com as tabelas 1 e 2:</w:t>
      </w:r>
    </w:p>
    <w:p>
      <w:pPr>
        <w:pStyle w:val="LOnormal"/>
        <w:spacing w:lineRule="auto" w:line="276" w:before="120" w:after="120"/>
        <w:ind w:left="141" w:hanging="0"/>
        <w:jc w:val="center"/>
        <w:rPr>
          <w:b/>
          <w:b/>
        </w:rPr>
      </w:pPr>
      <w:r>
        <w:rPr>
          <w:b/>
        </w:rPr>
        <w:t>Tabela 1</w:t>
      </w:r>
    </w:p>
    <w:tbl>
      <w:tblPr>
        <w:tblStyle w:val="TableNormal"/>
        <w:tblW w:w="9180"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3574"/>
        <w:gridCol w:w="5605"/>
      </w:tblGrid>
      <w:tr>
        <w:trPr>
          <w:trHeight w:val="180" w:hRule="atLeast"/>
        </w:trPr>
        <w:tc>
          <w:tcPr>
            <w:tcW w:w="357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c>
          <w:tcPr>
            <w:tcW w:w="560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CORRESPONDÊNCIA</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0,8%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1,6%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3,2% ao dia sobre o valor mensal do contrato</w:t>
            </w:r>
          </w:p>
        </w:tc>
      </w:tr>
    </w:tbl>
    <w:p>
      <w:pPr>
        <w:pStyle w:val="LOnormal"/>
        <w:spacing w:lineRule="auto" w:line="276" w:before="120" w:after="120"/>
        <w:ind w:left="141" w:hanging="0"/>
        <w:jc w:val="center"/>
        <w:rPr>
          <w:b/>
          <w:b/>
        </w:rPr>
      </w:pPr>
      <w:r>
        <w:rPr>
          <w:b/>
        </w:rPr>
        <w:t>Tabela 2</w:t>
      </w:r>
    </w:p>
    <w:tbl>
      <w:tblPr>
        <w:tblStyle w:val="TableNormal"/>
        <w:tblW w:w="9180"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1242"/>
        <w:gridCol w:w="6527"/>
        <w:gridCol w:w="1411"/>
      </w:tblGrid>
      <w:tr>
        <w:trPr>
          <w:trHeight w:val="60" w:hRule="atLeast"/>
        </w:trPr>
        <w:tc>
          <w:tcPr>
            <w:tcW w:w="9180" w:type="dxa"/>
            <w:gridSpan w:val="3"/>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INFRAÇÃO</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ITEM</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DESCRIÇÃO</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Permitir situação que crie a possibilidade de causar dano físico, lesão corporal ou conseqüências letais, por ocorrência;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05</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Suspender ou interromper, salvo motivo de força maior ou caso fortuito, os serviços contratuais por dia e por unidade de atendimento;</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Manter funcionário sem qualificação para executar os serviços contratados, por empregado e por dia;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Recusar-se a executar serviço determinado pela fiscalização, por serviço e por dia;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Retirar funcionários ou encarregados do serviço durante o expediente, sem a anuência prévia do CONTRATANTE, por empregado e por dia;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rHeight w:val="225" w:hRule="atLeast"/>
        </w:trPr>
        <w:tc>
          <w:tcPr>
            <w:tcW w:w="9180" w:type="dxa"/>
            <w:gridSpan w:val="3"/>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Para os itens a seguir, deixar de:</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6</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Registrar e controlar, diariamente, a assiduidade e a pontualidade de seu pessoal, por funcionário e por dia;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7</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determinação formal ou instrução complementar do órgão fiscalizador, por ocorrência;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8</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Substituir empregado que se conduza de modo inconveniente ou não atenda às necessidades do serviço, por funcionário e por dia;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9</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quaisquer dos itens do Edital e seus Anexos não previstos nesta tabela de multas, após reincidência formalmente notificada pelo órgão fiscalizador, por item e por ocorrência;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10</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Indicar e manter durante a execução do contrato os prepostos previstos no edital/contrato;</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124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11</w:t>
            </w:r>
          </w:p>
        </w:tc>
        <w:tc>
          <w:tcPr>
            <w:tcW w:w="6527"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Providenciar treinamento para seus funcionários conforme previsto na relação de obrigações da CONTRATADA</w:t>
            </w:r>
          </w:p>
        </w:tc>
        <w:tc>
          <w:tcPr>
            <w:tcW w:w="1411"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bl>
    <w:p>
      <w:pPr>
        <w:pStyle w:val="LOnormal"/>
        <w:spacing w:lineRule="auto" w:line="276" w:before="120" w:after="120"/>
        <w:jc w:val="both"/>
        <w:rPr/>
      </w:pPr>
      <w:r>
        <w:rPr/>
        <w:t>23.6 Também ficam sujeitas às penalidades do art. 87, III e IV da Lei nº 8.666, de 1993, as empresas ou profissionais que:</w:t>
      </w:r>
    </w:p>
    <w:p>
      <w:pPr>
        <w:pStyle w:val="LOnormal"/>
        <w:spacing w:lineRule="auto" w:line="276" w:before="120" w:after="120"/>
        <w:ind w:left="708" w:hanging="0"/>
        <w:jc w:val="both"/>
        <w:rPr>
          <w:color w:val="000000"/>
        </w:rPr>
      </w:pPr>
      <w:r>
        <w:rPr>
          <w:color w:val="000000"/>
        </w:rPr>
        <w:t>23.6.1 tenham sofrido condenação definitiva por praticar, por meio dolosos, fraude fiscal no recolhimento de quaisquer tributos;</w:t>
      </w:r>
    </w:p>
    <w:p>
      <w:pPr>
        <w:pStyle w:val="LOnormal"/>
        <w:spacing w:lineRule="auto" w:line="276" w:before="120" w:after="120"/>
        <w:ind w:left="708" w:hanging="0"/>
        <w:jc w:val="both"/>
        <w:rPr>
          <w:color w:val="000000"/>
        </w:rPr>
      </w:pPr>
      <w:r>
        <w:rPr>
          <w:color w:val="000000"/>
        </w:rPr>
        <w:t>23.6.2 tenham praticado atos ilícitos visando a frustrar os objetivos da licitação;</w:t>
      </w:r>
    </w:p>
    <w:p>
      <w:pPr>
        <w:pStyle w:val="LOnormal"/>
        <w:spacing w:lineRule="auto" w:line="276" w:before="120" w:after="120"/>
        <w:ind w:left="708" w:hanging="0"/>
        <w:jc w:val="both"/>
        <w:rPr>
          <w:color w:val="000000"/>
        </w:rPr>
      </w:pPr>
      <w:r>
        <w:rPr>
          <w:color w:val="000000"/>
        </w:rPr>
        <w:t>23.6.3 demonstrem não possuir idoneidade para contratar com a Administração em virtude de atos ilícitos praticados.</w:t>
      </w:r>
    </w:p>
    <w:p>
      <w:pPr>
        <w:pStyle w:val="LOnormal"/>
        <w:spacing w:lineRule="auto" w:line="276" w:before="120" w:after="120"/>
        <w:ind w:left="141" w:hanging="0"/>
        <w:jc w:val="both"/>
        <w:rPr/>
      </w:pPr>
      <w:r>
        <w:rPr/>
        <w:t>23.7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spacing w:lineRule="auto" w:line="276" w:before="120" w:after="120"/>
        <w:jc w:val="both"/>
        <w:rPr/>
      </w:pPr>
      <w:r>
        <w:rPr/>
        <w:t>23.8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spacing w:lineRule="auto" w:line="276" w:before="120" w:after="120"/>
        <w:ind w:left="708" w:hanging="0"/>
        <w:jc w:val="both"/>
        <w:rPr>
          <w:color w:val="000000"/>
        </w:rPr>
      </w:pPr>
      <w:r>
        <w:rPr>
          <w:color w:val="000000"/>
        </w:rPr>
        <w:t>23.8.1 Caso a Contratante determine, a multa deverá ser recolhida no prazo máximo de 15 (quinze) dias, a contar da data do recebimento da comunicação enviada pela autoridade competente.</w:t>
      </w:r>
    </w:p>
    <w:p>
      <w:pPr>
        <w:pStyle w:val="LOnormal"/>
        <w:spacing w:lineRule="auto" w:line="276" w:before="120" w:after="120"/>
        <w:jc w:val="both"/>
        <w:rPr/>
      </w:pPr>
      <w:r>
        <w:rPr/>
        <w:t>23.9 Caso o valor da multa não seja suficiente para cobrir os prejuízos causados pela conduta do licitante, a União ou Entidade poderá cobrar o valor remanescente judicialmente, conforme artigo 419 do Código Civil.</w:t>
      </w:r>
    </w:p>
    <w:p>
      <w:pPr>
        <w:pStyle w:val="LOnormal"/>
        <w:spacing w:lineRule="auto" w:line="276" w:before="120" w:after="120"/>
        <w:jc w:val="both"/>
        <w:rPr/>
      </w:pPr>
      <w:r>
        <w:rPr/>
        <w:t>23.10 A autoridade competente, na aplicação das sanções, levará em consideração a gravidade da conduta do infrator, o caráter educativo da pena, bem como o dano causado à Administração, observado o princípio da proporcionalidade.</w:t>
      </w:r>
    </w:p>
    <w:p>
      <w:pPr>
        <w:pStyle w:val="LOnormal"/>
        <w:spacing w:lineRule="auto" w:line="276" w:before="120" w:after="120"/>
        <w:jc w:val="both"/>
        <w:rPr/>
      </w:pPr>
      <w:r>
        <w:rPr/>
        <w:t>23.11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LOnormal"/>
        <w:spacing w:lineRule="auto" w:line="276" w:before="120" w:after="120"/>
        <w:jc w:val="both"/>
        <w:rPr/>
      </w:pPr>
      <w:r>
        <w:rPr/>
        <w:t>23.12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spacing w:lineRule="auto" w:line="276" w:before="120" w:after="120"/>
        <w:ind w:left="141" w:hanging="0"/>
        <w:jc w:val="both"/>
        <w:rPr/>
      </w:pPr>
      <w:r>
        <w:rPr/>
        <w:t>23.13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Onormal"/>
        <w:spacing w:lineRule="auto" w:line="276"/>
        <w:ind w:left="141" w:hanging="0"/>
        <w:jc w:val="both"/>
        <w:rPr/>
      </w:pPr>
      <w:r>
        <w:rPr/>
        <w:t>23.14 As penalidades serão obrigatoriamente registradas no SICAF.</w:t>
      </w:r>
    </w:p>
    <w:p>
      <w:pPr>
        <w:pStyle w:val="LOnormal"/>
        <w:keepNext w:val="true"/>
        <w:keepLines/>
        <w:spacing w:lineRule="auto" w:line="276" w:before="252" w:after="0"/>
        <w:jc w:val="both"/>
        <w:rPr>
          <w:b/>
          <w:b/>
          <w:color w:val="000000"/>
        </w:rPr>
      </w:pPr>
      <w:r>
        <w:rPr>
          <w:b/>
        </w:rPr>
        <w:t>24. DOS CR</w:t>
      </w:r>
      <w:r>
        <w:rPr>
          <w:b/>
          <w:color w:val="000000"/>
        </w:rPr>
        <w:t>ITÉRIOS DE SELEÇÃO DO FORNECEDOR.</w:t>
      </w:r>
    </w:p>
    <w:p>
      <w:pPr>
        <w:pStyle w:val="LOnormal"/>
        <w:spacing w:lineRule="auto" w:line="276" w:before="120" w:after="120"/>
        <w:jc w:val="both"/>
        <w:rPr/>
      </w:pPr>
      <w:r>
        <w:rPr/>
        <w:t>24.1 As exigências de habilitação jurídica e de regularidade fiscal e trabalhista são as usuais para a generalidade dos objetos, conforme disciplinado no edital.</w:t>
      </w:r>
    </w:p>
    <w:p>
      <w:pPr>
        <w:pStyle w:val="LOnormal"/>
        <w:spacing w:lineRule="auto" w:line="276" w:before="120" w:after="120"/>
        <w:jc w:val="both"/>
        <w:rPr/>
      </w:pPr>
      <w:r>
        <w:rPr/>
        <w:t xml:space="preserve">24.2 Os critérios de </w:t>
      </w:r>
      <w:r>
        <w:rPr>
          <w:b/>
          <w:u w:val="single"/>
        </w:rPr>
        <w:t>qualificação econômico-financeira</w:t>
      </w:r>
      <w:r>
        <w:rPr/>
        <w:t xml:space="preserve"> a serem atendidos pelo fornecedor estão previstos no edital.</w:t>
      </w:r>
    </w:p>
    <w:p>
      <w:pPr>
        <w:pStyle w:val="LOnormal"/>
        <w:spacing w:lineRule="auto" w:line="276" w:before="120" w:after="120"/>
        <w:jc w:val="both"/>
        <w:rPr/>
      </w:pPr>
      <w:r>
        <w:rPr/>
        <w:t xml:space="preserve">24.3 Os critérios de </w:t>
      </w:r>
      <w:r>
        <w:rPr>
          <w:b/>
          <w:u w:val="single"/>
        </w:rPr>
        <w:t>qualificação técnica</w:t>
      </w:r>
      <w:r>
        <w:rPr/>
        <w:t xml:space="preserve"> a serem atendidos pelo fornecedor serão:</w:t>
      </w:r>
    </w:p>
    <w:p>
      <w:pPr>
        <w:pStyle w:val="LOnormal"/>
        <w:spacing w:lineRule="auto" w:line="276" w:before="120" w:after="120"/>
        <w:jc w:val="both"/>
        <w:rPr>
          <w:color w:val="000000"/>
          <w:highlight w:val="white"/>
        </w:rPr>
      </w:pPr>
      <w:bookmarkStart w:id="7" w:name="_3znysh7"/>
      <w:bookmarkEnd w:id="7"/>
      <w:r>
        <w:rPr>
          <w:color w:val="000000"/>
          <w:highlight w:val="white"/>
        </w:rPr>
        <w:t>24.3.1 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w:t>
      </w:r>
    </w:p>
    <w:p>
      <w:pPr>
        <w:pStyle w:val="LOnormal"/>
        <w:tabs>
          <w:tab w:val="clear" w:pos="720"/>
          <w:tab w:val="left" w:pos="360" w:leader="none"/>
        </w:tabs>
        <w:spacing w:lineRule="auto" w:line="276" w:before="120" w:after="120"/>
        <w:jc w:val="both"/>
        <w:rPr>
          <w:color w:val="000000"/>
          <w:highlight w:val="white"/>
        </w:rPr>
      </w:pPr>
      <w:r>
        <w:rPr>
          <w:color w:val="000000"/>
          <w:highlight w:val="white"/>
        </w:rPr>
        <w:t>24.3.2 Será aceito o somatório de atestados que comprovem que o licitante gerencia ou gerenciou serviços de terceirização compatíveis com o objeto licitado por período não inferior a 3 (três) anos, Mas, para fins de contagem do tempo, períodos concomitantes, mesmo em atestados diferentes, serão contados apenas uma vez.</w:t>
      </w:r>
    </w:p>
    <w:p>
      <w:pPr>
        <w:pStyle w:val="LOnormal"/>
        <w:tabs>
          <w:tab w:val="clear" w:pos="720"/>
          <w:tab w:val="left" w:pos="360" w:leader="none"/>
        </w:tabs>
        <w:spacing w:lineRule="auto" w:line="276" w:before="120" w:after="120"/>
        <w:jc w:val="both"/>
        <w:rPr>
          <w:highlight w:val="white"/>
        </w:rPr>
      </w:pPr>
      <w:bookmarkStart w:id="8" w:name="_tyjcwt"/>
      <w:bookmarkEnd w:id="8"/>
      <w:r>
        <w:rPr>
          <w:color w:val="000000"/>
          <w:highlight w:val="white"/>
        </w:rPr>
        <w:t xml:space="preserve">24.3.3 </w:t>
      </w:r>
      <w:r>
        <w:rPr>
          <w:highlight w:val="white"/>
        </w:rPr>
        <w:t>Os atestados deverão referir-se a serviços prestados no âmbito de sua atividade econômica principal ou secundária especificadas no contrato social vigente;</w:t>
      </w:r>
    </w:p>
    <w:p>
      <w:pPr>
        <w:pStyle w:val="LOnormal"/>
        <w:tabs>
          <w:tab w:val="clear" w:pos="720"/>
          <w:tab w:val="left" w:pos="360" w:leader="none"/>
        </w:tabs>
        <w:spacing w:lineRule="auto" w:line="276" w:before="120" w:after="120"/>
        <w:jc w:val="both"/>
        <w:rPr>
          <w:highlight w:val="white"/>
        </w:rPr>
      </w:pPr>
      <w:bookmarkStart w:id="9" w:name="_3dy6vkm"/>
      <w:bookmarkEnd w:id="9"/>
      <w:r>
        <w:rPr>
          <w:highlight w:val="white"/>
        </w:rPr>
        <w:t xml:space="preserve">24.3.4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LOnormal"/>
        <w:tabs>
          <w:tab w:val="clear" w:pos="720"/>
          <w:tab w:val="left" w:pos="360" w:leader="none"/>
        </w:tabs>
        <w:spacing w:lineRule="auto" w:line="276" w:before="120" w:after="120"/>
        <w:jc w:val="both"/>
        <w:rPr>
          <w:highlight w:val="white"/>
        </w:rPr>
      </w:pPr>
      <w:bookmarkStart w:id="10" w:name="_1t3h5sf"/>
      <w:bookmarkEnd w:id="10"/>
      <w:r>
        <w:rPr>
          <w:highlight w:val="white"/>
        </w:rPr>
        <w:t>24.3.5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LOnormal"/>
        <w:tabs>
          <w:tab w:val="clear" w:pos="720"/>
          <w:tab w:val="left" w:pos="360" w:leader="none"/>
        </w:tabs>
        <w:spacing w:lineRule="auto" w:line="276"/>
        <w:jc w:val="both"/>
        <w:rPr>
          <w:highlight w:val="white"/>
        </w:rPr>
      </w:pPr>
      <w:r>
        <w:rPr>
          <w:highlight w:val="white"/>
        </w:rPr>
        <w:t>24.3.6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tabs>
          <w:tab w:val="clear" w:pos="720"/>
          <w:tab w:val="left" w:pos="360" w:leader="none"/>
        </w:tabs>
        <w:spacing w:lineRule="auto" w:line="276"/>
        <w:jc w:val="both"/>
        <w:rPr/>
      </w:pPr>
      <w:r>
        <w:rPr/>
      </w:r>
    </w:p>
    <w:p>
      <w:pPr>
        <w:pStyle w:val="LOnormal"/>
        <w:tabs>
          <w:tab w:val="clear" w:pos="720"/>
          <w:tab w:val="left" w:pos="360" w:leader="none"/>
        </w:tabs>
        <w:spacing w:lineRule="auto" w:line="276"/>
        <w:ind w:left="283" w:hanging="0"/>
        <w:jc w:val="both"/>
        <w:rPr>
          <w:b/>
          <w:b/>
          <w:highlight w:val="white"/>
          <w:u w:val="single"/>
        </w:rPr>
      </w:pPr>
      <w:r>
        <w:rPr>
          <w:b/>
          <w:highlight w:val="white"/>
          <w:u w:val="single"/>
        </w:rPr>
        <w:t>24.3.7 Conforme jurisprudência do Tribunal de Contas da União, através do Acórdão 1214/2013 – TCU Plenário, os atestados de capacidade técnica, não precisarão referir-se às mesmas categorias profissionais previstas neste termo de referência.</w:t>
      </w:r>
    </w:p>
    <w:p>
      <w:pPr>
        <w:pStyle w:val="LOnormal"/>
        <w:spacing w:lineRule="auto" w:line="276"/>
        <w:jc w:val="both"/>
        <w:rPr/>
      </w:pPr>
      <w:r>
        <w:rPr/>
      </w:r>
    </w:p>
    <w:p>
      <w:pPr>
        <w:pStyle w:val="LOnormal"/>
        <w:spacing w:lineRule="auto" w:line="276"/>
        <w:jc w:val="both"/>
        <w:rPr>
          <w:color w:val="000000"/>
          <w:highlight w:val="white"/>
        </w:rPr>
      </w:pPr>
      <w:r>
        <w:rPr>
          <w:color w:val="000000"/>
          <w:highlight w:val="white"/>
        </w:rPr>
        <w:t>24.3.8 As empresas, cadastradas ou não no SICAF, deverão apresentar atestado de vistoria assinado pelo servidor responsável.</w:t>
      </w:r>
    </w:p>
    <w:p>
      <w:pPr>
        <w:pStyle w:val="LOnormal"/>
        <w:tabs>
          <w:tab w:val="clear" w:pos="720"/>
          <w:tab w:val="left" w:pos="360" w:leader="none"/>
        </w:tabs>
        <w:spacing w:lineRule="auto" w:line="276"/>
        <w:ind w:left="1559" w:hanging="0"/>
        <w:jc w:val="both"/>
        <w:rPr>
          <w:color w:val="000000"/>
          <w:highlight w:val="white"/>
        </w:rPr>
      </w:pPr>
      <w:bookmarkStart w:id="11" w:name="_4d34og8"/>
      <w:bookmarkEnd w:id="11"/>
      <w:r>
        <w:rPr>
          <w:color w:val="000000"/>
          <w:highlight w:val="white"/>
        </w:rPr>
        <w:t>24.3.8.1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spacing w:lineRule="auto" w:line="276"/>
        <w:ind w:left="141" w:hanging="0"/>
        <w:jc w:val="both"/>
        <w:rPr/>
      </w:pPr>
      <w:r>
        <w:rPr/>
      </w:r>
    </w:p>
    <w:p>
      <w:pPr>
        <w:pStyle w:val="LOnormal"/>
        <w:spacing w:lineRule="auto" w:line="276"/>
        <w:ind w:left="141" w:hanging="0"/>
        <w:jc w:val="both"/>
        <w:rPr>
          <w:color w:val="000000"/>
        </w:rPr>
      </w:pPr>
      <w:r>
        <w:rPr>
          <w:color w:val="000000"/>
        </w:rPr>
        <w:t>24.5 Os critérios de aceitabilidade de preços serão:</w:t>
      </w:r>
    </w:p>
    <w:p>
      <w:pPr>
        <w:pStyle w:val="LOnormal"/>
        <w:spacing w:lineRule="auto" w:line="276" w:before="120" w:after="120"/>
        <w:ind w:left="1133" w:hanging="0"/>
        <w:jc w:val="both"/>
        <w:rPr>
          <w:color w:val="000000"/>
        </w:rPr>
      </w:pPr>
      <w:r>
        <w:rPr>
          <w:color w:val="000000"/>
        </w:rPr>
        <w:t>23.5.1</w:t>
      </w:r>
      <w:r>
        <w:rPr>
          <w:b/>
          <w:color w:val="000000"/>
        </w:rPr>
        <w:t xml:space="preserve"> Valor Global</w:t>
      </w:r>
      <w:r>
        <w:rPr>
          <w:color w:val="000000"/>
        </w:rPr>
        <w:t xml:space="preserve">: Conforme </w:t>
      </w:r>
      <w:r>
        <w:rPr>
          <w:b/>
          <w:color w:val="000000"/>
          <w:u w:val="single"/>
        </w:rPr>
        <w:t>Anexo I/B do Termo de Referência</w:t>
      </w:r>
      <w:r>
        <w:rPr>
          <w:color w:val="000000"/>
        </w:rPr>
        <w:t>.</w:t>
      </w:r>
    </w:p>
    <w:p>
      <w:pPr>
        <w:pStyle w:val="LOnormal"/>
        <w:spacing w:lineRule="auto" w:line="276" w:before="120" w:after="120"/>
        <w:ind w:left="1133" w:hanging="0"/>
        <w:jc w:val="both"/>
        <w:rPr>
          <w:color w:val="000000"/>
        </w:rPr>
      </w:pPr>
      <w:r>
        <w:rPr>
          <w:color w:val="000000"/>
        </w:rPr>
        <w:t xml:space="preserve">23.5.2 </w:t>
      </w:r>
      <w:r>
        <w:rPr>
          <w:b/>
          <w:color w:val="000000"/>
        </w:rPr>
        <w:t>Valores unitários</w:t>
      </w:r>
      <w:r>
        <w:rPr>
          <w:color w:val="000000"/>
        </w:rPr>
        <w:t>: conforme planilha de composição de preços anexa ao edital.</w:t>
      </w:r>
    </w:p>
    <w:p>
      <w:pPr>
        <w:pStyle w:val="LOnormal"/>
        <w:spacing w:lineRule="auto" w:line="276" w:before="120" w:after="120"/>
        <w:ind w:left="141" w:hanging="0"/>
        <w:jc w:val="both"/>
        <w:rPr/>
      </w:pPr>
      <w:r>
        <w:rPr/>
        <w:t>24.6 O critério de julgamento da proposta é o menor preço global.</w:t>
      </w:r>
    </w:p>
    <w:p>
      <w:pPr>
        <w:pStyle w:val="LOnormal"/>
        <w:spacing w:lineRule="auto" w:line="276" w:before="120" w:after="120"/>
        <w:ind w:left="141" w:hanging="0"/>
        <w:jc w:val="both"/>
        <w:rPr/>
      </w:pPr>
      <w:r>
        <w:rPr/>
        <w:t>24.7 As regras de desempate entre propostas são as discriminadas no edital.</w:t>
      </w:r>
    </w:p>
    <w:p>
      <w:pPr>
        <w:pStyle w:val="LOnormal"/>
        <w:keepNext w:val="true"/>
        <w:keepLines/>
        <w:spacing w:lineRule="auto" w:line="276" w:before="252" w:after="0"/>
        <w:ind w:left="141" w:hanging="0"/>
        <w:jc w:val="both"/>
        <w:rPr>
          <w:b/>
          <w:b/>
          <w:color w:val="000000"/>
        </w:rPr>
      </w:pPr>
      <w:r>
        <w:rPr>
          <w:b/>
        </w:rPr>
        <w:t xml:space="preserve">25. DA ESTIMATIVA </w:t>
      </w:r>
      <w:r>
        <w:rPr>
          <w:b/>
          <w:color w:val="000000"/>
        </w:rPr>
        <w:t>DE PREÇOS E PREÇOS REFERENCIAIS.</w:t>
      </w:r>
    </w:p>
    <w:p>
      <w:pPr>
        <w:pStyle w:val="LOnormal"/>
        <w:spacing w:lineRule="auto" w:line="276" w:before="120" w:after="120"/>
        <w:ind w:left="141" w:hanging="0"/>
        <w:jc w:val="both"/>
        <w:rPr>
          <w:b/>
          <w:b/>
          <w:smallCaps/>
          <w:color w:val="000000"/>
          <w:u w:val="single"/>
        </w:rPr>
      </w:pPr>
      <w:r>
        <w:rPr>
          <w:color w:val="000000"/>
        </w:rPr>
        <w:t xml:space="preserve">25.1 O custo estimado da contratação é aquele presente na </w:t>
      </w:r>
      <w:r>
        <w:rPr>
          <w:b/>
          <w:color w:val="000000"/>
        </w:rPr>
        <w:t xml:space="preserve">Planilha de Preço Máximo Aceitável - Anexo I/B do termo de referência. </w:t>
      </w:r>
    </w:p>
    <w:p>
      <w:pPr>
        <w:pStyle w:val="LOnormal"/>
        <w:keepNext w:val="true"/>
        <w:keepLines/>
        <w:spacing w:lineRule="auto" w:line="276" w:before="252" w:after="0"/>
        <w:jc w:val="both"/>
        <w:rPr>
          <w:b/>
          <w:b/>
          <w:color w:val="000000"/>
        </w:rPr>
      </w:pPr>
      <w:r>
        <w:rPr>
          <w:b/>
          <w:color w:val="000000"/>
        </w:rPr>
        <w:t>26. DOS RECURSOS ORÇAMENTÁRIOS.</w:t>
      </w:r>
    </w:p>
    <w:p>
      <w:pPr>
        <w:pStyle w:val="LOnormal"/>
        <w:spacing w:lineRule="auto" w:line="276" w:before="120" w:after="120"/>
        <w:jc w:val="both"/>
        <w:rPr>
          <w:color w:val="000000"/>
        </w:rPr>
      </w:pPr>
      <w:r>
        <w:rPr>
          <w:color w:val="000000"/>
          <w:highlight w:val="white"/>
        </w:rPr>
        <w:t>26.1 A indicação da dotação orçamentária fica postergada para o momento da assinatura do contrato ou instrumento equivalente.</w:t>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r>
    </w:p>
    <w:p>
      <w:pPr>
        <w:pStyle w:val="LOnormal"/>
        <w:spacing w:before="0" w:after="360"/>
        <w:jc w:val="right"/>
        <w:rPr>
          <w:color w:val="000000"/>
        </w:rPr>
      </w:pPr>
      <w:r>
        <w:rPr>
          <w:color w:val="000000"/>
          <w:highlight w:val="white"/>
        </w:rPr>
        <w:t xml:space="preserve">Petrolina-PE, _____ de </w:t>
      </w:r>
      <w:r>
        <w:rPr>
          <w:color w:val="000000"/>
          <w:highlight w:val="white"/>
        </w:rPr>
        <w:t>junho</w:t>
      </w:r>
      <w:r>
        <w:rPr>
          <w:color w:val="000000"/>
          <w:highlight w:val="white"/>
        </w:rPr>
        <w:t xml:space="preserve"> de 2022</w:t>
      </w:r>
    </w:p>
    <w:p>
      <w:pPr>
        <w:pStyle w:val="LOnormal"/>
        <w:spacing w:before="0" w:after="360"/>
        <w:jc w:val="center"/>
        <w:rPr>
          <w:b/>
          <w:b/>
          <w:bCs/>
        </w:rPr>
      </w:pPr>
      <w:r>
        <w:rPr>
          <w:b/>
          <w:bCs/>
        </w:rPr>
        <w:t>Identificação e assinatura da equipe responsável</w:t>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132"/>
        <w:ind w:hanging="0"/>
        <w:jc w:val="both"/>
        <w:rPr>
          <w:highlight w:val="white"/>
        </w:rPr>
      </w:pPr>
      <w:r>
        <w:rPr>
          <w:b/>
          <w:highlight w:val="white"/>
        </w:rPr>
        <w:t xml:space="preserve">APROVO </w:t>
      </w:r>
      <w:r>
        <w:rPr>
          <w:highlight w:val="white"/>
        </w:rPr>
        <w:t xml:space="preserve">o presente Termo de Referência de acordo com o inciso II do Artigo 14º do Decreto 10.024/2019, cuja finalidade é subsidiar os licitantes de todas as informações necessárias à participação no certame de Pregão Eletrônico para </w:t>
      </w:r>
      <w:r>
        <w:rPr>
          <w:rFonts w:ascii="Arial-BoldMT" w:hAnsi="Arial-BoldMT"/>
          <w:b/>
          <w:highlight w:val="white"/>
        </w:rPr>
        <w:t xml:space="preserve"> </w:t>
      </w:r>
      <w:r>
        <w:rPr>
          <w:rFonts w:ascii="Arial-BoldMT" w:hAnsi="Arial-BoldMT"/>
          <w:b/>
          <w:color w:val="000000"/>
        </w:rPr>
        <w:t xml:space="preserve">Contratação de empresa para prestação de serviço profissional especializado para pessoas com deficiência, </w:t>
      </w:r>
      <w:r>
        <w:rPr>
          <w:rFonts w:ascii="ArialMT" w:hAnsi="ArialMT"/>
          <w:color w:val="000000"/>
        </w:rPr>
        <w:t>objetivando atender os campi e Reitoria do Instituto Federal do Sertão Pernambucano – IFSertão PE</w:t>
      </w:r>
      <w:r>
        <w:rPr>
          <w:b/>
          <w:highlight w:val="white"/>
        </w:rPr>
        <w:t>,</w:t>
      </w:r>
      <w:r>
        <w:rPr>
          <w:highlight w:val="white"/>
        </w:rPr>
        <w:t xml:space="preserve"> estando presentes os elementos necessários à identificação do objeto, seu custo e todos os critérios para participação de forma clara e concisa.</w:t>
      </w:r>
    </w:p>
    <w:p>
      <w:pPr>
        <w:pStyle w:val="LOnormal"/>
        <w:spacing w:before="0" w:after="360"/>
        <w:jc w:val="right"/>
        <w:rPr>
          <w:color w:val="000000"/>
        </w:rPr>
      </w:pPr>
      <w:r>
        <w:rPr>
          <w:color w:val="000000"/>
          <w:highlight w:val="white"/>
        </w:rPr>
        <w:t xml:space="preserve"> </w:t>
      </w:r>
      <w:r>
        <w:rPr>
          <w:color w:val="000000"/>
          <w:highlight w:val="white"/>
        </w:rPr>
        <w:t xml:space="preserve">Petrolina-PE, _____ de </w:t>
      </w:r>
      <w:r>
        <w:rPr>
          <w:color w:val="000000"/>
          <w:highlight w:val="white"/>
        </w:rPr>
        <w:t xml:space="preserve">junho </w:t>
      </w:r>
      <w:r>
        <w:rPr>
          <w:color w:val="000000"/>
          <w:highlight w:val="white"/>
        </w:rPr>
        <w:t>de 2022</w:t>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r>
    </w:p>
    <w:p>
      <w:pPr>
        <w:pStyle w:val="LOnormal"/>
        <w:ind w:left="141" w:hanging="0"/>
        <w:jc w:val="center"/>
        <w:rPr>
          <w:b/>
          <w:b/>
          <w:highlight w:val="white"/>
        </w:rPr>
      </w:pPr>
      <w:r>
        <w:rPr>
          <w:b/>
          <w:highlight w:val="white"/>
        </w:rPr>
        <w:t>Maria Leopoldina Veras Camelo</w:t>
      </w:r>
    </w:p>
    <w:p>
      <w:pPr>
        <w:pStyle w:val="LOnormal"/>
        <w:ind w:left="141" w:hanging="0"/>
        <w:jc w:val="center"/>
        <w:rPr>
          <w:b/>
          <w:b/>
          <w:highlight w:val="white"/>
        </w:rPr>
      </w:pPr>
      <w:r>
        <w:rPr>
          <w:b/>
          <w:highlight w:val="white"/>
        </w:rPr>
        <w:t>Reitora</w:t>
      </w:r>
    </w:p>
    <w:p>
      <w:pPr>
        <w:pStyle w:val="LOnormal"/>
        <w:ind w:left="141" w:hanging="0"/>
        <w:jc w:val="center"/>
        <w:rPr>
          <w:b/>
          <w:b/>
          <w:highlight w:val="white"/>
        </w:rPr>
      </w:pPr>
      <w:r>
        <w:rPr>
          <w:b/>
          <w:highlight w:val="white"/>
        </w:rPr>
        <w:t>IFSertãoPE</w:t>
      </w:r>
    </w:p>
    <w:p>
      <w:pPr>
        <w:pStyle w:val="LOnormal"/>
        <w:spacing w:before="0" w:after="246"/>
        <w:rPr>
          <w:b/>
          <w:b/>
        </w:rPr>
      </w:pPr>
      <w:r>
        <w:rPr>
          <w:b/>
        </w:rPr>
        <w:t>Anexos:</w:t>
      </w:r>
    </w:p>
    <w:p>
      <w:pPr>
        <w:pStyle w:val="LOnormal"/>
        <w:ind w:left="360" w:hanging="0"/>
        <w:rPr/>
      </w:pPr>
      <w:r>
        <w:rPr/>
        <w:t>I /A– Estudo Técnico Preliminar;</w:t>
      </w:r>
    </w:p>
    <w:p>
      <w:pPr>
        <w:pStyle w:val="LOnormal"/>
        <w:ind w:left="360" w:hanging="0"/>
        <w:rPr/>
      </w:pPr>
      <w:r>
        <w:rPr/>
        <w:t xml:space="preserve">I/B - Planilha de Preço Máximo Aceitável </w:t>
      </w:r>
    </w:p>
    <w:p>
      <w:pPr>
        <w:pStyle w:val="LOnormal"/>
        <w:rPr/>
      </w:pPr>
      <w:r>
        <w:rPr/>
        <w:t xml:space="preserve">      </w:t>
      </w:r>
      <w:r>
        <w:rPr/>
        <w:t>I/C - Planilhas de Custo e Formação de Preços</w:t>
      </w:r>
    </w:p>
    <w:p>
      <w:pPr>
        <w:pStyle w:val="LOnormal"/>
        <w:ind w:left="360" w:hanging="0"/>
        <w:rPr>
          <w:i/>
          <w:i/>
          <w:color w:val="FF0000"/>
        </w:rPr>
      </w:pPr>
      <w:r>
        <w:rPr>
          <w:color w:val="000000"/>
        </w:rPr>
        <w:t>I/D - Instrumento de Medição de Resultados (IMR)</w:t>
      </w:r>
      <w:r>
        <w:rPr>
          <w:i/>
          <w:color w:val="FF0000"/>
        </w:rPr>
        <w:t>;</w:t>
      </w:r>
    </w:p>
    <w:sectPr>
      <w:headerReference w:type="default" r:id="rId4"/>
      <w:footerReference w:type="default" r:id="rId5"/>
      <w:type w:val="nextPage"/>
      <w:pgSz w:w="11906" w:h="16838"/>
      <w:pgMar w:left="1559" w:right="1134" w:gutter="0" w:header="720" w:top="1418" w:footer="709" w:bottom="1418"/>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Wingdings">
    <w:charset w:val="00"/>
    <w:family w:val="roman"/>
    <w:pitch w:val="variable"/>
  </w:font>
  <w:font w:name="Arial">
    <w:altName w:val="Verdana"/>
    <w:charset w:val="00"/>
    <w:family w:val="roman"/>
    <w:pitch w:val="variable"/>
  </w:font>
  <w:font w:name="T3Font_0">
    <w:charset w:val="00"/>
    <w:family w:val="roman"/>
    <w:pitch w:val="variable"/>
  </w:font>
  <w:font w:name="Arial-BoldMT">
    <w:charset w:val="00"/>
    <w:family w:val="roman"/>
    <w:pitch w:val="variable"/>
  </w:font>
  <w:font w:name="ArialMT">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 w:val="right" w:pos="8504" w:leader="none"/>
      </w:tabs>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w:t>
    </w:r>
  </w:p>
  <w:p>
    <w:pPr>
      <w:pStyle w:val="LOnormal"/>
      <w:spacing w:lineRule="auto" w:line="276"/>
      <w:jc w:val="center"/>
      <w:rPr>
        <w:sz w:val="12"/>
        <w:szCs w:val="12"/>
      </w:rPr>
    </w:pPr>
    <w:r>
      <w:rPr>
        <w:b/>
        <w:sz w:val="12"/>
        <w:szCs w:val="12"/>
      </w:rPr>
      <w:t>ANEXO I</w:t>
    </w:r>
  </w:p>
  <w:p>
    <w:pPr>
      <w:pStyle w:val="LOnormal"/>
      <w:spacing w:lineRule="auto" w:line="276"/>
      <w:jc w:val="center"/>
      <w:rPr>
        <w:sz w:val="12"/>
        <w:szCs w:val="12"/>
      </w:rPr>
    </w:pPr>
    <w:r>
      <w:rPr>
        <w:b/>
        <w:sz w:val="12"/>
        <w:szCs w:val="12"/>
      </w:rPr>
      <w:t>TERMO DE REFERÊNCIA</w:t>
    </w:r>
  </w:p>
  <w:p>
    <w:pPr>
      <w:pStyle w:val="LOnormal"/>
      <w:tabs>
        <w:tab w:val="clear" w:pos="720"/>
        <w:tab w:val="center" w:pos="4252" w:leader="none"/>
        <w:tab w:val="right" w:pos="8504" w:leader="none"/>
      </w:tabs>
      <w:spacing w:lineRule="auto" w:line="276"/>
      <w:jc w:val="center"/>
      <w:rPr>
        <w:sz w:val="14"/>
        <w:szCs w:val="14"/>
      </w:rPr>
    </w:pPr>
    <w:r>
      <w:rPr>
        <w:b/>
        <w:sz w:val="14"/>
        <w:szCs w:val="14"/>
      </w:rPr>
      <w:t>(Pregão eletrônico para contratação de prestação de serviço contínuo com dedicação de mão-de-obra exclusiva)</w:t>
    </w:r>
  </w:p>
  <w:p>
    <w:pPr>
      <w:pStyle w:val="LOnormal"/>
      <w:tabs>
        <w:tab w:val="clear" w:pos="720"/>
        <w:tab w:val="center" w:pos="4252" w:leader="none"/>
        <w:tab w:val="right" w:pos="8504" w:leader="none"/>
      </w:tabs>
      <w:rPr>
        <w:sz w:val="12"/>
        <w:szCs w:val="12"/>
      </w:rPr>
    </w:pPr>
    <w:r>
      <w:rPr>
        <w:sz w:val="12"/>
        <w:szCs w:val="12"/>
      </w:rPr>
    </w:r>
  </w:p>
  <w:p>
    <w:pPr>
      <w:pStyle w:val="LOnormal"/>
      <w:tabs>
        <w:tab w:val="clear" w:pos="720"/>
        <w:tab w:val="center" w:pos="4252" w:leader="none"/>
        <w:tab w:val="right" w:pos="8504" w:leader="none"/>
      </w:tabs>
      <w:rPr>
        <w:sz w:val="12"/>
        <w:szCs w:val="12"/>
      </w:rPr>
    </w:pPr>
    <w:r>
      <w:rPr>
        <w:sz w:val="12"/>
        <w:szCs w:val="12"/>
      </w:rPr>
      <w:t>Câmara Nacional de Modelos de Licitações e Contratos Administrativos da Consultoria-Geral da União</w:t>
    </w:r>
  </w:p>
  <w:p>
    <w:pPr>
      <w:pStyle w:val="LOnormal"/>
      <w:tabs>
        <w:tab w:val="clear" w:pos="720"/>
        <w:tab w:val="center" w:pos="4252" w:leader="none"/>
        <w:tab w:val="right" w:pos="8504" w:leader="none"/>
      </w:tabs>
      <w:rPr>
        <w:sz w:val="12"/>
        <w:szCs w:val="12"/>
      </w:rPr>
    </w:pPr>
    <w:r>
      <w:rPr>
        <w:sz w:val="12"/>
        <w:szCs w:val="12"/>
      </w:rPr>
      <w:t>Termo de Referência – Serviços Continuados com Dedicação Exclusiva de Mão-de-Obra</w:t>
    </w:r>
  </w:p>
  <w:p>
    <w:pPr>
      <w:pStyle w:val="LOnormal"/>
      <w:tabs>
        <w:tab w:val="clear" w:pos="720"/>
        <w:tab w:val="center" w:pos="4252" w:leader="none"/>
        <w:tab w:val="right" w:pos="8504" w:leader="none"/>
      </w:tabs>
      <w:rPr>
        <w:sz w:val="12"/>
        <w:szCs w:val="12"/>
      </w:rPr>
    </w:pPr>
    <w:r>
      <w:rPr>
        <w:sz w:val="12"/>
        <w:szCs w:val="12"/>
      </w:rPr>
      <w:t>Atualização: Junho/2021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ind w:left="754" w:hanging="0"/>
      <w:jc w:val="right"/>
      <w:rPr/>
    </w:pPr>
    <w:r>
      <w:drawing>
        <wp:anchor behindDoc="1" distT="0" distB="0" distL="0" distR="0" simplePos="0" locked="0" layoutInCell="0" allowOverlap="1" relativeHeight="44">
          <wp:simplePos x="0" y="0"/>
          <wp:positionH relativeFrom="column">
            <wp:posOffset>-489585</wp:posOffset>
          </wp:positionH>
          <wp:positionV relativeFrom="paragraph">
            <wp:posOffset>-421640</wp:posOffset>
          </wp:positionV>
          <wp:extent cx="1423035" cy="53911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0" distR="0" simplePos="0" locked="0" layoutInCell="0" allowOverlap="1" relativeHeight="87">
          <wp:simplePos x="0" y="0"/>
          <wp:positionH relativeFrom="column">
            <wp:posOffset>2642870</wp:posOffset>
          </wp:positionH>
          <wp:positionV relativeFrom="paragraph">
            <wp:posOffset>-461645</wp:posOffset>
          </wp:positionV>
          <wp:extent cx="529590" cy="51943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b/>
        <w:bCs/>
        <w:sz w:val="16"/>
        <w:szCs w:val="16"/>
      </w:rPr>
      <w:t xml:space="preserve">Pag. </w:t>
    </w:r>
    <w:r>
      <w:rPr>
        <w:b/>
        <w:bCs/>
        <w:sz w:val="16"/>
        <w:szCs w:val="16"/>
      </w:rPr>
      <w:fldChar w:fldCharType="begin"/>
    </w:r>
    <w:r>
      <w:rPr>
        <w:sz w:val="16"/>
        <w:b/>
        <w:szCs w:val="16"/>
        <w:bCs/>
      </w:rPr>
      <w:instrText> PAGE </w:instrText>
    </w:r>
    <w:r>
      <w:rPr>
        <w:sz w:val="16"/>
        <w:b/>
        <w:szCs w:val="16"/>
        <w:bCs/>
      </w:rPr>
      <w:fldChar w:fldCharType="separate"/>
    </w:r>
    <w:r>
      <w:rPr>
        <w:sz w:val="16"/>
        <w:b/>
        <w:szCs w:val="16"/>
        <w:bCs/>
      </w:rPr>
      <w:t>1</w:t>
    </w:r>
    <w:r>
      <w:rPr>
        <w:sz w:val="16"/>
        <w:b/>
        <w:szCs w:val="16"/>
        <w:bCs/>
      </w:rPr>
      <w:fldChar w:fldCharType="end"/>
    </w:r>
    <w:r>
      <w:rPr>
        <w:b/>
        <w:bCs/>
        <w:sz w:val="16"/>
        <w:szCs w:val="16"/>
      </w:rPr>
      <w:t xml:space="preserve"> </w:t>
    </w:r>
    <w:r>
      <w:rPr/>
      <w:t xml:space="preserve">         </w:t>
    </w:r>
  </w:p>
  <w:p>
    <w:pPr>
      <w:pStyle w:val="LOnormal"/>
      <w:jc w:val="center"/>
      <w:rPr/>
    </w:pPr>
    <w:r>
      <w:rPr>
        <w:b/>
        <w:sz w:val="16"/>
        <w:szCs w:val="16"/>
      </w:rPr>
      <w:t>SERVIÇO PÚBLICO FEDERAL</w:t>
    </w:r>
  </w:p>
  <w:p>
    <w:pPr>
      <w:pStyle w:val="LOnormal"/>
      <w:jc w:val="center"/>
      <w:rPr>
        <w:b/>
        <w:b/>
        <w:sz w:val="16"/>
        <w:szCs w:val="16"/>
      </w:rPr>
    </w:pPr>
    <w:r>
      <w:rPr>
        <w:b/>
        <w:sz w:val="16"/>
        <w:szCs w:val="16"/>
      </w:rPr>
      <w:t>MINISTÉRIO DA EDUCAÇÃO</w:t>
    </w:r>
  </w:p>
  <w:p>
    <w:pPr>
      <w:pStyle w:val="LOnormal"/>
      <w:jc w:val="center"/>
      <w:rPr>
        <w:b/>
        <w:b/>
        <w:sz w:val="16"/>
        <w:szCs w:val="16"/>
      </w:rPr>
    </w:pPr>
    <w:r>
      <w:rPr>
        <w:b/>
        <w:sz w:val="16"/>
        <w:szCs w:val="16"/>
      </w:rPr>
      <w:t>SECRETARIA DE EDUCAÇÃO PROFISSIONAL E TECNOLÓGICA</w:t>
    </w:r>
  </w:p>
  <w:p>
    <w:pPr>
      <w:pStyle w:val="LOnormal"/>
      <w:jc w:val="center"/>
      <w:rPr/>
    </w:pPr>
    <w:r>
      <w:rPr>
        <w:b/>
        <w:color w:val="000000"/>
        <w:sz w:val="16"/>
        <w:szCs w:val="16"/>
      </w:rPr>
      <w:t>INSTITUTO FEDERAL DE EDUCAÇÃO, CIÊNCIA E TECNOLOGIA DO SERTÃO PERNAMBUCANO</w:t>
    </w:r>
  </w:p>
  <w:p>
    <w:pPr>
      <w:pStyle w:val="LOnormal"/>
      <w:pBdr>
        <w:bottom w:val="single" w:sz="4" w:space="1" w:color="000001"/>
      </w:pBdr>
      <w:jc w:val="center"/>
      <w:rPr>
        <w:b/>
        <w:b/>
        <w:sz w:val="16"/>
        <w:szCs w:val="16"/>
      </w:rPr>
    </w:pPr>
    <w:r>
      <w:rPr>
        <w:b/>
        <w:sz w:val="16"/>
        <w:szCs w:val="16"/>
      </w:rPr>
      <w:t>EQUIPE DE APOIO AO PREGOEIRO</w:t>
    </w:r>
  </w:p>
  <w:p>
    <w:pPr>
      <w:pStyle w:val="LOnormal"/>
      <w:pBdr>
        <w:bottom w:val="single" w:sz="4" w:space="1" w:color="000001"/>
      </w:pBdr>
      <w:jc w:val="center"/>
      <w:rPr>
        <w:b/>
        <w:b/>
        <w:color w:val="000000"/>
        <w:sz w:val="16"/>
        <w:szCs w:val="16"/>
      </w:rPr>
    </w:pPr>
    <w:r>
      <w:rPr>
        <w:b/>
        <w:color w:val="000000"/>
        <w:sz w:val="16"/>
        <w:szCs w:val="16"/>
      </w:rPr>
      <w:t>DIRETORIA DE LICITAÇÕES - DLIC</w:t>
    </w:r>
  </w:p>
  <w:p>
    <w:pPr>
      <w:pStyle w:val="LOnormal"/>
      <w:pBdr>
        <w:bottom w:val="single" w:sz="4" w:space="1" w:color="000001"/>
      </w:pBdr>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sz w:val="20"/>
        <w:i w:val="false"/>
        <w:b w:val="false"/>
        <w:szCs w:val="20"/>
        <w:rFonts w:ascii="Arial" w:hAnsi="Arial" w:eastAsia="Arial" w:cs="Arial"/>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pt-BR"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Ttulo1">
    <w:name w:val="Heading 1"/>
    <w:basedOn w:val="LOnormal"/>
    <w:next w:val="LOnormal"/>
    <w:uiPriority w:val="9"/>
    <w:qFormat/>
    <w:pPr>
      <w:keepNext w:val="true"/>
      <w:keepLines/>
      <w:spacing w:before="240" w:after="120"/>
      <w:outlineLvl w:val="0"/>
    </w:pPr>
    <w:rPr>
      <w:rFonts w:ascii="Cambria" w:hAnsi="Cambria" w:eastAsia="Cambria" w:cs="Cambria"/>
      <w:color w:val="365F91"/>
      <w:sz w:val="32"/>
      <w:szCs w:val="32"/>
    </w:rPr>
  </w:style>
  <w:style w:type="paragraph" w:styleId="Ttulo2">
    <w:name w:val="Heading 2"/>
    <w:basedOn w:val="LOnormal"/>
    <w:next w:val="LO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character" w:styleId="Smbolosdenumerao" w:customStyle="1">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Default">
    <w:name w:val="Default"/>
    <w:qFormat/>
    <w:pPr>
      <w:widowControl/>
      <w:suppressAutoHyphens w:val="true"/>
      <w:bidi w:val="0"/>
      <w:spacing w:before="0" w:after="0"/>
      <w:jc w:val="left"/>
    </w:pPr>
    <w:rPr>
      <w:rFonts w:ascii="Arial" w:hAnsi="Arial" w:eastAsia="Arial" w:cs="Arial"/>
      <w:color w:val="000000"/>
      <w:kern w:val="0"/>
      <w:sz w:val="24"/>
      <w:szCs w:val="20"/>
      <w:lang w:val="pt-BR" w:eastAsia="zh-CN" w:bidi="hi-IN"/>
    </w:rPr>
  </w:style>
  <w:style w:type="numbering" w:styleId="NoList" w:default="1">
    <w:name w:val="No List"/>
    <w:uiPriority w:val="99"/>
    <w:semiHidden/>
    <w:unhideWhenUsed/>
    <w:qFormat/>
  </w:style>
  <w:style w:type="numbering" w:styleId="Numerao123" w:customStyle="1">
    <w:name w:val="Numeração 12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alizzarecursos.com.br/licoes/curso-online-gratis-atendimento-educacional-especializado-para-pessoas-com-surdez/" TargetMode="External"/><Relationship Id="rId3" Type="http://schemas.openxmlformats.org/officeDocument/2006/relationships/hyperlink" Target="http://www.salario.com.b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Application>LibreOffice/7.2.5.2$Windows_X86_64 LibreOffice_project/499f9727c189e6ef3471021d6132d4c694f357e5</Application>
  <AppVersion>15.0000</AppVersion>
  <Pages>43</Pages>
  <Words>17803</Words>
  <Characters>101211</Characters>
  <CharactersWithSpaces>118376</CharactersWithSpaces>
  <Paragraphs>785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2022-05-19T15:06:00Z</dcterms:created>
  <dc:creator>mariajoseamaral</dc:creator>
  <dc:description/>
  <dc:language>pt-BR</dc:language>
  <cp:lastModifiedBy/>
  <dcterms:modified xsi:type="dcterms:W3CDTF">2022-06-07T15:49:46Z</dcterms:modified>
  <cp:revision>23</cp:revision>
  <dc:subject/>
  <dc:title>SERVIÇO PÚBLICO</dc:title>
</cp:coreProperties>
</file>

<file path=docProps/custom.xml><?xml version="1.0" encoding="utf-8"?>
<Properties xmlns="http://schemas.openxmlformats.org/officeDocument/2006/custom-properties" xmlns:vt="http://schemas.openxmlformats.org/officeDocument/2006/docPropsVTypes"/>
</file>