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Unidades Demandantes: </w:t>
      </w:r>
      <w:r>
        <w:rPr>
          <w:rFonts w:cs="Times New Roman" w:ascii="Times New Roman" w:hAnsi="Times New Roman"/>
          <w:color w:val="00000A"/>
          <w:highlight w:val="white"/>
          <w:lang w:bidi="ar-SA"/>
        </w:rPr>
        <w:t>Reitoria e campis do IF Sertão PE</w:t>
      </w:r>
    </w:p>
    <w:p>
      <w:pPr>
        <w:pStyle w:val="Default"/>
        <w:spacing w:before="120" w:after="120"/>
        <w:rPr>
          <w:rFonts w:eastAsia="Times New Roman"/>
          <w:b/>
          <w:b/>
        </w:rPr>
      </w:pPr>
      <w:r>
        <w:rPr>
          <w:b/>
        </w:rPr>
        <w:t>Objeto</w:t>
      </w:r>
      <w:r>
        <w:rPr>
          <w:color w:val="00000A"/>
          <w:highlight w:val="white"/>
        </w:rPr>
        <w:t xml:space="preserve">: </w:t>
      </w:r>
      <w:r>
        <w:rPr>
          <w:rFonts w:eastAsia="Arial"/>
          <w:b w:val="false"/>
          <w:bCs w:val="false"/>
          <w:color w:val="00000A"/>
          <w:highlight w:val="white"/>
        </w:rPr>
        <w:t>Contratação de empresa para prestação de</w:t>
      </w:r>
      <w:r>
        <w:rPr>
          <w:rFonts w:eastAsia="Arial"/>
          <w:b/>
          <w:bCs/>
          <w:color w:val="00000A"/>
          <w:highlight w:val="white"/>
        </w:rPr>
        <w:t xml:space="preserve"> serviços gráficos com fornecimento de materiais </w:t>
      </w:r>
      <w:r>
        <w:rPr>
          <w:rFonts w:eastAsia="Arial"/>
          <w:b w:val="false"/>
          <w:bCs w:val="false"/>
          <w:color w:val="00000A"/>
          <w:highlight w:val="white"/>
        </w:rPr>
        <w:t xml:space="preserve">para atender as demandas da Reitoria e dos Campi do IF Sertão Pernambucano </w:t>
      </w:r>
    </w:p>
    <w:p>
      <w:pPr>
        <w:pStyle w:val="LOnormal"/>
        <w:spacing w:lineRule="auto" w:line="360" w:before="120" w:after="120"/>
        <w:jc w:val="center"/>
        <w:rPr>
          <w:b/>
          <w:b/>
        </w:rPr>
      </w:pPr>
      <w:r>
        <w:rPr>
          <w:b/>
        </w:rPr>
      </w:r>
    </w:p>
    <w:p>
      <w:pPr>
        <w:pStyle w:val="LOnormal"/>
        <w:spacing w:lineRule="auto" w:line="360"/>
        <w:jc w:val="center"/>
        <w:rPr/>
      </w:pPr>
      <w:r>
        <w:rPr>
          <w:b/>
        </w:rPr>
        <w:t>Análise Administrativa e Institucional</w:t>
      </w:r>
      <w:r>
        <w:rPr>
          <w:b/>
          <w:color w:val="000000"/>
        </w:rPr>
        <w:t xml:space="preserve"> nº </w:t>
      </w:r>
      <w:r>
        <w:rPr>
          <w:b/>
          <w:color w:val="000000"/>
          <w:highlight w:val="yellow"/>
        </w:rPr>
        <w:t>xx</w:t>
      </w:r>
      <w:r>
        <w:rPr>
          <w:b/>
          <w:color w:val="000000"/>
        </w:rPr>
        <w:t>/2022/PROAD/Reitoria/IF Sertão-PE</w:t>
      </w:r>
    </w:p>
    <w:p>
      <w:pPr>
        <w:pStyle w:val="LOnormal"/>
        <w:spacing w:lineRule="auto" w:line="36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tbl>
      <w:tblPr>
        <w:tblStyle w:val="TableNormal"/>
        <w:tblW w:w="954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545"/>
      </w:tblGrid>
      <w:tr>
        <w:trPr/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9966" w:val="clear"/>
          </w:tcPr>
          <w:p>
            <w:pPr>
              <w:pStyle w:val="LOnormal"/>
              <w:widowControl w:val="false"/>
              <w:suppressAutoHyphens w:val="true"/>
              <w:spacing w:lineRule="auto" w:line="360" w:before="113" w:after="0"/>
              <w:jc w:val="left"/>
              <w:rPr>
                <w:rFonts w:ascii="Calibri" w:hAnsi="Calibri" w:eastAsia="Calibri" w:cs="Calibri"/>
                <w:kern w:val="0"/>
                <w:sz w:val="24"/>
                <w:szCs w:val="24"/>
                <w:lang w:val="pt-BR" w:eastAsia="zh-CN" w:bidi="hi-IN"/>
              </w:rPr>
            </w:pPr>
            <w:r>
              <w:rPr>
                <w:rFonts w:eastAsia="Calibri" w:cs="Calibri"/>
                <w:b/>
                <w:kern w:val="0"/>
                <w:sz w:val="24"/>
                <w:szCs w:val="24"/>
                <w:lang w:val="pt-BR" w:eastAsia="zh-CN" w:bidi="hi-IN"/>
              </w:rPr>
              <w:t>I – RELATÓRIO</w:t>
            </w:r>
          </w:p>
        </w:tc>
      </w:tr>
    </w:tbl>
    <w:p>
      <w:pPr>
        <w:pStyle w:val="LOnormal"/>
        <w:widowControl/>
        <w:spacing w:before="284" w:after="228"/>
        <w:ind w:left="227" w:hanging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val="000000"/>
        </w:rPr>
        <w:t>1. Trata-se da análise da viabilidade administrativa e institucional a ser realizada sob a perspectiva de probabilidade e impacto de ocorrência da aquisição pretendida, considerando os elementos essenciais que servirão para compor o termo de referência ou projeto básico com base na oficialização da demanda e estudo técnico preliminar.</w:t>
      </w:r>
    </w:p>
    <w:p>
      <w:pPr>
        <w:pStyle w:val="LOnormal"/>
        <w:ind w:left="22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 xml:space="preserve">2. Para análise da viabilidade da aquisição serão considerados dentre outros elementos que compõem o planejamento inicial da aquisição a </w:t>
      </w:r>
      <w:r>
        <w:rPr>
          <w:rFonts w:cs="Times New Roman" w:ascii="Times New Roman" w:hAnsi="Times New Roman"/>
          <w:b/>
          <w:color w:val="000000"/>
        </w:rPr>
        <w:t>justificativa da necessidade, estimativa da quantidade com a respectiva memória de cálculo e a estimativa de preços (preços referenciais).</w:t>
      </w:r>
    </w:p>
    <w:p>
      <w:pPr>
        <w:pStyle w:val="LOnormal"/>
        <w:jc w:val="both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LOnormal"/>
        <w:ind w:left="720" w:hanging="0"/>
        <w:jc w:val="both"/>
        <w:rPr/>
      </w:pPr>
      <w:r>
        <w:rPr>
          <w:rFonts w:cs="Times New Roman" w:ascii="Times New Roman" w:hAnsi="Times New Roman"/>
          <w:b/>
        </w:rPr>
        <w:t xml:space="preserve">2.1 </w:t>
      </w:r>
      <w:r>
        <w:rPr>
          <w:rFonts w:cs="Times New Roman" w:ascii="Times New Roman" w:hAnsi="Times New Roman"/>
        </w:rPr>
        <w:t>A partir desses elementos e outros presentes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</w:rPr>
        <w:t xml:space="preserve">na </w:t>
      </w:r>
      <w:r>
        <w:rPr>
          <w:rFonts w:cs="Times New Roman" w:ascii="Times New Roman" w:hAnsi="Times New Roman"/>
          <w:b/>
        </w:rPr>
        <w:t>consolidação da demanda</w:t>
      </w:r>
      <w:r>
        <w:rPr>
          <w:rFonts w:cs="Times New Roman" w:ascii="Times New Roman" w:hAnsi="Times New Roman"/>
        </w:rPr>
        <w:t xml:space="preserve">, </w:t>
      </w:r>
      <w:r>
        <w:rPr>
          <w:rFonts w:cs="Times New Roman" w:ascii="Times New Roman" w:hAnsi="Times New Roman"/>
          <w:b/>
        </w:rPr>
        <w:t xml:space="preserve">estudo técnico preliminar e no termo de referência </w:t>
      </w:r>
      <w:r>
        <w:rPr>
          <w:rFonts w:cs="Times New Roman" w:ascii="Times New Roman" w:hAnsi="Times New Roman"/>
        </w:rPr>
        <w:t>será possível definir a</w:t>
      </w:r>
      <w:r>
        <w:rPr>
          <w:rFonts w:cs="Times New Roman" w:ascii="Times New Roman" w:hAnsi="Times New Roman"/>
          <w:b/>
        </w:rPr>
        <w:t xml:space="preserve"> modalidade da licitação, critério de julgamento, modo de disputa, valor estimado ou máximo aceitável, </w:t>
      </w:r>
      <w:r>
        <w:rPr>
          <w:rFonts w:cs="Times New Roman" w:ascii="Times New Roman" w:hAnsi="Times New Roman"/>
        </w:rPr>
        <w:t>com também se o</w:t>
      </w:r>
      <w:r>
        <w:rPr>
          <w:rFonts w:cs="Times New Roman" w:ascii="Times New Roman" w:hAnsi="Times New Roman"/>
          <w:b/>
        </w:rPr>
        <w:t xml:space="preserve"> valor referencial deve ou não constar expressamente do edital.</w:t>
      </w:r>
    </w:p>
    <w:p>
      <w:pPr>
        <w:pStyle w:val="LOnormal"/>
        <w:jc w:val="both"/>
        <w:rPr/>
      </w:pPr>
      <w:r>
        <w:rPr>
          <w:b/>
          <w:color w:val="FF3333"/>
        </w:rPr>
        <w:t xml:space="preserve"> </w:t>
      </w:r>
    </w:p>
    <w:tbl>
      <w:tblPr>
        <w:tblStyle w:val="TableNormal"/>
        <w:tblW w:w="954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545"/>
      </w:tblGrid>
      <w:tr>
        <w:trPr/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4BC96" w:themeFill="background2" w:themeFillShade="bf" w:val="clear"/>
          </w:tcPr>
          <w:p>
            <w:pPr>
              <w:pStyle w:val="LOnormal"/>
              <w:widowControl w:val="false"/>
              <w:suppressAutoHyphens w:val="true"/>
              <w:spacing w:lineRule="auto" w:line="360" w:before="57" w:after="57"/>
              <w:jc w:val="left"/>
              <w:rPr>
                <w:rFonts w:ascii="Calibri" w:hAnsi="Calibri" w:eastAsia="Calibri" w:cs="Calibri"/>
                <w:kern w:val="0"/>
                <w:sz w:val="24"/>
                <w:szCs w:val="24"/>
                <w:lang w:val="pt-BR" w:eastAsia="zh-CN" w:bidi="hi-IN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4"/>
                <w:szCs w:val="24"/>
                <w:lang w:val="pt-BR" w:eastAsia="zh-CN" w:bidi="hi-IN"/>
              </w:rPr>
              <w:t>II – DA ANÁLISE</w:t>
            </w:r>
          </w:p>
        </w:tc>
      </w:tr>
    </w:tbl>
    <w:p>
      <w:pPr>
        <w:pStyle w:val="LOnormal"/>
        <w:spacing w:lineRule="auto" w:line="360" w:before="57" w:after="57"/>
        <w:ind w:left="227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II.1 Justificativa da Necessidade</w:t>
      </w:r>
    </w:p>
    <w:p>
      <w:pPr>
        <w:pStyle w:val="LOnormal"/>
        <w:widowControl/>
        <w:ind w:left="227"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3. Especificamente no que toca ao procedimento licitatório na </w:t>
      </w:r>
      <w:r>
        <w:rPr>
          <w:rFonts w:eastAsia="Times New Roman" w:cs="Times New Roman" w:ascii="Times New Roman" w:hAnsi="Times New Roman"/>
          <w:b/>
          <w:color w:val="000000"/>
          <w:u w:val="single"/>
        </w:rPr>
        <w:t>modalidade de pregão</w:t>
      </w:r>
      <w:r>
        <w:rPr>
          <w:rFonts w:eastAsia="Times New Roman" w:cs="Times New Roman" w:ascii="Times New Roman" w:hAnsi="Times New Roman"/>
          <w:color w:val="000000"/>
        </w:rPr>
        <w:t>, o</w:t>
      </w:r>
      <w:r>
        <w:rPr>
          <w:rFonts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 xml:space="preserve">art. 3º, inciso I, da Lei nº 10.520/02 </w:t>
      </w:r>
      <w:r>
        <w:rPr>
          <w:rFonts w:cs="Times New Roman" w:ascii="Times New Roman" w:hAnsi="Times New Roman"/>
        </w:rPr>
        <w:t>impõe</w:t>
      </w:r>
      <w:r>
        <w:rPr>
          <w:rFonts w:eastAsia="Times New Roman" w:cs="Times New Roman" w:ascii="Times New Roman" w:hAnsi="Times New Roman"/>
          <w:color w:val="000000"/>
        </w:rPr>
        <w:t xml:space="preserve"> expressamente a obrigatoriedade de justificar a necessidade da contratação/aquisição, assim como a </w:t>
      </w:r>
      <w:r>
        <w:rPr>
          <w:rFonts w:eastAsia="Times New Roman" w:cs="Times New Roman" w:ascii="Times New Roman" w:hAnsi="Times New Roman"/>
          <w:b/>
          <w:color w:val="000000"/>
        </w:rPr>
        <w:t>IN nº 5, de 26 de maio de 2017 – SEGES/MPDG</w:t>
      </w:r>
      <w:r>
        <w:rPr>
          <w:rFonts w:eastAsia="Times New Roman" w:cs="Times New Roman" w:ascii="Times New Roman" w:hAnsi="Times New Roman"/>
          <w:color w:val="000000"/>
        </w:rPr>
        <w:t>, que dispõe sobre a contratação de serviços por órgãos ou entidades integrantes do Sistema de Serviços Gerais – SISG, estabelece diretrizes para a justificativa da necessidade da contratação de serviços.</w:t>
      </w:r>
    </w:p>
    <w:p>
      <w:pPr>
        <w:pStyle w:val="LOnormal"/>
        <w:widowControl/>
        <w:ind w:left="227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widowControl/>
        <w:ind w:left="227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4. Segundo Súmula 177 TCU o objeto da contratação deve estar no instrumento convocatório com a descrição de forma precisa e suficiente, de modo a evitar o apontamento de elementos desnecessários ou irrelevantes ao uso que a Administração pretende dar a tal objeto. Vejamos:</w:t>
      </w:r>
    </w:p>
    <w:p>
      <w:pPr>
        <w:pStyle w:val="LOnormal"/>
        <w:widowControl/>
        <w:ind w:left="227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widowControl/>
        <w:ind w:left="947" w:hanging="0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SÚMULA 177 – A definição precisa e suficiente do objeto licitado constitui regra indispensável da competição, até mesmo como pressuposto do postulado de igualdade entre os licitantes, do qual é subsidiário o princípio da publicidade, que envolve o conhecimento, pelos concorrentes potenciais das condições básicas da licitação, constituindo, na hipótese particular da licitação para compra, a quantidade demandada em uma das especificações mínimas e essenciais à definição do objeto do pregão.</w:t>
      </w:r>
    </w:p>
    <w:p>
      <w:pPr>
        <w:pStyle w:val="LOnormal"/>
        <w:widowControl/>
        <w:ind w:left="947" w:hanging="0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"/>
        <w:widowControl/>
        <w:ind w:left="283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5. Em razão de tal necessidade, para que seja possível averiguar se estão presentes tais requisitos imprescindíveis à descrição do objeto, é preciso que a Administração demonstre no procedimento as razões pelas quais precisa do objeto e o porquê das especificações técnicas apresentadas e da quantidade solicitada.</w:t>
      </w:r>
    </w:p>
    <w:p>
      <w:pPr>
        <w:pStyle w:val="LOnormal"/>
        <w:widowControl/>
        <w:ind w:left="283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widowControl/>
        <w:ind w:left="283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6. Não por outra razão, o caput do art. 2º da Lei nº 9.784/99, que regula o processo administrativo no âmbito federal, determina a observância do princípio da motivação, e o inciso II do p. único do mesmo dispositivo fixa a necessidade de indicação dos pressupostos de fato e de direito que determinarem a decisão da autoridade administrativa.</w:t>
      </w:r>
    </w:p>
    <w:p>
      <w:pPr>
        <w:pStyle w:val="LOnormal"/>
        <w:widowControl/>
        <w:ind w:left="283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widowControl/>
        <w:ind w:left="283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7. A justificativa deve demonstrar a necessidade da contratação, normalmente respondendo-se a razão pela qual o bem ou serviço é necessário para que o órgão possa desempenhar suas atividades.</w:t>
      </w:r>
    </w:p>
    <w:p>
      <w:pPr>
        <w:pStyle w:val="LOnormal"/>
        <w:widowControl/>
        <w:ind w:left="227"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widowControl/>
        <w:spacing w:before="57" w:after="57"/>
        <w:ind w:left="227" w:hanging="0"/>
        <w:jc w:val="both"/>
        <w:rPr/>
      </w:pPr>
      <w:r>
        <w:rPr>
          <w:rFonts w:eastAsia="Times New Roman" w:cs="Times New Roman" w:ascii="Times New Roman" w:hAnsi="Times New Roman"/>
        </w:rPr>
        <w:t>8.</w:t>
      </w:r>
      <w:r>
        <w:rPr>
          <w:rFonts w:eastAsia="Times New Roman" w:cs="Times New Roman" w:ascii="Times New Roman" w:hAnsi="Times New Roman"/>
          <w:color w:val="000000"/>
        </w:rPr>
        <w:t xml:space="preserve"> A justificativa, em regra, deve ser apresentada pelo setor demandante. Quando o objeto possuir características técnicas especializadas, deve o setor demandante solicitar a unidade técnica competente (Diretoria de Obras ou de TI, por exemplo) a definição das suas especificações, e, se for o caso, do quantitativo a ser adquirido.</w:t>
      </w:r>
    </w:p>
    <w:p>
      <w:pPr>
        <w:pStyle w:val="LOnormal"/>
        <w:widowControl/>
        <w:spacing w:before="114" w:after="114"/>
        <w:ind w:left="227" w:hanging="0"/>
        <w:jc w:val="both"/>
        <w:rPr/>
      </w:pPr>
      <w:r>
        <w:rPr>
          <w:rFonts w:eastAsia="Times New Roman" w:cs="Times New Roman" w:ascii="Times New Roman" w:hAnsi="Times New Roman"/>
          <w:color w:val="FF3333"/>
        </w:rPr>
        <w:t>9. No presente caso, os campi justificaram a necessidade da aquisição, conforme constam no Tópico 2 dos Estudos Técnicos Preliminares, como também no Documento de Consolidação da Demanda dos campi participantes e presentes no Processo.</w:t>
      </w:r>
    </w:p>
    <w:p>
      <w:pPr>
        <w:pStyle w:val="LOnormal"/>
        <w:widowControl/>
        <w:spacing w:before="114" w:after="114"/>
        <w:ind w:left="720" w:hanging="0"/>
        <w:jc w:val="both"/>
        <w:rPr/>
      </w:pPr>
      <w:r>
        <w:rPr>
          <w:rFonts w:eastAsia="Times New Roman" w:cs="Times New Roman" w:ascii="Times New Roman" w:hAnsi="Times New Roman"/>
          <w:color w:val="FF3333"/>
        </w:rPr>
        <w:t>9.1 Na identificação da necessidade, a justificativa da contratação com exposição da sua motivação e dos benefícios dela resultantes, foi retratada especificamente neste Tópico, como também por cada uma das Unidades do IF Sertão – PE presente nos documentos de Consolidação das Demandas de acordo com a obrigatoriedade imposta pela legislação em vigor.</w:t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FF3333"/>
        </w:rPr>
      </w:pPr>
      <w:r>
        <w:rPr>
          <w:rFonts w:eastAsia="Times New Roman" w:cs="Times New Roman" w:ascii="Times New Roman" w:hAnsi="Times New Roman"/>
          <w:color w:val="FF3333"/>
        </w:rPr>
      </w:r>
    </w:p>
    <w:p>
      <w:pPr>
        <w:pStyle w:val="LOnormal"/>
        <w:widowControl w:val="false"/>
        <w:suppressAutoHyphens w:val="true"/>
        <w:bidi w:val="0"/>
        <w:spacing w:lineRule="auto" w:line="360" w:before="0" w:after="0"/>
        <w:ind w:left="0" w:right="0" w:hanging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II.2.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</w:rPr>
        <w:t>Estimativa da Quantidade (Memória de Cálculo)</w:t>
      </w:r>
    </w:p>
    <w:p>
      <w:pPr>
        <w:pStyle w:val="LOnormal"/>
        <w:widowControl w:val="false"/>
        <w:suppressAutoHyphens w:val="true"/>
        <w:bidi w:val="0"/>
        <w:spacing w:before="0" w:after="0"/>
        <w:ind w:left="0" w:right="0" w:hanging="0"/>
        <w:jc w:val="both"/>
        <w:rPr/>
      </w:pPr>
      <w:r>
        <w:rPr>
          <w:rFonts w:cs="Times New Roman" w:ascii="Times New Roman" w:hAnsi="Times New Roman"/>
        </w:rPr>
        <w:t>10</w:t>
      </w:r>
      <w:r>
        <w:rPr>
          <w:rFonts w:cs="Times New Roman" w:ascii="Times New Roman" w:hAnsi="Times New Roman"/>
          <w:color w:val="000000"/>
        </w:rPr>
        <w:t>. A Administração deverá observar o disposto no art. 15, §7º, II, da Lei nº 8.666/93, justificando as quantidades a serem adquiridas em função do consumo do órgão e provável utilização, devendo a estimativa ser obtida, a partir de fatos concretos (Ex: consumo do exercício anterior, necessidade de substituição dos bens atualmente disponíveis, implantação de setor, acréscimo de atividades, etc.).</w:t>
      </w:r>
    </w:p>
    <w:p>
      <w:pPr>
        <w:pStyle w:val="LOnormal"/>
        <w:widowControl w:val="false"/>
        <w:suppressAutoHyphens w:val="true"/>
        <w:bidi w:val="0"/>
        <w:spacing w:lineRule="auto" w:line="36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</w:rPr>
        <w:t xml:space="preserve"> </w:t>
      </w:r>
    </w:p>
    <w:p>
      <w:pPr>
        <w:pStyle w:val="LOnormal"/>
        <w:widowControl w:val="false"/>
        <w:suppressAutoHyphens w:val="true"/>
        <w:bidi w:val="0"/>
        <w:spacing w:lineRule="auto" w:line="276" w:before="0" w:after="0"/>
        <w:ind w:left="0" w:right="0" w:hanging="0"/>
        <w:jc w:val="both"/>
        <w:rPr/>
      </w:pPr>
      <w:r>
        <w:rPr>
          <w:rFonts w:cs="Times New Roman" w:ascii="Times New Roman" w:hAnsi="Times New Roman"/>
        </w:rPr>
        <w:t>11</w:t>
      </w:r>
      <w:r>
        <w:rPr>
          <w:rFonts w:cs="Times New Roman" w:ascii="Times New Roman" w:hAnsi="Times New Roman"/>
          <w:color w:val="000000"/>
        </w:rPr>
        <w:t>. Para se justificar a quantidade que se pretende adquirir/contratar é necessário estabelecer parâmetros que vão demonstrar previamente, de maneira metódica e didática, através de memória de cálculo detalhada, a demanda que tendam o órgão.</w:t>
      </w:r>
    </w:p>
    <w:p>
      <w:pPr>
        <w:pStyle w:val="LOnormal"/>
        <w:spacing w:lineRule="auto" w:line="276"/>
        <w:ind w:left="283"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widowControl/>
        <w:ind w:left="283" w:hanging="0"/>
        <w:jc w:val="both"/>
        <w:rPr/>
      </w:pPr>
      <w:r>
        <w:rPr>
          <w:rFonts w:eastAsia="Times New Roman" w:cs="Times New Roman" w:ascii="Times New Roman" w:hAnsi="Times New Roman"/>
          <w:color w:val="FF3333"/>
        </w:rPr>
        <w:t xml:space="preserve">12. No presente caso, os quantitativos foram estabelecidos na Memória de Cálculo emitida por Setor das Unidades do IFSertãoPE, fazendo constar no </w:t>
      </w:r>
      <w:r>
        <w:rPr>
          <w:rFonts w:eastAsia="Times New Roman" w:cs="Times New Roman" w:ascii="Times New Roman" w:hAnsi="Times New Roman"/>
          <w:color w:val="FF3333"/>
          <w:u w:val="single"/>
        </w:rPr>
        <w:t>Sistema de Controle de Aquisição de Bens e Serviços – SICABS</w:t>
      </w:r>
      <w:r>
        <w:rPr>
          <w:rFonts w:eastAsia="Times New Roman" w:cs="Times New Roman" w:ascii="Times New Roman" w:hAnsi="Times New Roman"/>
          <w:color w:val="FF3333"/>
        </w:rPr>
        <w:t xml:space="preserve">. Os quantitativos estimados, segundo a memória de cálculo, foram baseados no _______( </w:t>
      </w:r>
      <w:r>
        <w:rPr>
          <w:rFonts w:eastAsia="Times New Roman" w:cs="Times New Roman" w:ascii="Times New Roman" w:hAnsi="Times New Roman"/>
          <w:color w:val="000000"/>
        </w:rPr>
        <w:t>Ex: consumo do exercício anterior, necessidade de substituição dos bens atualmente disponíveis, implantação de setor, acréscimo de atividades, etc),</w:t>
      </w:r>
      <w:r>
        <w:rPr>
          <w:rFonts w:eastAsia="Times New Roman" w:cs="Times New Roman" w:ascii="Times New Roman" w:hAnsi="Times New Roman"/>
          <w:color w:val="FF3333"/>
        </w:rPr>
        <w:t xml:space="preserve"> visando atender as demandas relacionadas as atividades rotineiras institucionais, tais como aulas práticas, pesquisas, etc, adequadas à necessidade do demandante.</w:t>
      </w:r>
    </w:p>
    <w:p>
      <w:pPr>
        <w:pStyle w:val="LOnormal"/>
        <w:widowControl/>
        <w:jc w:val="both"/>
        <w:rPr>
          <w:rFonts w:ascii="Times New Roman" w:hAnsi="Times New Roman" w:eastAsia="Times New Roman" w:cs="Times New Roman"/>
          <w:b/>
          <w:b/>
          <w:color w:val="000000"/>
          <w:highlight w:val="yellow"/>
          <w:u w:val="single"/>
        </w:rPr>
      </w:pPr>
      <w:r>
        <w:rPr>
          <w:rFonts w:eastAsia="Times New Roman" w:cs="Times New Roman" w:ascii="Times New Roman" w:hAnsi="Times New Roman"/>
          <w:b/>
          <w:color w:val="000000"/>
          <w:highlight w:val="yellow"/>
          <w:u w:val="single"/>
        </w:rPr>
      </w:r>
    </w:p>
    <w:p>
      <w:pPr>
        <w:pStyle w:val="LOnormal"/>
        <w:widowControl/>
        <w:jc w:val="both"/>
        <w:rPr>
          <w:rFonts w:ascii="Times New Roman" w:hAnsi="Times New Roman" w:eastAsia="Times New Roman" w:cs="Times New Roman"/>
          <w:b/>
          <w:b/>
          <w:color w:val="000000"/>
          <w:highlight w:val="yellow"/>
          <w:u w:val="single"/>
        </w:rPr>
      </w:pPr>
      <w:r>
        <w:rPr>
          <w:rFonts w:eastAsia="Times New Roman" w:cs="Times New Roman" w:ascii="Times New Roman" w:hAnsi="Times New Roman"/>
          <w:b/>
          <w:color w:val="000000"/>
          <w:highlight w:val="yellow"/>
          <w:u w:val="single"/>
        </w:rPr>
      </w:r>
    </w:p>
    <w:p>
      <w:pPr>
        <w:pStyle w:val="LOnormal"/>
        <w:widowControl/>
        <w:spacing w:lineRule="auto" w:line="360" w:before="57" w:after="57"/>
        <w:ind w:left="227" w:hanging="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</w:rPr>
        <w:t>II.3. Estimativa de Preços (Preços Referenciais/Pesquisa de Preço)</w:t>
      </w:r>
    </w:p>
    <w:p>
      <w:pPr>
        <w:pStyle w:val="LOnormal"/>
        <w:widowControl/>
        <w:spacing w:before="57" w:after="57"/>
        <w:ind w:left="227" w:hanging="0"/>
        <w:jc w:val="both"/>
        <w:rPr/>
      </w:pPr>
      <w:r>
        <w:rPr>
          <w:rFonts w:eastAsia="Times New Roman" w:cs="Times New Roman" w:ascii="Times New Roman" w:hAnsi="Times New Roman"/>
        </w:rPr>
        <w:t>13</w:t>
      </w:r>
      <w:r>
        <w:rPr>
          <w:rFonts w:eastAsia="Times New Roman" w:cs="Times New Roman" w:ascii="Times New Roman" w:hAnsi="Times New Roman"/>
          <w:color w:val="000000"/>
        </w:rPr>
        <w:t>. A ampla e adequada pesquisa de preços permite a correta estimativa do custo do objeto a ser adquirido/contratado em planilhas de quantitativos e preços unitários, define os recursos orçamentários suficientes para a cobertura das despesas e serve de balizamento para a análise das propostas dos licitantes, conforme dispõem o art. 7º, §2º, inciso II, o art. 15, inciso V, § 1º, o art. 40, §2º, inciso II, e o art. 43, incisos IV e V, todos da Lei nº 8.666/93.</w:t>
      </w:r>
    </w:p>
    <w:p>
      <w:pPr>
        <w:pStyle w:val="LOnormal"/>
        <w:widowControl/>
        <w:spacing w:before="57" w:after="57"/>
        <w:ind w:left="227" w:hanging="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1</w:t>
      </w:r>
      <w:r>
        <w:rPr>
          <w:rFonts w:eastAsia="Times New Roman" w:cs="Times New Roman" w:ascii="Times New Roman" w:hAnsi="Times New Roman"/>
        </w:rPr>
        <w:t>4</w:t>
      </w:r>
      <w:r>
        <w:rPr>
          <w:rFonts w:eastAsia="Times New Roman" w:cs="Times New Roman" w:ascii="Times New Roman" w:hAnsi="Times New Roman"/>
          <w:color w:val="000000"/>
        </w:rPr>
        <w:t>. Nesse ponto, destaca-se a INSTRUÇÃO NORMATIVA Nº 73, DE 5 DE AGOSTO DE 2020, que dispõe sobre novos procedimentos administrativos para a realização de pesquisa de preços para a aquisição de bens e contratação de serviços em geral.</w:t>
      </w:r>
    </w:p>
    <w:p>
      <w:pPr>
        <w:pStyle w:val="LOnormal"/>
        <w:widowControl/>
        <w:spacing w:before="114" w:after="114"/>
        <w:ind w:left="227" w:hanging="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15. O TCU também se manifesta em relação ao assunto orientando que a Administração obtenha, no mínimo, três cotações válidas. Se não for possível, deve consignar a justificativa nos autos.</w:t>
      </w:r>
    </w:p>
    <w:p>
      <w:pPr>
        <w:pStyle w:val="LOnormal"/>
        <w:widowControl/>
        <w:spacing w:before="114" w:after="114"/>
        <w:ind w:left="283" w:hanging="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16. Insta destacar que as diligências concernentes à pesquisa de preços não se resumem à simples anexação de orçamentos das empresas nos autos, cabendo ao responsável a análise detida de cada proposta, não apenas sob seu aspecto formal (identificação da empresa, idoneidade, compatibilidade da sua finalidade social com o objeto da licitação, etc.), como do seu teor. É de bom alvitre alertar ao órgão para a importância da congruência entre os preços das propostas, considerando que eventuais valores desarrazoados ou evidentemente inexequíveis podem distorcer os resultados das pesquisas efetuadas, de maneira que cumprirá ao órgão o discernimento sobre os orçamentos efetivamente aptos a comporem a planilha de preços, podendo até serem excluídos aqueles demasiadamente discrepantes dos demais.</w:t>
      </w:r>
    </w:p>
    <w:p>
      <w:pPr>
        <w:pStyle w:val="LOnormal"/>
        <w:widowControl/>
        <w:spacing w:before="114" w:after="114"/>
        <w:ind w:left="283" w:hanging="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17. A Administração, quando da realização da pesquisa de preços deve considerar todas as variáveis correlacionadas, tais como as quantidades pretendidas, prazos e forma de entrega, propiciando que eventuais ganhos de escala advindos de grandes aquisições/contratações públicas, por exemplo, reflitam em</w:t>
      </w:r>
      <w:r>
        <w:rPr>
          <w:rFonts w:eastAsia="Times New Roman" w:cs="Times New Roman" w:ascii="Times New Roman" w:hAnsi="Times New Roman"/>
          <w:i/>
          <w:color w:val="000000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redução nos preços obtidos pelas cotações prévias ao certame.</w:t>
      </w:r>
    </w:p>
    <w:p>
      <w:pPr>
        <w:pStyle w:val="LOnormal"/>
        <w:tabs>
          <w:tab w:val="clear" w:pos="720"/>
          <w:tab w:val="left" w:pos="0" w:leader="none"/>
        </w:tabs>
        <w:ind w:left="283"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18. 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FFFFFF" w:val="clear"/>
        </w:rPr>
        <w:t xml:space="preserve">em conformidade com a Instrução Normativa 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</w:rPr>
        <w:t>n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FFFFFF" w:val="clear"/>
        </w:rPr>
        <w:t>º 73 de 05 de agosto de 2020, os preços constantes atendem ao Inc. I, Art. 5º, (Portal de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</w:rPr>
        <w:t xml:space="preserve"> 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FFFFFF" w:val="clear"/>
        </w:rPr>
        <w:t xml:space="preserve">Compras do Governo 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</w:rPr>
        <w:t>Federal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FFFFFF" w:val="clear"/>
        </w:rPr>
        <w:t xml:space="preserve"> – </w:t>
      </w:r>
      <w:hyperlink r:id="rId2" w:tgtFrame="_top">
        <w:r>
          <w:rPr>
            <w:rStyle w:val="LinkdaInternet"/>
            <w:rFonts w:eastAsia="Arial" w:cs="Arial" w:ascii="Times New Roman" w:hAnsi="Times New Roman"/>
            <w:color w:val="1155CC"/>
            <w:sz w:val="24"/>
            <w:szCs w:val="24"/>
          </w:rPr>
          <w:t>https://www.gov.br/compras/pt-br</w:t>
        </w:r>
      </w:hyperlink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FFFFFF" w:val="clear"/>
        </w:rPr>
        <w:t xml:space="preserve">). Sendo um total </w:t>
      </w:r>
      <w:r>
        <w:rPr>
          <w:rStyle w:val="Fontepargpadro"/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</w:rPr>
        <w:t xml:space="preserve">de Preços Coletados variando de 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FFFFFF" w:val="clear"/>
        </w:rPr>
        <w:t xml:space="preserve">03 até 07 </w:t>
      </w:r>
      <w:r>
        <w:rPr>
          <w:rStyle w:val="Fontepargpadro"/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 xml:space="preserve">onde foi utilizado o parâmetro do Inciso I, através 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FFFFFF" w:val="clear"/>
        </w:rPr>
        <w:t>sistema eletrônico “Banco de Preços” (https://www.bancodeprecos.com.br), contratado pelo IFSertãoPE, com inserção de resultados homologados. Foi utilizado ainda preço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FFFFFF" w:val="clear"/>
        </w:rPr>
        <w:t>s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FFFFFF" w:val="clear"/>
        </w:rPr>
        <w:t xml:space="preserve"> coletad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FFFFFF" w:val="clear"/>
        </w:rPr>
        <w:t xml:space="preserve">os conforme 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FFFFFF" w:val="clear"/>
        </w:rPr>
        <w:t>parâmetro do Inciso I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FFFFFF" w:val="clear"/>
        </w:rPr>
        <w:t>I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FFFFFF" w:val="clear"/>
        </w:rPr>
        <w:t xml:space="preserve"> e também preços coletados diretamente com o fornecedor pessoa jurídica(parâmetro do Inciso IV).  </w:t>
      </w:r>
    </w:p>
    <w:p>
      <w:pPr>
        <w:pStyle w:val="LOnormal"/>
        <w:tabs>
          <w:tab w:val="clear" w:pos="720"/>
          <w:tab w:val="left" w:pos="0" w:leader="none"/>
        </w:tabs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numPr>
          <w:ilvl w:val="0"/>
          <w:numId w:val="1"/>
        </w:numPr>
        <w:spacing w:before="0" w:after="113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</w:rPr>
        <w:t>Preços de 0</w:t>
      </w:r>
      <w:r>
        <w:rPr>
          <w:rFonts w:eastAsia="Times New Roman" w:cs="Times New Roman" w:ascii="Times New Roman" w:hAnsi="Times New Roman"/>
          <w:b/>
          <w:bCs/>
          <w:color w:val="000000"/>
        </w:rPr>
        <w:t>3</w:t>
      </w:r>
      <w:r>
        <w:rPr>
          <w:rFonts w:eastAsia="Times New Roman" w:cs="Times New Roman" w:ascii="Times New Roman" w:hAnsi="Times New Roman"/>
          <w:b/>
          <w:bCs/>
          <w:color w:val="000000"/>
        </w:rPr>
        <w:t xml:space="preserve"> a 0</w:t>
      </w:r>
      <w:r>
        <w:rPr>
          <w:rFonts w:eastAsia="Times New Roman" w:cs="Times New Roman" w:ascii="Times New Roman" w:hAnsi="Times New Roman"/>
          <w:b/>
          <w:bCs/>
          <w:color w:val="000000"/>
        </w:rPr>
        <w:t>5</w:t>
      </w:r>
      <w:r>
        <w:rPr>
          <w:rFonts w:eastAsia="Times New Roman" w:cs="Times New Roman" w:ascii="Times New Roman" w:hAnsi="Times New Roman"/>
          <w:b/>
          <w:bCs/>
          <w:color w:val="000000"/>
        </w:rPr>
        <w:t>:</w:t>
      </w:r>
      <w:r>
        <w:rPr>
          <w:rFonts w:eastAsia="Times New Roman" w:cs="Times New Roman" w:ascii="Times New Roman" w:hAnsi="Times New Roman"/>
          <w:color w:val="000000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conforme parâmetro I e II da Instrução Normativa 073</w:t>
      </w:r>
      <w:r>
        <w:rPr>
          <w:rFonts w:eastAsia="Times New Roman" w:cs="Times New Roman" w:ascii="Times New Roman" w:hAnsi="Times New Roman"/>
          <w:color w:val="000000"/>
        </w:rPr>
        <w:t xml:space="preserve">, preços públicos registrados </w:t>
      </w:r>
      <w:r>
        <w:rPr>
          <w:rFonts w:eastAsia="Times New Roman" w:cs="Times New Roman" w:ascii="Times New Roman" w:hAnsi="Times New Roman"/>
          <w:color w:val="000000"/>
        </w:rPr>
        <w:t>e</w:t>
      </w:r>
    </w:p>
    <w:p>
      <w:pPr>
        <w:pStyle w:val="LOnormal"/>
        <w:numPr>
          <w:ilvl w:val="0"/>
          <w:numId w:val="1"/>
        </w:numPr>
        <w:spacing w:before="0" w:after="113"/>
        <w:rPr>
          <w:rFonts w:ascii="Times New Roman" w:hAnsi="Times New Roman" w:eastAsia="Times New Roman" w:cs="Times New Roman"/>
          <w:color w:val="000000"/>
        </w:rPr>
      </w:pPr>
      <w:r>
        <w:rPr>
          <w:rStyle w:val="Fontepargpadro"/>
          <w:rFonts w:eastAsia="Arial" w:cs="Arial" w:ascii="Times New Roman" w:hAnsi="Times New Roman"/>
          <w:b/>
          <w:color w:val="000000"/>
          <w:sz w:val="24"/>
          <w:szCs w:val="24"/>
          <w:shd w:fill="FFFFFF" w:val="clear"/>
        </w:rPr>
        <w:t>Preços de 01 a 0</w:t>
      </w:r>
      <w:r>
        <w:rPr>
          <w:rStyle w:val="Fontepargpadro"/>
          <w:rFonts w:eastAsia="Arial" w:cs="Arial" w:ascii="Times New Roman" w:hAnsi="Times New Roman"/>
          <w:b/>
          <w:color w:val="000000"/>
          <w:sz w:val="24"/>
          <w:szCs w:val="24"/>
          <w:shd w:fill="FFFFFF" w:val="clear"/>
        </w:rPr>
        <w:t>5</w:t>
      </w:r>
      <w:r>
        <w:rPr>
          <w:rStyle w:val="Fontepargpadro"/>
          <w:rFonts w:eastAsia="Arial" w:cs="Arial" w:ascii="Times New Roman" w:hAnsi="Times New Roman"/>
          <w:b/>
          <w:color w:val="000000"/>
          <w:sz w:val="24"/>
          <w:szCs w:val="24"/>
          <w:shd w:fill="FFFFFF" w:val="clear"/>
        </w:rPr>
        <w:t xml:space="preserve">: </w:t>
      </w:r>
      <w:r>
        <w:rPr>
          <w:rStyle w:val="Fontepargpadro"/>
          <w:rFonts w:eastAsia="Arial" w:cs="Arial" w:ascii="Times New Roman" w:hAnsi="Times New Roman"/>
          <w:bCs/>
          <w:color w:val="000000"/>
          <w:sz w:val="24"/>
          <w:szCs w:val="24"/>
          <w:shd w:fill="FFFFFF" w:val="clear"/>
        </w:rPr>
        <w:t xml:space="preserve"> Preços Públicos Registrados (vide Relatório e cópia de resultado de homologações anexas)</w:t>
      </w:r>
      <w:r>
        <w:rPr>
          <w:rStyle w:val="Fontepargpadro"/>
          <w:rFonts w:eastAsia="Arial" w:cs="Arial" w:ascii="Times New Roman" w:hAnsi="Times New Roman"/>
          <w:bCs/>
          <w:color w:val="000000"/>
          <w:sz w:val="24"/>
          <w:szCs w:val="24"/>
          <w:shd w:fill="FFFFFF" w:val="clear"/>
        </w:rPr>
        <w:t xml:space="preserve">, Gráfica Editora Formulários Contínuos e Etiquetas F&amp;F Ltda - </w:t>
      </w:r>
      <w:r>
        <w:rPr>
          <w:rStyle w:val="Fontepargpadro"/>
          <w:rFonts w:eastAsia="Arial" w:cs="Arial" w:ascii="Times New Roman" w:hAnsi="Times New Roman"/>
          <w:bCs/>
          <w:color w:val="000000"/>
          <w:sz w:val="24"/>
          <w:szCs w:val="24"/>
          <w:shd w:fill="FFFFFF" w:val="clear"/>
        </w:rPr>
        <w:t xml:space="preserve"> CNPJ No 11.114.463/0001-09, NADIA CORREIA DE ALMEIDA -  CNPJ: 10.275.216/0001-13, DISTRIBUIDORA LILIAN EIRELI EPP - CNPJ 16.804.425/0001-93 </w:t>
      </w:r>
      <w:r>
        <w:rPr>
          <w:rStyle w:val="Fontepargpadro"/>
          <w:rFonts w:eastAsia="Arial" w:cs="Arial" w:ascii="Times New Roman" w:hAnsi="Times New Roman"/>
          <w:bCs/>
          <w:color w:val="000000"/>
          <w:sz w:val="24"/>
          <w:szCs w:val="24"/>
          <w:shd w:fill="FFFFFF" w:val="clear"/>
        </w:rPr>
        <w:t xml:space="preserve">e </w:t>
      </w:r>
      <w:r>
        <w:rPr>
          <w:rStyle w:val="Fontepargpadro"/>
          <w:rFonts w:eastAsia="Arial" w:cs="Arial" w:ascii="Times New Roman" w:hAnsi="Times New Roman"/>
          <w:bCs/>
          <w:color w:val="000000"/>
          <w:sz w:val="24"/>
          <w:szCs w:val="24"/>
          <w:shd w:fill="FFFFFF" w:val="clear"/>
        </w:rPr>
        <w:t>Colore Gráfica e Comunicação Visual Eireli – CNPJ 27.504.890/0001-25</w:t>
      </w:r>
    </w:p>
    <w:p>
      <w:pPr>
        <w:pStyle w:val="LOnormal"/>
        <w:widowControl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spacing w:lineRule="auto" w:line="276" w:before="0" w:after="240"/>
        <w:ind w:left="426"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19.</w:t>
      </w:r>
      <w:r>
        <w:rPr>
          <w:rFonts w:eastAsia="Times New Roman" w:cs="Times New Roman" w:ascii="Times New Roman" w:hAnsi="Times New Roman"/>
          <w:color w:val="000000"/>
          <w:shd w:fill="auto" w:val="clear"/>
        </w:rPr>
        <w:t xml:space="preserve"> Verificou-se também que foi adotada 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auto" w:val="clear"/>
        </w:rPr>
        <w:t xml:space="preserve">como metodologia para obtenção do preço de referência </w:t>
      </w:r>
      <w:r>
        <w:rPr>
          <w:rStyle w:val="Fontepargpadro"/>
          <w:rFonts w:eastAsia="Arial" w:cs="Arial" w:ascii="Times New Roman" w:hAnsi="Times New Roman"/>
          <w:b/>
          <w:bCs/>
          <w:i/>
          <w:iCs/>
          <w:color w:val="000000"/>
          <w:sz w:val="24"/>
          <w:szCs w:val="24"/>
          <w:shd w:fill="auto" w:val="clear"/>
        </w:rPr>
        <w:t>a média de preços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auto" w:val="clear"/>
        </w:rPr>
        <w:t xml:space="preserve"> na maior totalidade dos itens, excetuando-se 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auto" w:val="clear"/>
        </w:rPr>
        <w:t xml:space="preserve">os itens 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auto" w:val="clear"/>
        </w:rPr>
        <w:t>14, 20, 21, 24, 27, 28, 2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FFFFFF" w:val="clear"/>
        </w:rPr>
        <w:t>9, 35, 39 e 42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FFFFFF" w:val="clear"/>
        </w:rPr>
        <w:t xml:space="preserve"> </w:t>
      </w:r>
      <w:r>
        <w:rPr>
          <w:rStyle w:val="Fontepargpadro"/>
          <w:rFonts w:eastAsia="Arial" w:cs="Arial" w:ascii="Times New Roman" w:hAnsi="Times New Roman"/>
          <w:b/>
          <w:bCs/>
          <w:i/>
          <w:iCs/>
          <w:color w:val="000000"/>
          <w:sz w:val="24"/>
          <w:szCs w:val="24"/>
          <w:shd w:fill="FFFFFF" w:val="clear"/>
        </w:rPr>
        <w:t>a mediana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FFFFFF" w:val="clear"/>
        </w:rPr>
        <w:t>, justificado p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FFFFFF" w:val="clear"/>
        </w:rPr>
        <w:t xml:space="preserve">elo  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FFFFFF" w:val="clear"/>
        </w:rPr>
        <w:t xml:space="preserve">§ 3º 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FFFFFF" w:val="clear"/>
        </w:rPr>
        <w:t xml:space="preserve">da IN nº 73/2020, 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FFFFFF" w:val="clear"/>
        </w:rPr>
        <w:t xml:space="preserve"> Os preços coletados devem ser analisados de forma crítica, em especial, quando houver grande variação entre os valores apresentados . Desta forma, buscou-se afastar preços excessivamente elevados e/ou inexequíveis, e o melhor preço compatível para o objeto em disputa, em consonância com o artigo 6º, </w:t>
      </w:r>
      <w:r>
        <w:rPr>
          <w:rStyle w:val="Fontepargpadro"/>
          <w:rFonts w:eastAsia="Arial" w:cs="Arial" w:ascii="Times New Roman" w:hAnsi="Times New Roman"/>
          <w:color w:val="162937"/>
          <w:sz w:val="24"/>
          <w:szCs w:val="24"/>
          <w:shd w:fill="FFFFFF" w:val="clear"/>
        </w:rPr>
        <w:t>§ 2º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FFFFFF" w:val="clear"/>
        </w:rPr>
        <w:t xml:space="preserve"> da IN nº 73/2020.</w:t>
      </w:r>
    </w:p>
    <w:p>
      <w:pPr>
        <w:pStyle w:val="LOnormal"/>
        <w:spacing w:lineRule="auto" w:line="276" w:before="0" w:after="240"/>
        <w:ind w:left="426"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20. Diante do exposto, conclui-se que a pesquisa de preços e o orçamento estimado atende a todos os critérios exigidos na legislação, e ainda quanto aos seus aspectos formais identificação da empresa, idoneidade, compatibilidade da sua finalidade social com o objeto da licitação, constatando ainda que as empresas pesquisadas são do ramo pertinente à contratação desejada e sem que haja vínculo societário entre as empresas pesquisadas, ou seja, de acordo com o imposto no Acórdão nº 4.561/2010-1ª Câmara – TCU.</w:t>
      </w:r>
    </w:p>
    <w:p>
      <w:pPr>
        <w:pStyle w:val="LOnormal"/>
        <w:spacing w:lineRule="auto" w:line="276" w:before="0" w:after="0"/>
        <w:ind w:left="426" w:hanging="0"/>
        <w:jc w:val="both"/>
        <w:rPr/>
      </w:pPr>
      <w:r>
        <w:rPr/>
      </w:r>
    </w:p>
    <w:p>
      <w:pPr>
        <w:pStyle w:val="LOnormal"/>
        <w:tabs>
          <w:tab w:val="clear" w:pos="720"/>
          <w:tab w:val="left" w:pos="1418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</w:rPr>
        <w:t>II.4 Da Modalidade de Licitação e o Critério de Julgamento</w:t>
      </w:r>
    </w:p>
    <w:p>
      <w:pPr>
        <w:pStyle w:val="LOnormal"/>
        <w:spacing w:lineRule="auto" w:line="276" w:before="120" w:after="120"/>
        <w:ind w:left="425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21. A natureza do objeto especificada no Termo de Referência é comum, tendo em vista que se consideram bens comuns, conforme disposto no artigo 1º, da Lei 10.520, de 2002, pois os padrões de desempenho e qualidade podem ser objetivamente definidos no edital, por meio de especificações usuais no mercado</w:t>
      </w:r>
      <w:r>
        <w:rPr>
          <w:rFonts w:cs="Times New Roman" w:ascii="Times New Roman" w:hAnsi="Times New Roman"/>
          <w:b/>
        </w:rPr>
        <w:t xml:space="preserve">. </w:t>
      </w:r>
    </w:p>
    <w:p>
      <w:pPr>
        <w:pStyle w:val="LOnormal"/>
        <w:tabs>
          <w:tab w:val="clear" w:pos="720"/>
          <w:tab w:val="left" w:pos="1418" w:leader="none"/>
        </w:tabs>
        <w:spacing w:lineRule="auto" w:line="276" w:before="120" w:after="120"/>
        <w:ind w:left="425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22. A aquisição dar-se-á através de Sistema de Registro de Preços – SRP, pois as ações estão enquadradas nas hipóteses do(s) inciso III do art. 3º do Decreto nº 7.892, ao passo que o IF Sertão Pernambucano e suas unidades tratam-se de unidades gerenciais distintas com contratações frequentes e entregas parceladas.</w:t>
      </w:r>
    </w:p>
    <w:p>
      <w:pPr>
        <w:pStyle w:val="LOnormal"/>
        <w:tabs>
          <w:tab w:val="clear" w:pos="720"/>
          <w:tab w:val="left" w:pos="1418" w:leader="none"/>
        </w:tabs>
        <w:spacing w:lineRule="auto" w:line="276" w:before="120" w:after="120"/>
        <w:ind w:left="425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23. Considerando o exposto e com base nas definições na versão inicial do termo de referência e Estudo Técnico Preliminar e o exposto acima a modalidade a ser adotada para a realização desse certame licitatório deverá ser o </w:t>
      </w:r>
      <w:r>
        <w:rPr>
          <w:rFonts w:cs="Times New Roman" w:ascii="Times New Roman" w:hAnsi="Times New Roman"/>
          <w:b/>
        </w:rPr>
        <w:t>Pregão Eletrônico por Sistema de Registro de Preços – SRP.</w:t>
      </w:r>
    </w:p>
    <w:p>
      <w:pPr>
        <w:pStyle w:val="LOnormal"/>
        <w:tabs>
          <w:tab w:val="clear" w:pos="720"/>
          <w:tab w:val="left" w:pos="1418" w:leader="none"/>
        </w:tabs>
        <w:spacing w:lineRule="auto" w:line="276" w:before="120" w:after="120"/>
        <w:ind w:left="283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24</w:t>
      </w:r>
      <w:r>
        <w:rPr>
          <w:rFonts w:cs="Times New Roman" w:ascii="Times New Roman" w:hAnsi="Times New Roman"/>
          <w:b/>
        </w:rPr>
        <w:t>.</w:t>
      </w:r>
      <w:r>
        <w:rPr>
          <w:rFonts w:cs="Times New Roman" w:ascii="Times New Roman" w:hAnsi="Times New Roman"/>
        </w:rPr>
        <w:t xml:space="preserve"> O critério de julgamento será o MENOR PREÇO por ITEM, </w:t>
      </w:r>
      <w:bookmarkStart w:id="0" w:name="gjdgxs"/>
      <w:bookmarkEnd w:id="0"/>
      <w:r>
        <w:rPr>
          <w:rFonts w:cs="Times New Roman" w:ascii="Times New Roman" w:hAnsi="Times New Roman"/>
        </w:rPr>
        <w:t>pois para a presente contratação ficou bem definido o objeto e seus respectivos quantitativos.</w:t>
      </w:r>
    </w:p>
    <w:p>
      <w:pPr>
        <w:pStyle w:val="LOnormal"/>
        <w:tabs>
          <w:tab w:val="clear" w:pos="720"/>
          <w:tab w:val="left" w:pos="1418" w:leader="none"/>
        </w:tabs>
        <w:spacing w:lineRule="auto" w:line="276" w:before="0" w:after="0"/>
        <w:ind w:left="283" w:hanging="0"/>
        <w:jc w:val="both"/>
        <w:rPr/>
      </w:pPr>
      <w:r>
        <w:rPr/>
      </w:r>
    </w:p>
    <w:p>
      <w:pPr>
        <w:pStyle w:val="LOnormal"/>
        <w:tabs>
          <w:tab w:val="clear" w:pos="720"/>
          <w:tab w:val="left" w:pos="1418" w:leader="none"/>
        </w:tabs>
        <w:spacing w:lineRule="auto" w:line="276" w:before="0" w:after="0"/>
        <w:ind w:left="283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</w:rPr>
        <w:t>II.5 Preço Estimado ou Preço Máximo Aceitável</w:t>
      </w:r>
    </w:p>
    <w:p>
      <w:pPr>
        <w:pStyle w:val="LOnormal"/>
        <w:tabs>
          <w:tab w:val="clear" w:pos="720"/>
          <w:tab w:val="left" w:pos="1418" w:leader="none"/>
        </w:tabs>
        <w:spacing w:lineRule="auto" w:line="276"/>
        <w:ind w:left="283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25. Para a contratação do presente objeto, deverá ser adotado o </w:t>
      </w:r>
      <w:r>
        <w:rPr>
          <w:rFonts w:cs="Times New Roman" w:ascii="Times New Roman" w:hAnsi="Times New Roman"/>
          <w:b/>
        </w:rPr>
        <w:t>preço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</w:rPr>
        <w:t>máximo aceitável</w:t>
      </w:r>
      <w:r>
        <w:rPr>
          <w:rFonts w:cs="Times New Roman" w:ascii="Times New Roman" w:hAnsi="Times New Roman"/>
        </w:rPr>
        <w:t>, sendo que será desclassificada a proposta ou o lance vencedor com valor superior máximo estipulado pela administração no edital.</w:t>
      </w:r>
    </w:p>
    <w:p>
      <w:pPr>
        <w:pStyle w:val="LOnormal"/>
        <w:tabs>
          <w:tab w:val="clear" w:pos="720"/>
          <w:tab w:val="left" w:pos="1418" w:leader="none"/>
        </w:tabs>
        <w:spacing w:lineRule="auto" w:line="276"/>
        <w:ind w:left="142" w:hanging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FF"/>
        </w:rPr>
        <w:br/>
        <w:t xml:space="preserve"> </w:t>
      </w:r>
      <w:r>
        <w:rPr>
          <w:rFonts w:cs="Times New Roman" w:ascii="Times New Roman" w:hAnsi="Times New Roman"/>
          <w:b/>
          <w:color w:val="000000"/>
        </w:rPr>
        <w:t>II.6 Modo de Disputa da Licitação</w:t>
      </w:r>
      <w:bookmarkStart w:id="1" w:name="_GoBack"/>
      <w:bookmarkEnd w:id="1"/>
    </w:p>
    <w:p>
      <w:pPr>
        <w:pStyle w:val="LOnormal"/>
        <w:tabs>
          <w:tab w:val="clear" w:pos="720"/>
          <w:tab w:val="left" w:pos="1418" w:leader="none"/>
        </w:tabs>
        <w:spacing w:lineRule="auto" w:line="276" w:before="120" w:after="120"/>
        <w:ind w:left="283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26. O modo de disputa para essa licitação será o </w:t>
      </w:r>
      <w:r>
        <w:rPr>
          <w:rFonts w:cs="Times New Roman" w:ascii="Times New Roman" w:hAnsi="Times New Roman"/>
          <w:b/>
        </w:rPr>
        <w:t>aberto e fechado</w:t>
      </w:r>
      <w:r>
        <w:rPr>
          <w:rFonts w:cs="Times New Roman" w:ascii="Times New Roman" w:hAnsi="Times New Roman"/>
        </w:rPr>
        <w:t>, tendo em vista a vantajosidade em termos de ganho de tempo na operacionalização do pregão, além de que o objeto a ser contratado é bastante amplo no mercado</w:t>
      </w:r>
      <w:r>
        <w:rPr>
          <w:rFonts w:cs="Times New Roman" w:ascii="Times New Roman" w:hAnsi="Times New Roman"/>
          <w:color w:val="0000FF"/>
        </w:rPr>
        <w:t>.</w:t>
      </w:r>
    </w:p>
    <w:p>
      <w:pPr>
        <w:pStyle w:val="LOnormal"/>
        <w:tabs>
          <w:tab w:val="clear" w:pos="720"/>
          <w:tab w:val="left" w:pos="1418" w:leader="none"/>
        </w:tabs>
        <w:spacing w:lineRule="auto" w:line="276" w:before="120" w:after="120"/>
        <w:ind w:left="283" w:hanging="0"/>
        <w:jc w:val="both"/>
        <w:rPr>
          <w:rFonts w:ascii="Times New Roman" w:hAnsi="Times New Roman" w:eastAsia="Calibri" w:cs="Times New Roman"/>
          <w:b/>
          <w:b/>
          <w:color w:val="C9211E"/>
          <w:kern w:val="0"/>
          <w:sz w:val="24"/>
          <w:szCs w:val="24"/>
          <w:lang w:val="pt-BR" w:eastAsia="zh-CN" w:bidi="hi-IN"/>
        </w:rPr>
      </w:pPr>
      <w:r>
        <w:rPr>
          <w:rFonts w:eastAsia="Calibri" w:cs="Times New Roman" w:ascii="Times New Roman" w:hAnsi="Times New Roman"/>
          <w:b/>
          <w:color w:val="C9211E"/>
          <w:kern w:val="0"/>
          <w:sz w:val="24"/>
          <w:szCs w:val="24"/>
          <w:lang w:val="pt-BR" w:eastAsia="zh-CN" w:bidi="hi-IN"/>
        </w:rPr>
        <w:t>II.7 Natureza da ação que suporta a despesa decorrente da futura contratação</w:t>
      </w:r>
    </w:p>
    <w:p>
      <w:pPr>
        <w:pStyle w:val="LOnormal"/>
        <w:tabs>
          <w:tab w:val="clear" w:pos="720"/>
          <w:tab w:val="left" w:pos="1418" w:leader="none"/>
        </w:tabs>
        <w:spacing w:lineRule="auto" w:line="276" w:before="120" w:after="120"/>
        <w:ind w:left="283" w:hanging="0"/>
        <w:jc w:val="both"/>
        <w:rPr>
          <w:color w:val="C9211E"/>
        </w:rPr>
      </w:pPr>
      <w:r>
        <w:rPr>
          <w:rFonts w:eastAsia="Times New Roman" w:cs="Times New Roman" w:ascii="Times New Roman" w:hAnsi="Times New Roman"/>
          <w:b/>
          <w:color w:val="C9211E"/>
          <w:sz w:val="22"/>
        </w:rPr>
        <w:t xml:space="preserve">27. </w:t>
      </w:r>
      <w:r>
        <w:rPr>
          <w:rFonts w:ascii="TimesNewRomanPSMT" w:hAnsi="TimesNewRomanPSMT"/>
          <w:color w:val="C9211E"/>
          <w:sz w:val="22"/>
        </w:rPr>
        <w:t xml:space="preserve">Recomenda-se, pois, que a Administração informe nos autos a natureza da ação que suporta a despesa </w:t>
      </w:r>
      <w:r>
        <w:rPr>
          <w:rFonts w:eastAsia="Times New Roman" w:cs="Times New Roman" w:ascii="TimesNewRomanPSMT" w:hAnsi="TimesNewRomanPSMT"/>
          <w:b/>
          <w:color w:val="C9211E"/>
          <w:sz w:val="22"/>
        </w:rPr>
        <w:t xml:space="preserve">decorrente da futura contratação, adotando, a depender do caso, as providências previstas no art. 16, incisos I e II, da Lei de Responsabilidade Fiscal, com as premissas da estimativa de impacto orçamentário-financeiro e a metodologia de </w:t>
      </w:r>
      <w:r>
        <w:rPr>
          <w:rFonts w:ascii="TimesNewRomanPSMT" w:hAnsi="TimesNewRomanPSMT"/>
          <w:color w:val="C9211E"/>
          <w:sz w:val="22"/>
        </w:rPr>
        <w:t>cálculos utilizados (art. 16, §2º, da Lei Complementar n.º 101/2000).</w:t>
      </w:r>
    </w:p>
    <w:tbl>
      <w:tblPr>
        <w:tblStyle w:val="TableNormal"/>
        <w:tblW w:w="954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545"/>
      </w:tblGrid>
      <w:tr>
        <w:trPr/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9966" w:val="clear"/>
          </w:tcPr>
          <w:p>
            <w:pPr>
              <w:pStyle w:val="LOnormal"/>
              <w:widowControl w:val="false"/>
              <w:suppressAutoHyphens w:val="true"/>
              <w:spacing w:lineRule="auto" w:line="360" w:before="114" w:after="114"/>
              <w:jc w:val="left"/>
              <w:rPr>
                <w:rFonts w:ascii="Calibri" w:hAnsi="Calibri" w:eastAsia="Calibri" w:cs="Calibri"/>
                <w:kern w:val="0"/>
                <w:sz w:val="24"/>
                <w:szCs w:val="24"/>
                <w:lang w:val="pt-BR" w:eastAsia="zh-CN" w:bidi="hi-IN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4"/>
                <w:szCs w:val="24"/>
                <w:lang w:val="pt-BR" w:eastAsia="zh-CN" w:bidi="hi-IN"/>
              </w:rPr>
              <w:t>III - CONCLUSÃO</w:t>
            </w:r>
          </w:p>
        </w:tc>
      </w:tr>
    </w:tbl>
    <w:p>
      <w:pPr>
        <w:pStyle w:val="LOnormal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ind w:left="283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 xml:space="preserve">28. Ante o exposto, a proposição de </w:t>
      </w:r>
      <w:r>
        <w:rPr>
          <w:rFonts w:eastAsia="Arial" w:cs="Arial" w:ascii="Times New Roman" w:hAnsi="Times New Roman"/>
          <w:b/>
          <w:bCs/>
          <w:i w:val="false"/>
          <w:iCs w:val="false"/>
          <w:color w:val="000000"/>
          <w:szCs w:val="20"/>
        </w:rPr>
        <w:t xml:space="preserve">prestação de serviços gráficos com fornecimento de materiais para atender as demandas da Reitoria e dos Campi do IF Sertão Pernambucano </w:t>
      </w:r>
      <w:r>
        <w:rPr>
          <w:rFonts w:eastAsia="Arial" w:cs="Times New Roman" w:ascii="Times New Roman" w:hAnsi="Times New Roman"/>
          <w:b/>
        </w:rPr>
        <w:t xml:space="preserve"> </w:t>
      </w:r>
      <w:r>
        <w:rPr>
          <w:rFonts w:eastAsia="Arial" w:cs="Times New Roman" w:ascii="Times New Roman" w:hAnsi="Times New Roman"/>
          <w:bCs/>
        </w:rPr>
        <w:t>para atender as necessidades dos campi</w:t>
      </w:r>
      <w:r>
        <w:rPr>
          <w:rFonts w:cs="Times New Roman" w:ascii="Times New Roman" w:hAnsi="Times New Roman"/>
          <w:b/>
          <w:color w:val="00000A"/>
          <w:highlight w:val="white"/>
        </w:rPr>
        <w:t xml:space="preserve"> </w:t>
      </w:r>
      <w:r>
        <w:rPr>
          <w:rFonts w:cs="Times New Roman" w:ascii="Times New Roman" w:hAnsi="Times New Roman"/>
          <w:color w:val="00000A"/>
          <w:highlight w:val="white"/>
        </w:rPr>
        <w:t>para atender as Unidades do Instituto Federal do Sertão Pernambucano – IF Sertão-PE</w:t>
      </w:r>
      <w:r>
        <w:rPr>
          <w:rFonts w:cs="Times New Roman" w:ascii="Times New Roman" w:hAnsi="Times New Roman"/>
          <w:b/>
          <w:color w:val="00000A"/>
          <w:highlight w:val="white"/>
        </w:rPr>
        <w:t xml:space="preserve"> </w:t>
      </w:r>
      <w:r>
        <w:rPr>
          <w:rFonts w:cs="Times New Roman" w:ascii="Times New Roman" w:hAnsi="Times New Roman"/>
          <w:b/>
          <w:color w:val="000000"/>
        </w:rPr>
        <w:t>é viável</w:t>
      </w:r>
      <w:r>
        <w:rPr>
          <w:rFonts w:cs="Times New Roman" w:ascii="Times New Roman" w:hAnsi="Times New Roman"/>
          <w:color w:val="000000"/>
        </w:rPr>
        <w:t>, uma vez que foram observados todos os pontos dispostos no presente relatório.</w:t>
      </w:r>
    </w:p>
    <w:p>
      <w:pPr>
        <w:pStyle w:val="LOnormal"/>
        <w:spacing w:before="228" w:after="228"/>
        <w:ind w:left="283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 xml:space="preserve">Petrolina - PE, _______ de  </w:t>
      </w:r>
      <w:r>
        <w:rPr>
          <w:rFonts w:cs="Times New Roman" w:ascii="Times New Roman" w:hAnsi="Times New Roman"/>
          <w:color w:val="000000"/>
        </w:rPr>
        <w:t>junho</w:t>
      </w:r>
      <w:r>
        <w:rPr>
          <w:rFonts w:cs="Times New Roman" w:ascii="Times New Roman" w:hAnsi="Times New Roman"/>
          <w:color w:val="000000"/>
        </w:rPr>
        <w:t xml:space="preserve"> de 2022</w:t>
      </w:r>
    </w:p>
    <w:p>
      <w:pPr>
        <w:pStyle w:val="LOnormal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widowControl/>
        <w:spacing w:before="57" w:after="57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</w:rPr>
        <w:t xml:space="preserve"> </w:t>
      </w:r>
    </w:p>
    <w:p>
      <w:pPr>
        <w:pStyle w:val="LOnormal"/>
        <w:widowControl/>
        <w:spacing w:before="57" w:after="57"/>
        <w:jc w:val="center"/>
        <w:rPr/>
      </w:pPr>
      <w:r>
        <w:rPr>
          <w:b/>
        </w:rPr>
        <w:t>Pró-Reitor</w:t>
      </w:r>
      <w:r>
        <w:rPr>
          <w:rFonts w:eastAsia="Times New Roman" w:cs="Times New Roman" w:ascii="Times New Roman" w:hAnsi="Times New Roman"/>
          <w:b/>
          <w:color w:val="000000"/>
        </w:rPr>
        <w:t xml:space="preserve"> de Orçamento e Administração-PROAD</w:t>
      </w:r>
    </w:p>
    <w:p>
      <w:pPr>
        <w:pStyle w:val="LOnormal"/>
        <w:widowControl/>
        <w:spacing w:before="57" w:after="57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</w:rPr>
        <w:t>IF Sertão PE/Reitoria</w:t>
      </w:r>
    </w:p>
    <w:p>
      <w:pPr>
        <w:pStyle w:val="LOnormal"/>
        <w:widowControl/>
        <w:tabs>
          <w:tab w:val="clear" w:pos="720"/>
          <w:tab w:val="left" w:pos="0" w:leader="none"/>
        </w:tabs>
        <w:spacing w:lineRule="auto" w:line="276" w:before="200" w:after="0"/>
        <w:ind w:left="1440" w:hanging="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227" w:right="1134" w:header="708" w:top="1134" w:footer="708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TimesNewRomanPSMT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jc w:val="center"/>
      <w:rPr>
        <w:rFonts w:ascii="Courier New" w:hAnsi="Courier New" w:eastAsia="Courier New" w:cs="Courier New"/>
        <w:sz w:val="12"/>
        <w:szCs w:val="12"/>
      </w:rPr>
    </w:pPr>
    <w:r>
      <w:rPr>
        <w:rFonts w:eastAsia="Courier New" w:cs="Courier New" w:ascii="Courier New" w:hAnsi="Courier New"/>
        <w:sz w:val="12"/>
        <w:szCs w:val="12"/>
      </w:rPr>
    </w:r>
  </w:p>
  <w:p>
    <w:pPr>
      <w:pStyle w:val="LOnormal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ind w:right="49" w:hanging="0"/>
      <w:jc w:val="center"/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2642870</wp:posOffset>
          </wp:positionH>
          <wp:positionV relativeFrom="paragraph">
            <wp:posOffset>-232410</wp:posOffset>
          </wp:positionV>
          <wp:extent cx="906780" cy="911225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911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jc w:val="center"/>
      <w:rPr>
        <w:rFonts w:ascii="Times New Roman" w:hAnsi="Times New Roman" w:eastAsia="Times New Roman" w:cs="Times New Roman"/>
        <w:b/>
        <w:b/>
        <w:color w:val="00000A"/>
        <w:sz w:val="14"/>
        <w:szCs w:val="14"/>
      </w:rPr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</w:r>
  </w:p>
  <w:p>
    <w:pPr>
      <w:pStyle w:val="LOnormal"/>
      <w:jc w:val="center"/>
      <w:rPr>
        <w:rFonts w:ascii="Times New Roman" w:hAnsi="Times New Roman" w:eastAsia="Times New Roman" w:cs="Times New Roman"/>
        <w:b/>
        <w:b/>
        <w:color w:val="00000A"/>
        <w:sz w:val="14"/>
        <w:szCs w:val="14"/>
      </w:rPr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</w:r>
  </w:p>
  <w:p>
    <w:pPr>
      <w:pStyle w:val="LOnormal"/>
      <w:jc w:val="center"/>
      <w:rPr>
        <w:rFonts w:ascii="Times New Roman" w:hAnsi="Times New Roman" w:eastAsia="Times New Roman" w:cs="Times New Roman"/>
        <w:b/>
        <w:b/>
        <w:color w:val="00000A"/>
        <w:sz w:val="14"/>
        <w:szCs w:val="14"/>
      </w:rPr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</w:r>
  </w:p>
  <w:p>
    <w:pPr>
      <w:pStyle w:val="LOnormal"/>
      <w:jc w:val="center"/>
      <w:rPr>
        <w:rFonts w:ascii="Times New Roman" w:hAnsi="Times New Roman" w:eastAsia="Times New Roman" w:cs="Times New Roman"/>
        <w:b/>
        <w:b/>
        <w:color w:val="00000A"/>
        <w:sz w:val="14"/>
        <w:szCs w:val="14"/>
      </w:rPr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</w:r>
  </w:p>
  <w:p>
    <w:pPr>
      <w:pStyle w:val="LOnormal"/>
      <w:jc w:val="center"/>
      <w:rPr>
        <w:rFonts w:ascii="Times New Roman" w:hAnsi="Times New Roman" w:eastAsia="Times New Roman" w:cs="Times New Roman"/>
        <w:b/>
        <w:b/>
        <w:color w:val="00000A"/>
        <w:sz w:val="14"/>
        <w:szCs w:val="14"/>
      </w:rPr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</w:r>
  </w:p>
  <w:p>
    <w:pPr>
      <w:pStyle w:val="LOnormal"/>
      <w:jc w:val="center"/>
      <w:rPr/>
    </w:pPr>
    <w:r>
      <w:rPr>
        <w:rFonts w:eastAsia="Times New Roman" w:cs="Times New Roman" w:ascii="Times New Roman" w:hAnsi="Times New Roman"/>
        <w:b/>
        <w:color w:val="00000A"/>
        <w:sz w:val="20"/>
        <w:szCs w:val="20"/>
      </w:rPr>
      <w:t>MINISTÉRIO DA EDUCAÇÃO</w:t>
    </w:r>
  </w:p>
  <w:p>
    <w:pPr>
      <w:pStyle w:val="LOnormal"/>
      <w:jc w:val="center"/>
      <w:rPr/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  <w:t>SECRETARIA DE EDUCAÇÃO PROFISSIONAL E TECNOLÓGICA</w:t>
    </w:r>
  </w:p>
  <w:p>
    <w:pPr>
      <w:pStyle w:val="LOnormal"/>
      <w:jc w:val="center"/>
      <w:rPr/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  <w:t>INSTITUTO FEDERAL DE EDUCAÇÃO, CIÊNCIA E TECNOLOGIA DO SERTÃO PERNAMBUCANO</w:t>
    </w:r>
  </w:p>
  <w:p>
    <w:pPr>
      <w:pStyle w:val="LOnormal"/>
      <w:spacing w:lineRule="auto" w:line="288"/>
      <w:jc w:val="center"/>
      <w:rPr/>
    </w:pPr>
    <w:r>
      <w:rPr>
        <w:rFonts w:eastAsia="Times New Roman" w:cs="Times New Roman" w:ascii="Times New Roman" w:hAnsi="Times New Roman"/>
        <w:b/>
        <w:color w:val="000000"/>
        <w:sz w:val="14"/>
        <w:szCs w:val="14"/>
      </w:rPr>
      <w:t>REITORIA/PROAD</w:t>
    </w:r>
  </w:p>
  <w:p>
    <w:pPr>
      <w:pStyle w:val="LOnormal"/>
      <w:spacing w:lineRule="auto" w:line="288"/>
      <w:jc w:val="center"/>
      <w:rPr/>
    </w:pPr>
    <w:r>
      <w:rPr>
        <w:rFonts w:eastAsia="Times New Roman" w:cs="Times New Roman" w:ascii="Times New Roman" w:hAnsi="Times New Roman"/>
        <w:b/>
        <w:color w:val="000000"/>
        <w:sz w:val="14"/>
        <w:szCs w:val="14"/>
      </w:rPr>
      <w:t>DIRETORIA DE LICITAÇÕES- DLIC</w:t>
    </w:r>
  </w:p>
  <w:p>
    <w:pPr>
      <w:pStyle w:val="LOnormal"/>
      <w:spacing w:lineRule="auto" w:line="288"/>
      <w:jc w:val="center"/>
      <w:rPr>
        <w:rFonts w:ascii="Times New Roman" w:hAnsi="Times New Roman" w:eastAsia="Times New Roman" w:cs="Times New Roman"/>
        <w:b/>
        <w:b/>
        <w:color w:val="FF3333"/>
        <w:sz w:val="14"/>
        <w:szCs w:val="14"/>
      </w:rPr>
    </w:pPr>
    <w:r>
      <w:rPr>
        <w:rFonts w:eastAsia="Times New Roman" w:cs="Times New Roman" w:ascii="Times New Roman" w:hAnsi="Times New Roman"/>
        <w:b/>
        <w:color w:val="FF3333"/>
        <w:sz w:val="14"/>
        <w:szCs w:val="1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normal"/>
    <w:next w:val="LO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normal"/>
    <w:next w:val="LO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normal"/>
    <w:next w:val="LO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LOnormal"/>
    <w:next w:val="LO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normal"/>
    <w:next w:val="LO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">
    <w:name w:val="Fonte parág. padrão"/>
    <w:qFormat/>
    <w:rPr/>
  </w:style>
  <w:style w:type="character" w:styleId="LinkdaInternet">
    <w:name w:val="Link da Internet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LOnormal"/>
    <w:next w:val="Corpodotex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Subttulo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Default" w:customStyle="1">
    <w:name w:val="Default"/>
    <w:qFormat/>
    <w:rsid w:val="001805cc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v.br/compras/pt-br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Application>LibreOffice/7.1.7.2$Windows_X86_64 LibreOffice_project/c6a4e3954236145e2acb0b65f68614365aeee33f</Application>
  <AppVersion>15.0000</AppVersion>
  <Pages>5</Pages>
  <Words>1942</Words>
  <Characters>10820</Characters>
  <CharactersWithSpaces>12735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2021-06-16T17:52:00Z</dcterms:created>
  <dc:creator>USUARIO</dc:creator>
  <dc:description/>
  <dc:language>pt-BR</dc:language>
  <cp:lastModifiedBy/>
  <dcterms:modified xsi:type="dcterms:W3CDTF">2022-06-09T11:06:58Z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