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ANEXO  I – D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INSTRUMENTO DE MEDIÇÃO DE RESULTADOS (</w:t>
      </w:r>
      <w:r>
        <w:rPr>
          <w:b/>
          <w:i/>
        </w:rPr>
        <w:t>IMR</w:t>
      </w:r>
      <w:r>
        <w:rPr>
          <w:b/>
        </w:rPr>
        <w:t xml:space="preserve">) – POR INDICADORES </w:t>
      </w:r>
    </w:p>
    <w:p>
      <w:pPr>
        <w:pStyle w:val="Normal"/>
        <w:spacing w:lineRule="auto" w:line="360" w:before="116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b/>
        </w:rPr>
        <w:t xml:space="preserve">Processo: </w:t>
      </w:r>
      <w:r>
        <w:rPr>
          <w:rStyle w:val="Fontepargpadro5"/>
          <w:rFonts w:eastAsia="Tahoma" w:cs="Times New Roman" w:ascii="Times New Roman" w:hAnsi="Times New Roman"/>
          <w:b/>
          <w:sz w:val="24"/>
          <w:shd w:fill="FFFF00" w:val="clear"/>
        </w:rPr>
        <w:t xml:space="preserve"> </w:t>
      </w:r>
    </w:p>
    <w:p>
      <w:pPr>
        <w:pStyle w:val="Normal"/>
        <w:jc w:val="center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rpodotexto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6" w:leader="none"/>
        </w:tabs>
        <w:ind w:left="0" w:hanging="0"/>
        <w:jc w:val="both"/>
        <w:rPr/>
      </w:pP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DEFINIÇÃO</w:t>
      </w:r>
    </w:p>
    <w:p>
      <w:pPr>
        <w:pStyle w:val="ListParagraph"/>
        <w:tabs>
          <w:tab w:val="clear" w:pos="720"/>
          <w:tab w:val="left" w:pos="836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92" w:leader="none"/>
        </w:tabs>
        <w:ind w:left="0" w:hanging="0"/>
        <w:jc w:val="both"/>
        <w:rPr/>
      </w:pPr>
      <w:r>
        <w:rPr/>
        <w:t>Este documento apresenta os critérios de avaliação da qualidade dos serviços, identificando indicadores, metas, mecanismos de cálculo, forma de acompanhamento e adequações de pagamento por eventual não atendimento das metas estabelecidas e estipulados no Instrumento</w:t>
      </w:r>
      <w:r>
        <w:rPr>
          <w:spacing w:val="-19"/>
        </w:rPr>
        <w:t xml:space="preserve"> </w:t>
      </w:r>
      <w:r>
        <w:rPr/>
        <w:t>Convocatório.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28" w:leader="none"/>
        </w:tabs>
        <w:ind w:left="0" w:hanging="0"/>
        <w:jc w:val="both"/>
        <w:rPr/>
      </w:pPr>
      <w:r>
        <w:rPr/>
        <w:t xml:space="preserve">Este anexo (IMR) é parte indissociável do </w:t>
      </w:r>
      <w:r>
        <w:rPr>
          <w:spacing w:val="-5"/>
        </w:rPr>
        <w:t xml:space="preserve">Termo </w:t>
      </w:r>
      <w:r>
        <w:rPr/>
        <w:t>de Referência. Àquele contém critérios de medição que estão em consonância com as regras de execução dos serviços estabelecidas na minuta contratual, sendo imprescindível a obediência a estes ditames sob pena de imputação de sanções</w:t>
      </w:r>
      <w:r>
        <w:rPr>
          <w:spacing w:val="-33"/>
        </w:rPr>
        <w:t xml:space="preserve"> </w:t>
      </w:r>
      <w:r>
        <w:rPr/>
        <w:t>administrativas.</w:t>
      </w:r>
    </w:p>
    <w:p>
      <w:pPr>
        <w:pStyle w:val="ListParagraph"/>
        <w:tabs>
          <w:tab w:val="clear" w:pos="720"/>
          <w:tab w:val="left" w:pos="528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6" w:leader="none"/>
        </w:tabs>
        <w:ind w:left="0" w:hanging="0"/>
        <w:jc w:val="both"/>
        <w:rPr/>
      </w:pPr>
      <w:r>
        <w:rPr>
          <w:b/>
        </w:rPr>
        <w:t xml:space="preserve">DOS INDICADORES, </w:t>
      </w:r>
      <w:r>
        <w:rPr>
          <w:b/>
          <w:spacing w:val="-5"/>
        </w:rPr>
        <w:t xml:space="preserve">METAS </w:t>
      </w:r>
      <w:r>
        <w:rPr>
          <w:b/>
        </w:rPr>
        <w:t>E DOS MECANISMOS DE</w:t>
      </w:r>
      <w:r>
        <w:rPr>
          <w:b/>
          <w:spacing w:val="2"/>
        </w:rPr>
        <w:t xml:space="preserve"> </w:t>
      </w:r>
      <w:r>
        <w:rPr>
          <w:b/>
        </w:rPr>
        <w:t>CÁLCULO</w:t>
      </w:r>
    </w:p>
    <w:p>
      <w:pPr>
        <w:pStyle w:val="Corpodotexto"/>
        <w:spacing w:lineRule="auto" w:line="240" w:before="0" w:after="0"/>
        <w:jc w:val="both"/>
        <w:rPr>
          <w:b/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32" w:leader="none"/>
        </w:tabs>
        <w:ind w:left="0" w:hanging="0"/>
        <w:jc w:val="both"/>
        <w:rPr/>
      </w:pPr>
      <w:r>
        <w:rPr/>
        <w:t xml:space="preserve">A prestação dos serviços pela </w:t>
      </w:r>
      <w:r>
        <w:rPr>
          <w:spacing w:val="-4"/>
        </w:rPr>
        <w:t xml:space="preserve">CONTRATADA </w:t>
      </w:r>
      <w:r>
        <w:rPr/>
        <w:t>serão avaliados por meio de indicadores baseados nas regras de saúde e segurança no trabalho, na legislação trabalhista e/ou convenção coletiva de trabalho e nas boas práticas de execução dos serviços de apoio administrativo, conforme os anexos V e VI – B da IN 05/2017 SEGES/MPDG. Considerando o já mencionado, cinco indicadores foram criados para tal, quais sejam: 1) uso dos EPI's e uniformes; 2) tempo de resposta às solicitações da contratante; 3) atraso no pagamento de salários e outros benefícios mensais; 4) zelo pelo patrimônio público; e 5) volume e qualidade dos serviços prestados.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50" w:leader="none"/>
        </w:tabs>
        <w:ind w:left="0" w:hanging="0"/>
        <w:jc w:val="both"/>
        <w:rPr/>
      </w:pPr>
      <w:r>
        <w:rPr/>
        <w:t>Aos indicadores serão atribuídas pontuações, conforme critérios apresentados nas tabelas</w:t>
      </w:r>
      <w:r>
        <w:rPr>
          <w:spacing w:val="-25"/>
        </w:rPr>
        <w:t xml:space="preserve"> </w:t>
      </w:r>
      <w:r>
        <w:rPr/>
        <w:t>abaixo.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26" w:leader="none"/>
        </w:tabs>
        <w:ind w:left="0" w:hanging="0"/>
        <w:jc w:val="both"/>
        <w:rPr/>
      </w:pPr>
      <w:r>
        <w:rPr/>
        <w:t>Cada indicador contribui com uma quantidade diferenciada na aferição da pontuação. Essa diferença está relacionada à essencialidade do indicador para a qualidade na execução dos</w:t>
      </w:r>
      <w:r>
        <w:rPr>
          <w:spacing w:val="-18"/>
        </w:rPr>
        <w:t xml:space="preserve"> </w:t>
      </w:r>
      <w:r>
        <w:rPr/>
        <w:t>serviços.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10" w:leader="none"/>
        </w:tabs>
        <w:ind w:left="0" w:hanging="0"/>
        <w:jc w:val="both"/>
        <w:rPr/>
      </w:pPr>
      <w:r>
        <w:rPr/>
        <w:t>A pontuação final da execução dos serviços pode resultar em valores entre 0 (zero) e 100 (cem), que correspondem a uma graduação do nível de qualidade na execução dos serviços. Considera-se o valor 0 (zero) para um serviço inteiramente desprovido de qualidade, e, o valor 100 (cem) para o serviço inteiramente provido de</w:t>
      </w:r>
      <w:r>
        <w:rPr>
          <w:spacing w:val="-3"/>
        </w:rPr>
        <w:t xml:space="preserve"> </w:t>
      </w:r>
      <w:r>
        <w:rPr/>
        <w:t>qualidade.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50" w:leader="none"/>
        </w:tabs>
        <w:ind w:left="0" w:hanging="0"/>
        <w:jc w:val="both"/>
        <w:rPr/>
      </w:pPr>
      <w:r>
        <w:rPr/>
        <w:t>A</w:t>
      </w:r>
      <w:r>
        <w:rPr>
          <w:spacing w:val="-15"/>
        </w:rPr>
        <w:t xml:space="preserve"> </w:t>
      </w:r>
      <w:r>
        <w:rPr/>
        <w:t>pontuação</w:t>
      </w:r>
      <w:r>
        <w:rPr>
          <w:spacing w:val="-4"/>
        </w:rPr>
        <w:t xml:space="preserve"> </w:t>
      </w:r>
      <w:r>
        <w:rPr/>
        <w:t>supracitada,</w:t>
      </w:r>
      <w:r>
        <w:rPr>
          <w:spacing w:val="-4"/>
        </w:rPr>
        <w:t xml:space="preserve"> </w:t>
      </w:r>
      <w:r>
        <w:rPr/>
        <w:t>será</w:t>
      </w:r>
      <w:r>
        <w:rPr>
          <w:spacing w:val="-4"/>
        </w:rPr>
        <w:t xml:space="preserve"> </w:t>
      </w:r>
      <w:r>
        <w:rPr/>
        <w:t>mensurada</w:t>
      </w:r>
      <w:r>
        <w:rPr>
          <w:spacing w:val="-3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base</w:t>
      </w:r>
      <w:r>
        <w:rPr>
          <w:spacing w:val="-4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observações</w:t>
      </w:r>
      <w:r>
        <w:rPr>
          <w:spacing w:val="-3"/>
        </w:rPr>
        <w:t xml:space="preserve"> </w:t>
      </w:r>
      <w:r>
        <w:rPr/>
        <w:t>diárias,</w:t>
      </w:r>
      <w:r>
        <w:rPr>
          <w:spacing w:val="-4"/>
        </w:rPr>
        <w:t xml:space="preserve"> </w:t>
      </w:r>
      <w:r>
        <w:rPr/>
        <w:t>semanal</w:t>
      </w:r>
      <w:r>
        <w:rPr>
          <w:spacing w:val="-5"/>
        </w:rPr>
        <w:t xml:space="preserve"> </w:t>
      </w:r>
      <w:r>
        <w:rPr/>
        <w:t>e/ou</w:t>
      </w:r>
      <w:r>
        <w:rPr>
          <w:spacing w:val="-4"/>
        </w:rPr>
        <w:t xml:space="preserve"> </w:t>
      </w:r>
      <w:r>
        <w:rPr/>
        <w:t>mensal</w:t>
      </w:r>
      <w:r>
        <w:rPr>
          <w:spacing w:val="-4"/>
        </w:rPr>
        <w:t xml:space="preserve"> </w:t>
      </w:r>
      <w:r>
        <w:rPr/>
        <w:t xml:space="preserve">por parte do </w:t>
      </w:r>
      <w:r>
        <w:rPr>
          <w:b/>
          <w:u w:val="single"/>
        </w:rPr>
        <w:t>Fiscal Técnico e Administrativo</w:t>
      </w:r>
      <w:r>
        <w:rPr/>
        <w:t>, sendo levado em conta a frequência de ocorrências no mês de referência da prestação dos</w:t>
      </w:r>
      <w:r>
        <w:rPr>
          <w:spacing w:val="-2"/>
        </w:rPr>
        <w:t xml:space="preserve"> </w:t>
      </w:r>
      <w:r>
        <w:rPr/>
        <w:t>serviços.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09" w:top="1134" w:footer="709" w:bottom="1134"/>
          <w:pgNumType w:fmt="decimal"/>
          <w:formProt w:val="false"/>
          <w:textDirection w:val="lrTb"/>
          <w:docGrid w:type="default" w:linePitch="600" w:charSpace="9830"/>
        </w:sectPr>
        <w:pStyle w:val="ListParagraph"/>
        <w:numPr>
          <w:ilvl w:val="1"/>
          <w:numId w:val="11"/>
        </w:numPr>
        <w:tabs>
          <w:tab w:val="clear" w:pos="720"/>
          <w:tab w:val="left" w:pos="516" w:leader="none"/>
        </w:tabs>
        <w:ind w:left="0" w:hanging="0"/>
        <w:jc w:val="both"/>
        <w:rPr/>
      </w:pPr>
      <w:r>
        <w:rPr/>
        <w:t>As tabelas abaixo apresentam os indicadores, as metas, os critérios e os mecanismos de cálculo da pontuação para fins de cálculo do pagamento da</w:t>
      </w:r>
      <w:r>
        <w:rPr>
          <w:spacing w:val="-9"/>
        </w:rPr>
        <w:t xml:space="preserve"> </w:t>
      </w:r>
      <w:r>
        <w:rPr/>
        <w:t>contratada.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2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45"/>
        <w:gridCol w:w="6366"/>
      </w:tblGrid>
      <w:tr>
        <w:trPr>
          <w:trHeight w:val="347" w:hRule="atLeast"/>
        </w:trPr>
        <w:tc>
          <w:tcPr>
            <w:tcW w:w="9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00FFFF" w:val="clear"/>
          </w:tcPr>
          <w:p>
            <w:pPr>
              <w:pStyle w:val="TableParagraph"/>
              <w:widowControl w:val="false"/>
              <w:tabs>
                <w:tab w:val="left" w:pos="-18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color w:val="101010"/>
                <w:sz w:val="20"/>
              </w:rPr>
            </w:pPr>
            <w:r>
              <w:rPr>
                <w:b/>
                <w:color w:val="101010"/>
                <w:sz w:val="20"/>
              </w:rPr>
              <w:t>INDICADOR 1 – USO DOS EPI'S E UNIFORMES</w:t>
            </w:r>
          </w:p>
        </w:tc>
      </w:tr>
      <w:tr>
        <w:trPr>
          <w:trHeight w:val="32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FFFF" w:val="clear"/>
          </w:tcPr>
          <w:p>
            <w:pPr>
              <w:pStyle w:val="TableParagraph"/>
              <w:widowControl w:val="false"/>
              <w:tabs>
                <w:tab w:val="left" w:pos="-40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FFFF" w:val="clear"/>
          </w:tcPr>
          <w:p>
            <w:pPr>
              <w:pStyle w:val="TableParagraph"/>
              <w:widowControl w:val="false"/>
              <w:tabs>
                <w:tab w:val="left" w:pos="-203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4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-40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o atendimento às exigências específicas relacionadas a segurança do trabalho, fornecimento e uso dos uniformes na execução dos serviços, bem como o uso de Equipamentos de Proteção Individual – EPI’S.</w:t>
            </w:r>
          </w:p>
        </w:tc>
      </w:tr>
      <w:tr>
        <w:trPr>
          <w:trHeight w:val="321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0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>
        <w:trPr>
          <w:trHeight w:val="326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2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formal diária de ocorrências.</w:t>
            </w:r>
          </w:p>
        </w:tc>
      </w:tr>
      <w:tr>
        <w:trPr>
          <w:trHeight w:val="45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1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 xml:space="preserve">In loco” </w:t>
            </w:r>
            <w:r>
              <w:rPr>
                <w:sz w:val="20"/>
              </w:rPr>
              <w:t xml:space="preserve">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sendo o registro realizado </w:t>
            </w:r>
            <w:r>
              <w:rPr>
                <w:b/>
                <w:color w:val="EC1B23"/>
                <w:sz w:val="20"/>
                <w:u w:val="single" w:color="EC1B23"/>
              </w:rPr>
              <w:t>por meio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b/>
                <w:color w:val="EC1B23"/>
                <w:sz w:val="20"/>
                <w:u w:val="single" w:color="EC1B23"/>
              </w:rPr>
              <w:t>de sistema eletrônico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sz w:val="20"/>
              </w:rPr>
              <w:t>da ocorrência do contrato 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execução.</w:t>
            </w:r>
          </w:p>
        </w:tc>
      </w:tr>
      <w:tr>
        <w:trPr>
          <w:trHeight w:val="320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Diária, com aferição mensal do resultado.</w:t>
            </w:r>
          </w:p>
        </w:tc>
      </w:tr>
      <w:tr>
        <w:trPr>
          <w:trHeight w:val="137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1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no mês de referência, independentemente do número de serventes em desacordo com o indicador.</w:t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1 (um) dia em que os serventes se apresentarem ao serviço desatendendo às regras do indicador.</w:t>
            </w:r>
          </w:p>
        </w:tc>
      </w:tr>
      <w:tr>
        <w:trPr>
          <w:trHeight w:val="322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7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37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10 Pontos 1 ocorrência = 8 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ou mais ocorrências =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</w:tr>
      <w:tr>
        <w:trPr>
          <w:trHeight w:val="130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left" w:pos="-33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Item </w:t>
            </w:r>
            <w:r>
              <w:rPr>
                <w:rFonts w:cs="Arial"/>
                <w:b/>
                <w:bCs/>
                <w:color w:val="000000"/>
                <w:szCs w:val="20"/>
              </w:rPr>
              <w:t>23</w:t>
            </w:r>
            <w:r>
              <w:rPr>
                <w:rFonts w:cs="Arial"/>
                <w:b/>
                <w:bCs/>
                <w:color w:val="000000"/>
                <w:szCs w:val="20"/>
              </w:rPr>
              <w:t>, subitem 2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.2, Sanções Administrativas do TR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3.2, a.i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Advertência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por escrito</w:t>
            </w:r>
            <w:r>
              <w:rPr>
                <w:color w:val="000000"/>
                <w:sz w:val="20"/>
                <w:szCs w:val="20"/>
              </w:rPr>
              <w:t>, quando do não cumprimento de quaisquer das obrigações contratuais consideradas faltas leves, assim entendidas aquelas que não acarretam prejuízos significativos para o serviço contratado;</w:t>
            </w:r>
          </w:p>
        </w:tc>
      </w:tr>
      <w:tr>
        <w:trPr>
          <w:trHeight w:val="114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7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este 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26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327"/>
        <w:gridCol w:w="6298"/>
      </w:tblGrid>
      <w:tr>
        <w:trPr>
          <w:trHeight w:val="336" w:hRule="atLeast"/>
        </w:trPr>
        <w:tc>
          <w:tcPr>
            <w:tcW w:w="9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003366" w:val="clear"/>
          </w:tcPr>
          <w:p>
            <w:pPr>
              <w:pStyle w:val="TableParagraph"/>
              <w:widowControl w:val="false"/>
              <w:tabs>
                <w:tab w:val="left" w:pos="-39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INDICADOR 2 - TEMPO DE RESPOSTA ÀS SOLICITAÇÕES DA CONTRATANTE</w:t>
            </w:r>
          </w:p>
        </w:tc>
      </w:tr>
      <w:tr>
        <w:trPr>
          <w:trHeight w:val="33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6699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6699" w:val="clear"/>
          </w:tcPr>
          <w:p>
            <w:pPr>
              <w:pStyle w:val="TableParagraph"/>
              <w:widowControl w:val="false"/>
              <w:tabs>
                <w:tab w:val="left" w:pos="-14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3051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a celeridade nas respostas relacionadas a toda execução do cumprimento contratual, tais como: a) substituição e/ou reposição de serventes; b) entrega de documentos relacionados a prestação dos serviços; ; c) abastecimento e/ou reposição de materiais, equipamentos e fardamentos dentre outros que estejam vinculados à prestação do serviço em comento.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-1501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i/>
                <w:sz w:val="16"/>
              </w:rPr>
              <w:t>Nota: A finalidade desse indicador é auxiliar a Administração a mensurar o grau de comprometimento no tocante à resolução das demandas levantadas de forma mais célere possível, ainda que, a resolução definitiva de determinada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demanda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apenas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dê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num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lapso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26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327"/>
        <w:gridCol w:w="6298"/>
      </w:tblGrid>
      <w:tr>
        <w:trPr>
          <w:trHeight w:val="290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11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i/>
                <w:i/>
                <w:sz w:val="16"/>
              </w:rPr>
            </w:pPr>
            <w:r>
              <w:rPr>
                <w:b/>
                <w:i/>
                <w:sz w:val="16"/>
              </w:rPr>
              <w:t>temporal maior.</w:t>
            </w:r>
          </w:p>
        </w:tc>
      </w:tr>
      <w:tr>
        <w:trPr>
          <w:trHeight w:val="5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menor tempo possível a contar da solicitação ou da ordem de serviços, sendo o prazo máximo o de 1 (um) dia útil.</w:t>
            </w:r>
          </w:p>
        </w:tc>
      </w:tr>
      <w:tr>
        <w:trPr>
          <w:trHeight w:val="5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formal de ocorrências casuísticas a depender das demandas por parte da Administração.</w:t>
            </w:r>
          </w:p>
        </w:tc>
      </w:tr>
      <w:tr>
        <w:trPr>
          <w:trHeight w:val="79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Pessoal, quando da solicitação do </w:t>
            </w:r>
            <w:r>
              <w:rPr>
                <w:b/>
                <w:sz w:val="20"/>
                <w:u w:val="single"/>
              </w:rPr>
              <w:t>Fiscal Técnico e/ou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através </w:t>
            </w:r>
            <w:r>
              <w:rPr>
                <w:b/>
                <w:color w:val="FF0000"/>
                <w:sz w:val="20"/>
              </w:rPr>
              <w:t xml:space="preserve">do sistema </w:t>
            </w:r>
            <w:r>
              <w:rPr>
                <w:b/>
                <w:color w:val="EC1B23"/>
                <w:sz w:val="20"/>
              </w:rPr>
              <w:t>eletrônico de registro de ocorrências.</w:t>
            </w:r>
          </w:p>
        </w:tc>
      </w:tr>
      <w:tr>
        <w:trPr>
          <w:trHeight w:val="33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Por evento/solicitação à contratante.</w:t>
            </w:r>
          </w:p>
        </w:tc>
      </w:tr>
      <w:tr>
        <w:trPr>
          <w:trHeight w:val="125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com tempo de resposta superior a 1 (um) dia útil.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cada 1 (um) dia útil em que as respostas/solicitações do Contratante não sejam atendidas pela Contratada.</w:t>
            </w:r>
          </w:p>
        </w:tc>
      </w:tr>
      <w:tr>
        <w:trPr>
          <w:trHeight w:val="33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48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atrasos = 10 Pontos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resposta com atraso = 8 Pontos 2 respostas com atraso = 6 Pontos 3 respostas com atraso = 4 Pontos 4 respostas com atraso = 2 Ponto 5 ou mais com atraso = 0 Pontos</w:t>
            </w:r>
          </w:p>
        </w:tc>
      </w:tr>
      <w:tr>
        <w:trPr>
          <w:trHeight w:val="28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-37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Item </w:t>
            </w:r>
            <w:r>
              <w:rPr>
                <w:rFonts w:cs="Arial"/>
                <w:b/>
                <w:bCs/>
                <w:color w:val="000000"/>
                <w:szCs w:val="20"/>
              </w:rPr>
              <w:t>23</w:t>
            </w:r>
            <w:r>
              <w:rPr>
                <w:rFonts w:cs="Arial"/>
                <w:b/>
                <w:bCs/>
                <w:color w:val="000000"/>
                <w:szCs w:val="20"/>
              </w:rPr>
              <w:t>, subitem 2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.2, Sanções Administrativas do TR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3.2, a.i -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>
        <w:trPr>
          <w:trHeight w:val="2222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As respostas às solicitações podem figurar-se em basicamente 3 (três) hipóteses: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Resposta em forma de ação (prestação direta de determinado serviço que careceu de melhoria 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execução).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Reposta por meios formais (via documentos entregues à Administração).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Resposta por meios informais através do uso de instrumentos telemáticos (comunicado a consultas via telefone ou e- mail)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val="125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3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pacing w:val="-3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este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44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58"/>
        <w:gridCol w:w="6385"/>
      </w:tblGrid>
      <w:tr>
        <w:trPr>
          <w:trHeight w:val="337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006633" w:val="clear"/>
          </w:tcPr>
          <w:p>
            <w:pPr>
              <w:pStyle w:val="TableParagraph"/>
              <w:widowControl w:val="false"/>
              <w:tabs>
                <w:tab w:val="left" w:pos="28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3 – ATRASO NO PAGAMENTO DE SALÁRIOS E OUTROS BENEFÍCIOS MENSAIS</w:t>
            </w:r>
          </w:p>
        </w:tc>
      </w:tr>
      <w:tr>
        <w:trPr>
          <w:trHeight w:val="33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9966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9966" w:val="clear"/>
          </w:tcPr>
          <w:p>
            <w:pPr>
              <w:pStyle w:val="TableParagraph"/>
              <w:widowControl w:val="false"/>
              <w:tabs>
                <w:tab w:val="left" w:pos="-18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298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Verificar o número de ocorrências de descumprimento pela contratada das obrigações relativas ao pagamento das remunerações dos serventes, bem como a retribuição dos benefícios mensais como, por exemplo: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Vale-transporte;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Vale/auxílio-alimentação;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básicas;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Seguro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vida;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Plano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Coberturas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Sociais;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Recolhimentos trabalhistas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previdenciários;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Entre outros previstos na CCT e nas leis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trabalhistas.</w:t>
            </w:r>
          </w:p>
        </w:tc>
      </w:tr>
      <w:tr>
        <w:trPr>
          <w:trHeight w:val="33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>
        <w:trPr>
          <w:trHeight w:val="341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Constatação formal de ocorrências, realizada </w:t>
            </w:r>
            <w:r>
              <w:rPr>
                <w:b/>
                <w:sz w:val="20"/>
                <w:u w:val="single"/>
              </w:rPr>
              <w:t>pelo Fiscal Técnico 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 conjunto com o </w:t>
            </w:r>
            <w:r>
              <w:rPr>
                <w:b/>
                <w:sz w:val="20"/>
                <w:u w:val="single"/>
              </w:rPr>
              <w:t>Gestor de Contratos</w:t>
            </w:r>
            <w:r>
              <w:rPr>
                <w:sz w:val="20"/>
                <w:u w:val="single"/>
              </w:rPr>
              <w:t>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O modo de aferição será realizado através de comprovação documental por meio da análise de documentos, tais como: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Contracheque;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GFIP;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CAGED;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Extrato da conta do INSS e do FGTS 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empregados;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Comprovantes de entrega de benefícios suplementares (vale- transporte, vale-alimentação, entre outros), a que estiver obrigada por força de lei ou de Convenção ou Acordo Coletivo de Trabalho, relativos ao mês da prestação dos serviços;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Cópia da folha de pagamento analítica que conste lista de todos os empregados referente ao mês da prestação dos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serviços.</w:t>
            </w:r>
          </w:p>
        </w:tc>
      </w:tr>
      <w:tr>
        <w:trPr>
          <w:trHeight w:val="56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Pessoalmente. O registro da ocorrência será realizado pelo </w:t>
            </w:r>
            <w:r>
              <w:rPr>
                <w:b/>
                <w:sz w:val="20"/>
                <w:u w:val="single"/>
              </w:rPr>
              <w:t>Fiscal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do contrato no sistema eletrônico de ocorrências.</w:t>
            </w:r>
          </w:p>
        </w:tc>
      </w:tr>
      <w:tr>
        <w:trPr>
          <w:trHeight w:val="56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Mensal, nos termos do Art. 459, § 1º, do Decreto-Lei 5452/43, ou data base fornecida por convenção coletiva da categoria.</w:t>
            </w:r>
          </w:p>
        </w:tc>
      </w:tr>
      <w:tr>
        <w:trPr>
          <w:trHeight w:val="171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 de atraso no mês de referência.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hipótese na qual os serventes ficaram sem o recebimento dos salários e benefícios após o 5º (quinto) dia útil do mês subsequente ao da prestação dos serviços.</w:t>
            </w:r>
          </w:p>
        </w:tc>
      </w:tr>
      <w:tr>
        <w:trPr>
          <w:trHeight w:val="33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56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35 Pontos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>
        <w:trPr>
          <w:trHeight w:val="125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Item </w:t>
            </w:r>
            <w:r>
              <w:rPr>
                <w:rFonts w:cs="Arial"/>
                <w:b/>
                <w:bCs/>
                <w:color w:val="000000"/>
                <w:szCs w:val="20"/>
              </w:rPr>
              <w:t>23</w:t>
            </w:r>
            <w:r>
              <w:rPr>
                <w:rFonts w:cs="Arial"/>
                <w:b/>
                <w:bCs/>
                <w:color w:val="000000"/>
                <w:szCs w:val="20"/>
              </w:rPr>
              <w:t>, subitem 2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.2, Sanções Administrativas do TR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3.2, a.i -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cumulativamente.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44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58"/>
        <w:gridCol w:w="6385"/>
      </w:tblGrid>
      <w:tr>
        <w:trPr>
          <w:trHeight w:val="171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>
        <w:trPr>
          <w:trHeight w:val="33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Atendendo ao disposto do Art. 459, § 1º da CLT.</w:t>
            </w:r>
          </w:p>
        </w:tc>
      </w:tr>
      <w:tr>
        <w:trPr>
          <w:trHeight w:val="125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3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 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345" w:hRule="atLeast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6666" w:val="clear"/>
          </w:tcPr>
          <w:p>
            <w:pPr>
              <w:pStyle w:val="TableParagraph"/>
              <w:widowControl w:val="false"/>
              <w:tabs>
                <w:tab w:val="left" w:pos="-1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4 – ZELO PELO PATRIMÔNIO PÚBLICO</w:t>
            </w:r>
          </w:p>
        </w:tc>
      </w:tr>
      <w:tr>
        <w:trPr>
          <w:trHeight w:val="32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9999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9999" w:val="clear"/>
          </w:tcPr>
          <w:p>
            <w:pPr>
              <w:pStyle w:val="TableParagraph"/>
              <w:widowControl w:val="false"/>
              <w:tabs>
                <w:tab w:val="left" w:pos="-185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Aferir o grau de comprometimento do colaborador no zelo pelo patrimônio público quando do desempenho de suas funções.</w:t>
            </w:r>
          </w:p>
        </w:tc>
      </w:tr>
      <w:tr>
        <w:trPr>
          <w:trHeight w:val="67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Nenhum dano a bem móvel ou imóvel da Instituição</w:t>
            </w:r>
          </w:p>
        </w:tc>
      </w:tr>
      <w:tr>
        <w:trPr>
          <w:trHeight w:val="327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pessoal e formal diária de ocorrências</w:t>
            </w:r>
          </w:p>
        </w:tc>
      </w:tr>
      <w:tr>
        <w:trPr>
          <w:trHeight w:val="683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Será realizada de forma pessoal 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. O registro da ocorrência será realizado pelo fiscal </w:t>
            </w:r>
            <w:r>
              <w:rPr>
                <w:b/>
                <w:color w:val="FF0000"/>
                <w:sz w:val="20"/>
                <w:u w:val="single" w:color="FF0000"/>
              </w:rPr>
              <w:t>por meio de sistema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eletrônico.</w:t>
            </w:r>
          </w:p>
        </w:tc>
      </w:tr>
      <w:tr>
        <w:trPr>
          <w:trHeight w:val="32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Por evento/constatação dentro do mês de referência.</w:t>
            </w:r>
          </w:p>
        </w:tc>
      </w:tr>
      <w:tr>
        <w:trPr>
          <w:trHeight w:val="1424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ocorrência como aquela solicitação que deixar de ser atendida em tempo superior a 24 h.</w:t>
            </w:r>
          </w:p>
        </w:tc>
      </w:tr>
      <w:tr>
        <w:trPr>
          <w:trHeight w:val="322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55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20 Pontos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>
        <w:trPr>
          <w:trHeight w:val="1833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inicialmente, deverá notificar a empresa verbalmente e/ou por escrito (digital e/ou impresso) através da figura do preposto para que, em 24 h, atenda às solicitações da Administração quanto ao fornecimento ou reabastecimento dos materiais bem como quanto à manutenção dos equipamentos. </w:t>
            </w:r>
            <w:r>
              <w:rPr>
                <w:spacing w:val="-6"/>
                <w:sz w:val="20"/>
              </w:rPr>
              <w:t xml:space="preserve">Tendo </w:t>
            </w:r>
            <w:r>
              <w:rPr>
                <w:sz w:val="20"/>
              </w:rPr>
              <w:t>atendido ao supracitado, a penalidade do registro da ocorrência poderá, dado os princípios da razoabilidade, celeridade e eficiência 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retirada.</w:t>
            </w:r>
          </w:p>
        </w:tc>
      </w:tr>
      <w:tr>
        <w:trPr>
          <w:trHeight w:val="91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Item </w:t>
            </w:r>
            <w:r>
              <w:rPr>
                <w:rFonts w:cs="Arial"/>
                <w:b/>
                <w:bCs/>
                <w:color w:val="000000"/>
                <w:szCs w:val="20"/>
              </w:rPr>
              <w:t>23</w:t>
            </w:r>
            <w:r>
              <w:rPr>
                <w:rFonts w:cs="Arial"/>
                <w:b/>
                <w:bCs/>
                <w:color w:val="000000"/>
                <w:szCs w:val="20"/>
              </w:rPr>
              <w:t>, subitem 2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.2, Sanções Administrativas do TR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3.2, a.i -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183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  <w:tr>
        <w:trPr>
          <w:trHeight w:val="114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8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343" w:hRule="atLeast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669933" w:val="clear"/>
          </w:tcPr>
          <w:p>
            <w:pPr>
              <w:pStyle w:val="TableParagraph"/>
              <w:widowControl w:val="false"/>
              <w:tabs>
                <w:tab w:val="left" w:pos="-4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5 – QUANTIDADE E QUALIDADE DOS SERVIÇOS PRESTADOS</w:t>
            </w:r>
          </w:p>
        </w:tc>
      </w:tr>
      <w:tr>
        <w:trPr>
          <w:trHeight w:val="32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CC66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CC66" w:val="clear"/>
          </w:tcPr>
          <w:p>
            <w:pPr>
              <w:pStyle w:val="TableParagraph"/>
              <w:widowControl w:val="false"/>
              <w:tabs>
                <w:tab w:val="left" w:pos="-185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os serviços prestados, de modo que atendam o nível de quantidade e qualidade estabelecido no s estudos preliminares e termo de referência.</w:t>
            </w:r>
          </w:p>
        </w:tc>
      </w:tr>
      <w:tr>
        <w:trPr>
          <w:trHeight w:val="90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Serviços prestados com excelência, de modo que a referida execução sera realizada de modo inaudito.</w:t>
            </w:r>
          </w:p>
        </w:tc>
      </w:tr>
      <w:tr>
        <w:trPr>
          <w:trHeight w:val="91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Pesquisa de satisfação por meio de formulário eletrônico enviado por e-mail à </w:t>
            </w:r>
            <w:r>
              <w:rPr>
                <w:b/>
                <w:sz w:val="20"/>
                <w:u w:val="single"/>
              </w:rPr>
              <w:t>Fiscalização pelo Público Usuário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(discentes, docentes, técnicos administrativos e visitantes externos) desta Instituição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Federal.</w:t>
            </w:r>
          </w:p>
        </w:tc>
      </w:tr>
      <w:tr>
        <w:trPr>
          <w:trHeight w:val="44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Aplicação de pesquisa de satisfação </w:t>
            </w:r>
            <w:r>
              <w:rPr>
                <w:b/>
                <w:color w:val="FF0000"/>
                <w:sz w:val="20"/>
              </w:rPr>
              <w:t>por meio de formulário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color w:val="FF0000"/>
                <w:sz w:val="20"/>
              </w:rPr>
              <w:t xml:space="preserve">eletrônico </w:t>
            </w:r>
            <w:r>
              <w:rPr>
                <w:sz w:val="20"/>
              </w:rPr>
              <w:t xml:space="preserve">disponibilizado pelo </w:t>
            </w:r>
            <w:r>
              <w:rPr>
                <w:b/>
                <w:sz w:val="20"/>
                <w:u w:val="single"/>
              </w:rPr>
              <w:t>Fiscal Técnico e/ou Setorial.</w:t>
            </w:r>
          </w:p>
        </w:tc>
      </w:tr>
      <w:tr>
        <w:trPr>
          <w:trHeight w:val="32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Ao final do mês de prestação dos serviços.</w:t>
            </w:r>
          </w:p>
        </w:tc>
      </w:tr>
      <w:tr>
        <w:trPr>
          <w:trHeight w:val="68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metodologia de cálculo está disposta na Planilha de Avaliação da Qualidade dos Serviços prestados – APOIO ADMINISTRATIVO(anexo I - D1).</w:t>
            </w:r>
          </w:p>
        </w:tc>
      </w:tr>
      <w:tr>
        <w:trPr>
          <w:trHeight w:val="36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37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0 a 25 Pontos conforme resultados da pesquisa. Sendo a pontuação 0 (zero) correspondente ao serviço completamente insatisfatório (I); de 1 (um) a 10(dez) correspondente ao serviço regular (R); 11(onze) a 20 (vinte) correspondente ao serviço bom (B) e de 21 (vinte e um) a 25 (vinte e cinco) correspondente ao serviço ótimo (O).</w:t>
            </w:r>
          </w:p>
        </w:tc>
      </w:tr>
      <w:tr>
        <w:trPr>
          <w:trHeight w:val="274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Item </w:t>
            </w:r>
            <w:r>
              <w:rPr>
                <w:rFonts w:cs="Arial"/>
                <w:b/>
                <w:bCs/>
                <w:color w:val="000000"/>
                <w:szCs w:val="20"/>
              </w:rPr>
              <w:t>23</w:t>
            </w:r>
            <w:r>
              <w:rPr>
                <w:rFonts w:cs="Arial"/>
                <w:b/>
                <w:bCs/>
                <w:color w:val="000000"/>
                <w:szCs w:val="20"/>
              </w:rPr>
              <w:t>, subitem 2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</w:rPr>
              <w:t>.2, Sanções Administrativas do TR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3.2, a.i -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68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Os quesitos a serem avaliados neste indicador encontram-se na planilha de avaliação sendo esta anexa (I –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1) ao Instrumento de Medição de Resultados (IMR).</w:t>
            </w:r>
          </w:p>
        </w:tc>
      </w:tr>
      <w:tr>
        <w:trPr>
          <w:trHeight w:val="113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38" w:leader="none"/>
        </w:tabs>
        <w:ind w:left="0" w:hanging="0"/>
        <w:jc w:val="both"/>
        <w:rPr/>
      </w:pPr>
      <w:r>
        <w:rPr>
          <w:b/>
        </w:rPr>
        <w:t xml:space="preserve">DO CÁLCULO </w:t>
      </w:r>
      <w:r>
        <w:rPr>
          <w:b/>
          <w:spacing w:val="-4"/>
        </w:rPr>
        <w:t>PARA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PAGAMENTO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38" w:leader="none"/>
        </w:tabs>
        <w:ind w:left="0" w:hanging="0"/>
        <w:jc w:val="both"/>
        <w:rPr/>
      </w:pPr>
      <w:r>
        <w:rPr/>
        <w:t>As pontuações relativas à aferição de qualidade devem ser totalizadas para o mês de referência, conforme especificações apresentadas nas tabelas</w:t>
      </w:r>
      <w:r>
        <w:rPr>
          <w:spacing w:val="-7"/>
        </w:rPr>
        <w:t xml:space="preserve"> </w:t>
      </w:r>
      <w:r>
        <w:rPr/>
        <w:t>acima.</w:t>
      </w:r>
    </w:p>
    <w:p>
      <w:pPr>
        <w:pStyle w:val="Corpodotexto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3.2 A aplicação dos critérios de averiguação da qualidade resultará em uma pontuação final no intervalo de 0 (zero) a 100 (cem) pontos, correspondente à soma das pontuações obtidas para cada indicador, conforme fórmula abaixo:</w:t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73025</wp:posOffset>
                </wp:positionH>
                <wp:positionV relativeFrom="paragraph">
                  <wp:posOffset>60960</wp:posOffset>
                </wp:positionV>
                <wp:extent cx="6131560" cy="335280"/>
                <wp:effectExtent l="0" t="0" r="0" b="0"/>
                <wp:wrapNone/>
                <wp:docPr id="8" name="Quadro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33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208" w:hanging="0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>Pontuação total do serviço = Indicador 1 + Indicador 2 + Indicador 3 + Indicador 4 + Indicador 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5" path="m0,0l-2147483645,0l-2147483645,-2147483646l0,-2147483646xe" stroked="f" o:allowincell="f" style="position:absolute;margin-left:5.75pt;margin-top:4.8pt;width:482.7pt;height:2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208" w:hanging="0"/>
                        <w:rPr/>
                      </w:pPr>
                      <w:r>
                        <w:rPr>
                          <w:rFonts w:ascii="Bookman Old Style" w:hAnsi="Bookman Old Style"/>
                          <w:i/>
                          <w:color w:val="000000"/>
                        </w:rPr>
                        <w:t>Pontuação total do serviço = Indicador 1 + Indicador 2 + Indicador 3 + Indicador 4 + Indicador 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56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56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6" w:leader="none"/>
        </w:tabs>
        <w:ind w:left="0" w:hanging="0"/>
        <w:jc w:val="both"/>
        <w:rPr/>
      </w:pPr>
      <w:r>
        <w:rPr/>
        <w:t xml:space="preserve">Os pagamentos devidos à contratada, relativos a cada mês de referência, devem ser calculados conforme pontuação total do serviço mês a </w:t>
      </w:r>
      <w:r>
        <w:rPr>
          <w:rFonts w:ascii="Times New Roman" w:hAnsi="Times New Roman"/>
          <w:sz w:val="24"/>
          <w:u w:val="single"/>
        </w:rPr>
        <w:t>mês em consonância com a tabela e fórmulas</w:t>
      </w:r>
      <w:r>
        <w:rPr>
          <w:rFonts w:ascii="Times New Roman" w:hAnsi="Times New Roman"/>
          <w:spacing w:val="-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abaixo: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8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06"/>
        <w:gridCol w:w="3212"/>
        <w:gridCol w:w="3230"/>
      </w:tblGrid>
      <w:tr>
        <w:trPr>
          <w:trHeight w:val="475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FAIXAS DE PONTUAÇÃO DE QUALIDADE POR MÊS DE REFERÊNCIA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2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PERCENTUAL PARA PAGAMENTO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54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FATOR DE AJUSTE DE NÍVEL DE SERVIÇO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80 a 100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100%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336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70 a 79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97%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60 a 69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95%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50 a 59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93%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>
        <w:trPr>
          <w:trHeight w:val="336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40 a 49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90%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79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Abaixo de 40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90% do valor previsto + multa contratual a critério da Administração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0,90 + Avaliar necessidade de aplicação de multa contratual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671" w:leader="none"/>
        </w:tabs>
        <w:ind w:left="0" w:hanging="0"/>
        <w:jc w:val="both"/>
        <w:rPr/>
      </w:pPr>
      <w:r>
        <w:rPr/>
        <w:t>Desta feita, o valor para cada ordem de serviço será calculado conforme fórmula</w:t>
      </w:r>
      <w:r>
        <w:rPr>
          <w:spacing w:val="-19"/>
        </w:rPr>
        <w:t xml:space="preserve"> </w:t>
      </w:r>
      <w:r>
        <w:rPr/>
        <w:t>abaixo:</w:t>
      </w:r>
    </w:p>
    <w:p>
      <w:pPr>
        <w:pStyle w:val="Corpodotexto"/>
        <w:spacing w:lineRule="auto" w:line="240" w:before="0" w:after="0"/>
        <w:jc w:val="both"/>
        <w:rPr>
          <w:sz w:val="7"/>
        </w:rPr>
      </w:pPr>
      <w:r>
        <w:rPr>
          <w:sz w:val="7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736" w:leader="none"/>
        </w:tabs>
        <w:ind w:left="0" w:hanging="0"/>
        <w:jc w:val="both"/>
        <w:rPr/>
      </w:pPr>
      <w:r>
        <w:rPr/>
        <w:t>A pontuação abaixo de 40 pontos por três vezes consecutivas poderá ensejar rescisão do contrato, cabendo a decisão final à Autoridade administrativa competente de cada Unidade do IF Sertão – PE, sendo a decisão final baseada na análise da relação de prejuízos ao erário e da continuidade das atividades meio e fim desta</w:t>
      </w:r>
      <w:r>
        <w:rPr>
          <w:spacing w:val="-11"/>
        </w:rPr>
        <w:t xml:space="preserve"> </w:t>
      </w:r>
      <w:r>
        <w:rPr/>
        <w:t>Administração.</w:t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020" w:right="820" w:gutter="0" w:header="446" w:top="2561" w:footer="0" w:bottom="280"/>
          <w:pgNumType w:fmt="decimal"/>
          <w:formProt w:val="false"/>
          <w:textDirection w:val="lrTb"/>
          <w:docGrid w:type="default" w:linePitch="600" w:charSpace="9830"/>
        </w:sectPr>
        <w:pStyle w:val="ListParagraph"/>
        <w:numPr>
          <w:ilvl w:val="0"/>
          <w:numId w:val="11"/>
        </w:numPr>
        <w:tabs>
          <w:tab w:val="clear" w:pos="720"/>
          <w:tab w:val="left" w:pos="394" w:leader="none"/>
        </w:tabs>
        <w:ind w:left="0" w:hanging="0"/>
        <w:jc w:val="both"/>
        <w:rPr/>
      </w:pPr>
      <w:r>
        <w:rPr>
          <w:b/>
        </w:rPr>
        <w:t>CHECK – LIST DE AFERIÇÃO DO NÍVEL DOS</w:t>
      </w:r>
      <w:r>
        <w:rPr>
          <w:b/>
          <w:spacing w:val="-17"/>
        </w:rPr>
        <w:t xml:space="preserve"> </w:t>
      </w:r>
      <w:r>
        <w:rPr>
          <w:b/>
        </w:rPr>
        <w:t>SERVIÇOS</w:t>
      </w:r>
    </w:p>
    <w:p>
      <w:pPr>
        <w:pStyle w:val="Corpodotexto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764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421"/>
        <w:gridCol w:w="2978"/>
        <w:gridCol w:w="993"/>
        <w:gridCol w:w="1371"/>
      </w:tblGrid>
      <w:tr>
        <w:trPr>
          <w:trHeight w:val="557" w:hRule="atLeast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103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3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Critério (Faixas de Pontuação)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8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>
        <w:trPr>
          <w:trHeight w:val="325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– Uso dos EPI's e uniformes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ocorrência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5 ocorrências ou mais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– Tempo de resposta às solicitações da contratante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6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atrasos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resposta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56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5 respostas com atraso ou mais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– Atraso no pagamento de salários e outros benefícios;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22" w:leader="none"/>
                <w:tab w:val="left" w:pos="708" w:leader="none"/>
                <w:tab w:val="left" w:pos="736" w:leader="none"/>
                <w:tab w:val="left" w:pos="1407" w:leader="none"/>
                <w:tab w:val="left" w:pos="1842" w:leader="none"/>
                <w:tab w:val="left" w:pos="2923" w:leader="none"/>
                <w:tab w:val="left" w:pos="4014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  <w:tab/>
              <w:t>–</w:t>
              <w:tab/>
              <w:t>Zelo pelo patrimônio público no desempenho das funções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– Qualidade dos serviços prestados;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80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Conforme resultados da pesquisa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 – 25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8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Pontuação Total do Serviço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ANEXO I – D1</w:t>
      </w:r>
    </w:p>
    <w:p>
      <w:pPr>
        <w:pStyle w:val="Corpodotexto"/>
        <w:spacing w:lineRule="auto" w:line="240" w:before="0" w:after="0"/>
        <w:jc w:val="both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820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34"/>
        <w:gridCol w:w="5491"/>
        <w:gridCol w:w="1594"/>
      </w:tblGrid>
      <w:tr>
        <w:trPr>
          <w:trHeight w:val="591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708" w:leader="none"/>
                <w:tab w:val="left" w:pos="1345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PLANILHA</w:t>
              <w:tab/>
              <w:t>DE</w:t>
            </w:r>
          </w:p>
          <w:p>
            <w:pPr>
              <w:pStyle w:val="TableParagraph"/>
              <w:widowControl w:val="false"/>
              <w:tabs>
                <w:tab w:val="left" w:pos="708" w:leader="none"/>
                <w:tab w:val="left" w:pos="1461" w:leader="none"/>
                <w:tab w:val="left" w:pos="1962" w:leader="none"/>
                <w:tab w:val="left" w:pos="3371" w:leader="none"/>
                <w:tab w:val="left" w:pos="4024" w:leader="none"/>
                <w:tab w:val="left" w:pos="5273" w:leader="none"/>
              </w:tabs>
              <w:spacing w:lineRule="auto" w:line="240"/>
              <w:jc w:val="both"/>
              <w:rPr/>
            </w:pPr>
            <w:r>
              <w:rPr>
                <w:b/>
                <w:spacing w:val="-4"/>
                <w:sz w:val="20"/>
              </w:rPr>
              <w:t>AVALIAÇÃO</w:t>
              <w:tab/>
            </w:r>
            <w:r>
              <w:rPr>
                <w:b/>
                <w:sz w:val="20"/>
              </w:rPr>
              <w:t>DA</w:t>
              <w:tab/>
              <w:t>QUALIDADE</w:t>
              <w:tab/>
              <w:t>DOS</w:t>
              <w:tab/>
              <w:t>SERVIÇOS APOIO ADMINISTRATIVO</w:t>
              <w:tab/>
            </w:r>
            <w:r>
              <w:rPr>
                <w:b/>
                <w:spacing w:val="-3"/>
                <w:sz w:val="20"/>
              </w:rPr>
              <w:t>PRESTADOS</w:t>
            </w:r>
          </w:p>
        </w:tc>
      </w:tr>
      <w:tr>
        <w:trPr>
          <w:trHeight w:val="320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</w:p>
        </w:tc>
      </w:tr>
      <w:tr>
        <w:trPr>
          <w:trHeight w:val="323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 Contrato:</w:t>
            </w:r>
          </w:p>
        </w:tc>
      </w:tr>
      <w:tr>
        <w:trPr>
          <w:trHeight w:val="321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Órgão Gerenciador:</w:t>
            </w:r>
          </w:p>
        </w:tc>
      </w:tr>
      <w:tr>
        <w:trPr>
          <w:trHeight w:val="320" w:hRule="atLeast"/>
        </w:trPr>
        <w:tc>
          <w:tcPr>
            <w:tcW w:w="27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Contratada:</w:t>
            </w:r>
          </w:p>
        </w:tc>
        <w:tc>
          <w:tcPr>
            <w:tcW w:w="708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Mês de referência:</w:t>
            </w:r>
          </w:p>
        </w:tc>
      </w:tr>
      <w:tr>
        <w:trPr>
          <w:trHeight w:val="743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Legenda do Grau de Satisfação:</w:t>
            </w:r>
          </w:p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 = ótimo; B = Bom; R = regular; I = insatisfatório; e N = não se aplica.</w:t>
            </w:r>
          </w:p>
        </w:tc>
      </w:tr>
      <w:tr>
        <w:trPr>
          <w:trHeight w:val="455" w:hRule="atLeast"/>
        </w:trPr>
        <w:tc>
          <w:tcPr>
            <w:tcW w:w="822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  <w:p>
            <w:pPr>
              <w:pStyle w:val="TableParagraph"/>
              <w:widowControl w:val="false"/>
              <w:tabs>
                <w:tab w:val="left" w:pos="-12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0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Grau de Satisfação</w:t>
            </w:r>
          </w:p>
        </w:tc>
      </w:tr>
      <w:tr>
        <w:trPr>
          <w:trHeight w:val="1465" w:hRule="atLeast"/>
        </w:trPr>
        <w:tc>
          <w:tcPr>
            <w:tcW w:w="822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lang w:val="en-US"/>
              </w:rPr>
              <w:t>Cordialidade na comunicação e postura , prestreza e prontidão na execução dos serviços</w:t>
            </w: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020" w:right="820" w:gutter="0" w:header="446" w:top="2560" w:footer="0" w:bottom="57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16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967"/>
        <w:gridCol w:w="849"/>
        <w:gridCol w:w="820"/>
        <w:gridCol w:w="578"/>
        <w:gridCol w:w="271"/>
        <w:gridCol w:w="1331"/>
      </w:tblGrid>
      <w:tr>
        <w:trPr>
          <w:trHeight w:val="1010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Acuidade e segurança no desempenho das atribuições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(direção segura de veículos, por exemplo)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10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Capacidade de estabelecer e manter bom relacionamento interpessoal com os demais oolaboradores: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Demais terceirizados;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Servidores;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Estagiários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41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Funcionários e Execução do serviço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Uniformes/Crachá EPI's bem cuidados (Luvas,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Equipamentos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 da forma correta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  <w:tab w:val="left" w:pos="1655" w:leader="none"/>
                <w:tab w:val="left" w:pos="2239" w:leader="none"/>
                <w:tab w:val="left" w:pos="3311" w:leader="none"/>
                <w:tab w:val="left" w:pos="4984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Qualidade</w:t>
              <w:tab/>
              <w:t>dos</w:t>
              <w:tab/>
              <w:t>Materiais</w:t>
              <w:tab/>
              <w:t>disponibilizados</w:t>
              <w:tab/>
            </w:r>
            <w:r>
              <w:rPr>
                <w:spacing w:val="-5"/>
                <w:sz w:val="20"/>
              </w:rPr>
              <w:t xml:space="preserve">pela </w:t>
            </w:r>
            <w:r>
              <w:rPr>
                <w:sz w:val="20"/>
              </w:rPr>
              <w:t>empresa quando for o caso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13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Deixe aqui seu comentário ou observação para melhorar a qualidade dos serviços prestados ou, caso queira esclarecer sua avaliação.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967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1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 – Número de quesitos pontuados, por grau de satisfação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rPr>
          <w:trHeight w:val="320" w:hRule="atLeast"/>
        </w:trPr>
        <w:tc>
          <w:tcPr>
            <w:tcW w:w="596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63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 – Total de quesitos avaliados (excluindo-se os N – Não se aplica/ Não sei responder)</w:t>
            </w:r>
          </w:p>
        </w:tc>
        <w:tc>
          <w:tcPr>
            <w:tcW w:w="218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3" w:hRule="atLeast"/>
        </w:trPr>
        <w:tc>
          <w:tcPr>
            <w:tcW w:w="763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8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59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44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 – Índice de Avaliação, por quesito (*)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rPr>
          <w:trHeight w:val="321" w:hRule="atLeast"/>
        </w:trPr>
        <w:tc>
          <w:tcPr>
            <w:tcW w:w="59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1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(*) dividir o número correspondente a cada grau de satisfação (O, B, R, I), pelo total de quesitos avaliados. [A/B].</w:t>
            </w:r>
          </w:p>
        </w:tc>
      </w:tr>
      <w:tr>
        <w:trPr>
          <w:trHeight w:val="551" w:hRule="atLeast"/>
        </w:trPr>
        <w:tc>
          <w:tcPr>
            <w:tcW w:w="763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 – Pontuação Total (**)</w:t>
            </w:r>
          </w:p>
        </w:tc>
        <w:tc>
          <w:tcPr>
            <w:tcW w:w="218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(**) Somatório dos índices de avaliação (item C) para os graus e satisfação (Ótimo e Bom), multiplicados pela pontuação limite 25. [ (O+B) x 25]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 acordo,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7314" w:type="dxa"/>
        <w:jc w:val="left"/>
        <w:tblInd w:w="1233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7"/>
        <w:gridCol w:w="4876"/>
      </w:tblGrid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Fiscal Técnico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Fiscal Administrativo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Gestor do Contrato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ANEXO I– D</w:t>
      </w:r>
      <w:bookmarkStart w:id="0" w:name="_GoBack"/>
      <w:r>
        <w:rPr>
          <w:b/>
        </w:rPr>
        <w:t>2</w:t>
      </w:r>
      <w:bookmarkEnd w:id="0"/>
    </w:p>
    <w:p>
      <w:pPr>
        <w:pStyle w:val="Normal"/>
        <w:jc w:val="center"/>
        <w:rPr>
          <w:b/>
          <w:b/>
        </w:rPr>
      </w:pPr>
      <w:r>
        <w:rPr>
          <w:b/>
        </w:rPr>
        <w:t>DOS CONCEITOS E ATRIBUIÇÕES DOS FISCAIS E GESTORES DOS CONTRATOS</w:t>
      </w:r>
    </w:p>
    <w:p>
      <w:pPr>
        <w:pStyle w:val="Corpodotexto"/>
        <w:spacing w:lineRule="auto" w:line="240" w:before="0" w:after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</w:rPr>
        <w:t xml:space="preserve">1. Gestor do Contrato: </w:t>
      </w:r>
      <w:r>
        <w:rPr>
          <w:color w:val="212121"/>
        </w:rPr>
        <w:t>Servidor com atribuições gerenciais, designado para coordenar e comandar o processo de gestão e fiscalização da execução contratual, indicado por autoridade competente, que tem como atribuição acompanhar a vigência do contrato e suas prorrogações no diário oficial da união, bem como realizar os atos preparatórios à Instrução processual e ao encaminhamento da documentação pertinente ao Setor Competente para a formalização dos procedimentos quanto aos aspectos que envolvam a prorrogação, alteração, reequilíbrio, repactuação, termo aditivo, eventual aplicação de sanção/penalidades, extinção de contratos, dentre outras.</w:t>
      </w:r>
      <w:r>
        <w:rPr>
          <w:color w:val="000000"/>
        </w:rPr>
        <w:t xml:space="preserve"> (Geralmente é o Coordenador de Contratos de Cada Unidade do IF Sertão –</w:t>
      </w:r>
      <w:r>
        <w:rPr>
          <w:color w:val="000000"/>
          <w:spacing w:val="-35"/>
        </w:rPr>
        <w:t xml:space="preserve"> </w:t>
      </w:r>
      <w:r>
        <w:rPr>
          <w:color w:val="000000"/>
        </w:rPr>
        <w:t>PE);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2. Fiscal Técnico do Contrato: </w:t>
      </w:r>
      <w:r>
        <w:rPr>
          <w:color w:val="212121"/>
        </w:rPr>
        <w:t xml:space="preserve">Servidor (es) representante (s) do </w:t>
      </w:r>
      <w:r>
        <w:rPr>
          <w:i/>
        </w:rPr>
        <w:t>modus operandi</w:t>
      </w:r>
      <w:r>
        <w:rPr>
          <w:i/>
          <w:color w:val="212121"/>
        </w:rPr>
        <w:t xml:space="preserve"> </w:t>
      </w:r>
      <w:r>
        <w:rPr>
          <w:color w:val="212121"/>
        </w:rPr>
        <w:t>(modo operacional) da Administração, indicado pela Autoridade Competente, para fiscalizar tecnicamente a execução do contrato nos ambientes da prestação dos serviços, ou seja, no local (</w:t>
      </w:r>
      <w:r>
        <w:rPr>
          <w:i/>
          <w:color w:val="212121"/>
        </w:rPr>
        <w:t>in loco</w:t>
      </w:r>
      <w:r>
        <w:rPr>
          <w:color w:val="212121"/>
        </w:rPr>
        <w:t>) a ser limpo. Esta fiscalização tem como objetivo acompanhar e avaliar a execução do objeto nos moldes contratados e, se for o caso, aferir se a quantidade, qualidade, tempo e modo de prestação de serviços dos serviços estão compatíveis com os indicadores de níveis mínimos de desempenho estipulados no Instrumento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Convocatório.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3. Fiscal Administrativo do Contrato: </w:t>
      </w:r>
      <w:r>
        <w:rPr>
          <w:color w:val="212121"/>
        </w:rPr>
        <w:t>Servidor (es) representante (s) da Área Administrativa, indicado pela Autoridade Competente, para fiscalizar o contrato quanto às obrigações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prestação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serviços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apoio administrativo,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tais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como: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previdenciárias,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fiscais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(Certidões:FGTS, CNDT; INSS; PGFN); e trabalhistas, bem como quanto às providências tempestivas nos casos de inadimplemento.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4. Fiscal Setorial do Contrato: </w:t>
      </w:r>
      <w:r>
        <w:rPr/>
        <w:t xml:space="preserve">é o acompanhamento da execução do contrato nos as- pectos técnicos ou administrativos, quando a prestação dos serviços ocorrer concomitantemente em setores distintos ou em unidades desconcentradas de um mesmo órgão ou entidade. Os </w:t>
      </w:r>
      <w:r>
        <w:rPr>
          <w:color w:val="212121"/>
        </w:rPr>
        <w:t>Ser- vidor (es) representante (s) de cada Setor/Departamento da Unidade Administrativa, indicado pela sua chefia imediata para avaliar a acompanhar a prestação dos serviços prestados de apoio administrativo no ambiente de trabalho, no intuito de verificar a qualidade dos serviços;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5. Fiscal pelo Público Usuário do Contrato: </w:t>
      </w:r>
      <w:r>
        <w:rPr/>
        <w:t>é o acompanhamento da execução contratual por pesquisa de satisfação junto ao usuário, com o objetivo de aferir os resultados da prestação dos serviços, os recursos materiais e os procedimentos utilizados pela contratada, quando for o caso, ou outro fator determinante para a avaliação dos aspectos qualitativos do objeto;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6. Preposto: </w:t>
      </w:r>
      <w:r>
        <w:rPr>
          <w:color w:val="212121"/>
        </w:rPr>
        <w:t xml:space="preserve">representante da </w:t>
      </w:r>
      <w:r>
        <w:rPr>
          <w:color w:val="212121"/>
          <w:spacing w:val="-4"/>
        </w:rPr>
        <w:t xml:space="preserve">CONTRATADA, </w:t>
      </w:r>
      <w:r>
        <w:rPr>
          <w:color w:val="212121"/>
        </w:rPr>
        <w:t xml:space="preserve">responsável por acompanhar a execução do contrato e atuar como interlocutor principal junto à contratante, incumbido de </w:t>
      </w:r>
      <w:r>
        <w:rPr>
          <w:color w:val="212121"/>
          <w:spacing w:val="-3"/>
        </w:rPr>
        <w:t xml:space="preserve">receber, </w:t>
      </w:r>
      <w:r>
        <w:rPr>
          <w:color w:val="212121"/>
        </w:rPr>
        <w:t>diligenciar, encaminhar e responder as principais questões técnicas, legais e administrativas referentes ao andamento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contratual;</w:t>
      </w:r>
    </w:p>
    <w:p>
      <w:pPr>
        <w:pStyle w:val="Corpodotexto"/>
        <w:spacing w:lineRule="auto" w:line="240" w:before="0" w:after="0"/>
        <w:jc w:val="both"/>
        <w:rPr/>
      </w:pPr>
      <w:r>
        <w:rPr/>
        <w:t>O recebimento provisório dos serviços ficará a cargo do fiscal técnico, administrativo ou se- torial, quando houver, e o recebimento definitivo, a cargo do gestor do contrato.</w:t>
      </w:r>
    </w:p>
    <w:p>
      <w:pPr>
        <w:pStyle w:val="Corpodotexto"/>
        <w:spacing w:lineRule="auto" w:line="240" w:before="0" w:after="0"/>
        <w:jc w:val="both"/>
        <w:rPr/>
      </w:pPr>
      <w:r>
        <w:rPr/>
        <w:t>As atividades de gestão e fiscalização da execução contratual devem ser realizadas de for- ma preventiva, rotineira e sistemática, podendo ser exercidas por servidores, equipe de fiscaliza- ção ou único servidor, desde que, no exercício dessas atribuições, fique assegurada a distinção dessas atividades e, em razão do volume de trabalho, não comprometa o desempenho de todas as ações relacionadas à Gestão do</w:t>
      </w:r>
      <w:r>
        <w:rPr>
          <w:spacing w:val="-2"/>
        </w:rPr>
        <w:t xml:space="preserve"> </w:t>
      </w:r>
      <w:r>
        <w:rPr/>
        <w:t>Contrato.</w:t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ANEXO I – D3 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DA FISCALIZAÇÃO TÉCNICA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 xml:space="preserve">1. A fiscalização técnica dos contratos deve avaliar constantemente a execução do objeto e, se for o caso, poderá utilizar o Instrumento de Medição de Resultado (IMR), conforme modelo previsto no Anexo </w:t>
      </w:r>
      <w:r>
        <w:rPr>
          <w:color w:val="212121"/>
          <w:spacing w:val="-5"/>
        </w:rPr>
        <w:t xml:space="preserve">V-B </w:t>
      </w:r>
      <w:r>
        <w:rPr>
          <w:color w:val="212121"/>
        </w:rPr>
        <w:t>da Instrução Normativa n° 05/2017 MPDG/SEGES, ou outro instrumento substituto para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aferição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qualidade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prestação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serviços,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devendo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haver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redimensionamento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no pagamento com base nos indicadores estabelecidos, sempre que a contratada: a) não produzir os resultados, deixar de executar, ou não executar com a qualidade mínima exigida as atividades contratadas; ou b) deixar de utilizar materiais e recursos humanos exigidos para a execução do serviço, ou utilizá-los com qualidade ou quantidade inferior à demandada.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 xml:space="preserve">2. A utilização do IMR não impede a aplicação concomitante de outros mecanismos para a </w:t>
      </w:r>
      <w:r>
        <w:rPr>
          <w:color w:val="212121"/>
          <w:spacing w:val="2"/>
        </w:rPr>
        <w:t>avali</w:t>
      </w:r>
      <w:r>
        <w:rPr>
          <w:color w:val="212121"/>
        </w:rPr>
        <w:t>ação da prestação 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serviços.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 xml:space="preserve">3. Durante a execução do objeto, fase do recebimento provisório, o fiscal técnico designado deve- rá monitorar constantemente o nível de qualidade dos serviços para evitar a sua degeneração, </w:t>
      </w:r>
      <w:r>
        <w:rPr>
          <w:color w:val="212121"/>
          <w:spacing w:val="5"/>
        </w:rPr>
        <w:t xml:space="preserve">de- </w:t>
      </w:r>
      <w:r>
        <w:rPr>
          <w:color w:val="212121"/>
        </w:rPr>
        <w:t>vendo intervir para requerer à contratada a correção das faltas, falhas e irregularidades constatadas.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>4. O fiscal técnico do contrato deverá apresentar ao preposto da contratada a avaliação da execução do objeto ou, se for o caso, a avaliação de desempenho e qualidade da prestação dos serviços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realizada.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 xml:space="preserve">5. Na hipótese de comportamento contínuo de desconformidade da prestação do serviço em </w:t>
      </w:r>
      <w:r>
        <w:rPr>
          <w:color w:val="212121"/>
          <w:spacing w:val="4"/>
        </w:rPr>
        <w:t>re</w:t>
      </w:r>
      <w:r>
        <w:rPr>
          <w:color w:val="212121"/>
        </w:rPr>
        <w:t>lação à qualidade exigida, bem como quando esta ultrapassar os níveis mínimos toleráveis previstos nos indicadores, além dos fatores redutores, devem ser aplicadas as sanções à contratada de acordo com as regras previstas no ato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convocatório.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>6.  É vedada a atribuição à contratada da avaliação de desempenho e qualidade da prestação dos serviços realizada de que trata o item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>7. O fiscal técnico poderá realizar a avaliação diária, semanal ou mensal, desde que o período escolhido seja suficiente para avaliar ou, se for o caso, aferir o desempenho e qualidade da pres- tação dos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serviços.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/>
      </w:pPr>
      <w:r>
        <w:rPr>
          <w:color w:val="212121"/>
        </w:rPr>
        <w:t xml:space="preserve">8. Para efeito de recebimento provisório, ao final de cada período mensal, o fiscal técnico do con - trato deverá apurar o resultado das avaliações da execução do objeto e, se for o caso, a análise do desempenho e qualidade da prestação dos serviços realizados em consonância com os indica- dores previstos no ato convocatório, que poderá resultar no redimensionamento de valores a </w:t>
      </w:r>
      <w:r>
        <w:rPr>
          <w:color w:val="212121"/>
          <w:spacing w:val="2"/>
        </w:rPr>
        <w:t xml:space="preserve">se- </w:t>
      </w:r>
      <w:r>
        <w:rPr>
          <w:color w:val="212121"/>
        </w:rPr>
        <w:t>rem pagos à contratada, registrando em relatório a ser encaminhado ao gestor do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contrato.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both"/>
        <w:rPr>
          <w:color w:val="212121"/>
        </w:rPr>
      </w:pPr>
      <w:r>
        <w:rPr/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center"/>
        <w:rPr/>
      </w:pPr>
      <w:r>
        <w:rPr>
          <w:b/>
          <w:bCs/>
          <w:color w:val="000000"/>
          <w:sz w:val="22"/>
          <w:szCs w:val="22"/>
        </w:rPr>
        <w:t>ANEXO I – D4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center"/>
        <w:rPr/>
      </w:pPr>
      <w:r>
        <w:rPr>
          <w:b/>
          <w:bCs/>
          <w:color w:val="000000"/>
          <w:sz w:val="22"/>
          <w:szCs w:val="22"/>
        </w:rPr>
        <w:t>DA FISCALIZAÇÃO ADMINISTRATIVA</w:t>
      </w:r>
    </w:p>
    <w:p>
      <w:pPr>
        <w:pStyle w:val="ListParagraph"/>
        <w:tabs>
          <w:tab w:val="clear" w:pos="720"/>
          <w:tab w:val="left" w:pos="352" w:leader="none"/>
        </w:tabs>
        <w:ind w:left="0" w:hanging="0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ListParagraph"/>
        <w:tabs>
          <w:tab w:val="clear" w:pos="720"/>
          <w:tab w:val="left" w:pos="366" w:leader="none"/>
        </w:tabs>
        <w:ind w:left="0" w:hanging="0"/>
        <w:jc w:val="both"/>
        <w:rPr/>
      </w:pPr>
      <w:r>
        <w:rPr>
          <w:color w:val="212121"/>
        </w:rPr>
        <w:t xml:space="preserve">1. A fiscalização administrativa, realizada nos contratos de prestação de serviços com regime de dedicação exclusiva de mão de obra, poderá ser efetivada com base em critérios estatísticos, </w:t>
      </w:r>
      <w:r>
        <w:rPr>
          <w:color w:val="212121"/>
          <w:spacing w:val="3"/>
        </w:rPr>
        <w:t>le</w:t>
      </w:r>
      <w:r>
        <w:rPr>
          <w:color w:val="212121"/>
        </w:rPr>
        <w:t>vando-se em consideração falhas que impactem o contrato como um todo e não apenas erros e falhas eventuais no pagamento de alguma vantagem a um determinado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empregado.</w:t>
      </w:r>
    </w:p>
    <w:p>
      <w:pPr>
        <w:pStyle w:val="ListParagraph"/>
        <w:tabs>
          <w:tab w:val="clear" w:pos="720"/>
          <w:tab w:val="left" w:pos="388" w:leader="none"/>
        </w:tabs>
        <w:ind w:left="0" w:hanging="0"/>
        <w:jc w:val="both"/>
        <w:rPr/>
      </w:pPr>
      <w:r>
        <w:rPr>
          <w:color w:val="212121"/>
        </w:rPr>
        <w:t xml:space="preserve">2. Na fiscalização do cumprimento das obrigações trabalhistas e sociais, nas contratações com dedicação exclusiva dos trabalhadores da contratada exigir-se-á, dentre outras, as seguintes </w:t>
      </w:r>
      <w:r>
        <w:rPr>
          <w:color w:val="212121"/>
          <w:spacing w:val="2"/>
        </w:rPr>
        <w:t xml:space="preserve">com- </w:t>
      </w:r>
      <w:r>
        <w:rPr>
          <w:color w:val="212121"/>
        </w:rPr>
        <w:t>provações:</w:t>
      </w:r>
    </w:p>
    <w:p>
      <w:pPr>
        <w:pStyle w:val="ListParagraph"/>
        <w:tabs>
          <w:tab w:val="clear" w:pos="720"/>
          <w:tab w:val="left" w:pos="388" w:leader="none"/>
        </w:tabs>
        <w:ind w:left="0" w:hanging="0"/>
        <w:jc w:val="both"/>
        <w:rPr/>
      </w:pPr>
      <w:r>
        <w:rPr>
          <w:color w:val="212121"/>
        </w:rPr>
        <w:t xml:space="preserve">3. No caso de empresas regidas pela Consolidação das Leis do Trabalho </w:t>
      </w:r>
      <w:r>
        <w:rPr>
          <w:color w:val="212121"/>
          <w:spacing w:val="-4"/>
        </w:rPr>
        <w:t xml:space="preserve">(CLT): </w:t>
      </w:r>
      <w:r>
        <w:rPr>
          <w:color w:val="212121"/>
        </w:rPr>
        <w:t>a) no primeiro mês da prestação dos serviços, a contratada deverá apresentar a seguinte documentação: a.1. Relação dos empregados, contendo nome completo, cargo ou função, horário do posto de trabalho, números da carteira de identidade (RG) e da inscrição no Cadastro de Pessoas Físicas (CPF),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indicação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responsáveis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técnicos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execução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serviços,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quando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caso;</w:t>
      </w:r>
    </w:p>
    <w:p>
      <w:pPr>
        <w:pStyle w:val="ListParagraph"/>
        <w:tabs>
          <w:tab w:val="clear" w:pos="720"/>
          <w:tab w:val="left" w:pos="388" w:leader="none"/>
        </w:tabs>
        <w:ind w:left="0" w:hanging="0"/>
        <w:jc w:val="both"/>
        <w:rPr/>
      </w:pPr>
      <w:r>
        <w:rPr>
          <w:color w:val="212121"/>
        </w:rPr>
        <w:t xml:space="preserve">a.2. Carteira de Trabalho e Previdência Social (CTPS) dos empregados admitidos e dos responsáveis técnicos pela execução dos serviços, quando for o caso, devidamente assinada pela contrata- da; e a.3. Exames médicos admissionais dos empregados da contratada que prestarão os serviços. b) entrega até o dia trinta do mês seguinte ao da prestação dos serviços ao setor responsável pela fiscalização do contrato dos seguintes documentos, quando não for possível a verificação da regularidade destes no Sistema de Cadastro de Fornecedores (Sicaf): b.1. Certidão Negativa de Débitos relativos a Créditos Tributários Federais e à Dívida Ativa da União (CND); b.2. Certidões que comprovem a regularidade perante as Fazendas Estadual, Distrital e Municipal do domicílio ou sede do contratado; b.3. Certidão de Regularidade do FGTS (CRF); e b.4. Certidão Negativa de Débitos Trabalhistas (CNDT); c) entrega, quando solicitado pela Administração, de quaisquer dos seguintes documentos: c.1. Extrato da conta do INSS e do FGTS de qualquer empregado, a critério da Administração contratante; c.2. Cópia da folha de pagamento analítica de qualquer mês da prestação dos serviços, em que conste como tomador o órgão ou entidade contratante; c.3. Cópia dos contracheques dos empregados relativos a qualquer mês da prestação dos serviços ou, ainda, quando necessário, cópia de recibos de depósitos bancários; c.4. Comprovantes de entre- ga de benefícios suplementares (vale-transporte, vale-alimentação, entre outros), a que estiver obrigada por força de lei ou de Convenção ou Acordo Coletivo de Trabalho, relativos a qualquer mês da prestação dos serviços e de qualquer empregado; e c.5. Comprovantes de realização de eventuais cursos de treinamento e reciclagem que forem exigidos por lei ou pelo contrato; d) </w:t>
      </w:r>
      <w:r>
        <w:rPr>
          <w:color w:val="212121"/>
          <w:spacing w:val="5"/>
        </w:rPr>
        <w:t>en</w:t>
      </w:r>
      <w:r>
        <w:rPr>
          <w:color w:val="212121"/>
        </w:rPr>
        <w:t xml:space="preserve">trega de cópia da documentação abaixo relacionada, quando da extinção ou rescisão do contrato, após o último mês de prestação dos serviços, no prazo definido no contrato: d.1. </w:t>
      </w:r>
      <w:r>
        <w:rPr>
          <w:color w:val="212121"/>
          <w:spacing w:val="-5"/>
        </w:rPr>
        <w:t xml:space="preserve">Termos </w:t>
      </w:r>
      <w:r>
        <w:rPr>
          <w:color w:val="212121"/>
        </w:rPr>
        <w:t>de rescisão dos contratos de trabalho dos empregados prestadores de serviço, devidamente homologa- dos, quando exigível pelo sindicato da categoria; d.2. Guias de recolhimento da contribuição previdenciária e do FGTS, referentes às rescisões contratuais; d.3. Extratos dos depósitos efetuados nas contas vinculadas individuais do FGTS de cada empregado dispensado; d.4. Exames médicos demissionais dos empregados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dispensados.</w:t>
      </w:r>
    </w:p>
    <w:p>
      <w:pPr>
        <w:pStyle w:val="ListParagraph"/>
        <w:tabs>
          <w:tab w:val="clear" w:pos="720"/>
          <w:tab w:val="left" w:pos="378" w:leader="none"/>
        </w:tabs>
        <w:ind w:left="0" w:hanging="0"/>
        <w:jc w:val="both"/>
        <w:rPr/>
      </w:pPr>
      <w:r>
        <w:rPr>
          <w:color w:val="212121"/>
        </w:rPr>
        <w:t>4.  Para efeito de recebimento provisório, ao final de cada período mensal, o fiscal administrativo deverá verificar a efetiva realização dos dispêndios concernentes aos salários e às obrigações trabalhistas, previdenciárias e com o FGTS do mês anterior, dentre outros, emitindo relatório que será encaminhado ao gestor 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contrato.</w:t>
      </w:r>
    </w:p>
    <w:p>
      <w:pPr>
        <w:pStyle w:val="ListParagraph"/>
        <w:tabs>
          <w:tab w:val="clear" w:pos="720"/>
          <w:tab w:val="left" w:pos="490" w:leader="none"/>
        </w:tabs>
        <w:ind w:left="0" w:hanging="0"/>
        <w:jc w:val="both"/>
        <w:rPr/>
      </w:pPr>
      <w:r>
        <w:rPr>
          <w:color w:val="212121"/>
        </w:rPr>
        <w:t>5. Além das disposições acima citadas, a fiscalização administrativa deverá observar, ainda, as seguintes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diretrizes:</w:t>
      </w:r>
    </w:p>
    <w:p>
      <w:pPr>
        <w:pStyle w:val="ListParagraph"/>
        <w:tabs>
          <w:tab w:val="clear" w:pos="720"/>
          <w:tab w:val="left" w:pos="666" w:leader="none"/>
        </w:tabs>
        <w:ind w:left="0" w:hanging="0"/>
        <w:jc w:val="both"/>
        <w:rPr/>
      </w:pPr>
      <w:r>
        <w:rPr>
          <w:color w:val="212121"/>
        </w:rPr>
        <w:t>5.1  Fiscalização inicial (no momento em que a prestação de serviços é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iniciada);</w:t>
      </w:r>
    </w:p>
    <w:p>
      <w:pPr>
        <w:pStyle w:val="ListParagraph"/>
        <w:tabs>
          <w:tab w:val="clear" w:pos="720"/>
          <w:tab w:val="left" w:pos="372" w:leader="none"/>
        </w:tabs>
        <w:ind w:left="0" w:hanging="0"/>
        <w:jc w:val="both"/>
        <w:rPr/>
      </w:pPr>
      <w:r>
        <w:rPr>
          <w:color w:val="212121"/>
        </w:rPr>
        <w:t xml:space="preserve">5.2 No momento em que a prestação de serviços é iniciada, deve ser elaborada planilha-resumo de todo o contrato administrativo. Ela conterá informações sobre todos os empregados terceirizados que prestam serviços no órgão ou entidade, divididos por contrato, com os seguintes dados: nome </w:t>
      </w:r>
      <w:r>
        <w:rPr>
          <w:rFonts w:eastAsia="Arial" w:cs="Arial"/>
          <w:color w:val="212121"/>
          <w:lang w:val="pt-PT"/>
        </w:rPr>
        <w:t xml:space="preserve">completo, número de inscrição no </w:t>
      </w:r>
      <w:r>
        <w:rPr>
          <w:rFonts w:eastAsia="Arial" w:cs="Arial"/>
          <w:color w:val="212121"/>
          <w:spacing w:val="-7"/>
          <w:lang w:val="pt-PT"/>
        </w:rPr>
        <w:t xml:space="preserve">CPF, </w:t>
      </w:r>
      <w:r>
        <w:rPr>
          <w:rFonts w:eastAsia="Arial" w:cs="Arial"/>
          <w:color w:val="212121"/>
          <w:lang w:val="pt-PT"/>
        </w:rPr>
        <w:t>função exercida, salário, adicionais, gratificações, benefí- cios recebidos, sua especificação e quantidade (vale-transporte, auxílio-alimentação), horário de trabalho, férias, licenças, faltas, ocorrências e horas extras</w:t>
      </w:r>
      <w:r>
        <w:rPr>
          <w:rFonts w:eastAsia="Arial" w:cs="Arial"/>
          <w:color w:val="212121"/>
          <w:spacing w:val="-7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trabalhadas.</w:t>
      </w:r>
    </w:p>
    <w:p>
      <w:pPr>
        <w:pStyle w:val="ListParagraph"/>
        <w:tabs>
          <w:tab w:val="clear" w:pos="720"/>
          <w:tab w:val="left" w:pos="384" w:leader="none"/>
        </w:tabs>
        <w:ind w:left="0" w:hanging="0"/>
        <w:jc w:val="both"/>
        <w:rPr/>
      </w:pPr>
      <w:r>
        <w:rPr>
          <w:rFonts w:eastAsia="Arial" w:cs="Arial"/>
          <w:color w:val="212121"/>
          <w:lang w:val="pt-PT"/>
        </w:rPr>
        <w:t xml:space="preserve">5.3 A fiscalização das Carteiras de Trabalho e Previdência Social (CTPS) será feita por amostra- gem. </w:t>
      </w:r>
      <w:r>
        <w:rPr>
          <w:rFonts w:eastAsia="Arial" w:cs="Arial"/>
          <w:color w:val="212121"/>
          <w:spacing w:val="-6"/>
          <w:lang w:val="pt-PT"/>
        </w:rPr>
        <w:t xml:space="preserve">Todas </w:t>
      </w:r>
      <w:r>
        <w:rPr>
          <w:rFonts w:eastAsia="Arial" w:cs="Arial"/>
          <w:color w:val="212121"/>
          <w:lang w:val="pt-PT"/>
        </w:rPr>
        <w:t>as anotações contidas na CTPS dos empregados devem ser conferidas, a fim de que se possa verificar se as informações nelas inseridas coincidem com as informações fornecidas pela empresa e pelo empregado. Devem ser observadas, com especial atenção, a data de início do contrato de trabalho, a função exercida, a remuneração (corretamente discriminada em salário- base, adicionais e gratificações), além de demais eventuais alterações dos contratos de</w:t>
      </w:r>
      <w:r>
        <w:rPr>
          <w:rFonts w:eastAsia="Arial" w:cs="Arial"/>
          <w:color w:val="212121"/>
          <w:spacing w:val="-40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trabalho.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/>
      </w:pPr>
      <w:r>
        <w:rPr>
          <w:rFonts w:eastAsia="Arial" w:cs="Arial"/>
          <w:color w:val="212121"/>
          <w:lang w:val="pt-PT"/>
        </w:rPr>
        <w:t>5.4 O número de terceirizados por função deve coincidir com o previsto no contrato</w:t>
      </w:r>
      <w:r>
        <w:rPr>
          <w:rFonts w:eastAsia="Arial" w:cs="Arial"/>
          <w:color w:val="212121"/>
          <w:spacing w:val="-28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administrativo.</w:t>
      </w:r>
    </w:p>
    <w:p>
      <w:pPr>
        <w:pStyle w:val="ListParagraph"/>
        <w:tabs>
          <w:tab w:val="clear" w:pos="720"/>
          <w:tab w:val="left" w:pos="384" w:leader="none"/>
        </w:tabs>
        <w:ind w:left="0" w:hanging="0"/>
        <w:jc w:val="both"/>
        <w:rPr/>
      </w:pPr>
      <w:r>
        <w:rPr>
          <w:rFonts w:eastAsia="Arial" w:cs="Arial"/>
          <w:color w:val="212121"/>
          <w:lang w:val="pt-PT"/>
        </w:rPr>
        <w:t>5.5 O salário não pode ser inferior ao previsto no contrato administrativo e na Convenção Coletiva de Trabalho da Categoria</w:t>
      </w:r>
      <w:r>
        <w:rPr>
          <w:rFonts w:eastAsia="Arial" w:cs="Arial"/>
          <w:color w:val="212121"/>
          <w:spacing w:val="-5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(CCT).</w:t>
      </w:r>
    </w:p>
    <w:p>
      <w:pPr>
        <w:pStyle w:val="ListParagraph"/>
        <w:tabs>
          <w:tab w:val="clear" w:pos="720"/>
          <w:tab w:val="left" w:pos="384" w:leader="none"/>
        </w:tabs>
        <w:ind w:left="0" w:hanging="0"/>
        <w:jc w:val="both"/>
        <w:rPr/>
      </w:pPr>
      <w:r>
        <w:rPr>
          <w:color w:val="212121"/>
        </w:rPr>
        <w:t>5.6 Devem ser consultadas eventuais obrigações adicionais constantes na CCT para as empresas terceirizadas (por exemplo, se os empregados têm direito a auxílio alimentação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gratuito).</w:t>
      </w:r>
    </w:p>
    <w:p>
      <w:pPr>
        <w:pStyle w:val="ListParagraph"/>
        <w:tabs>
          <w:tab w:val="clear" w:pos="720"/>
          <w:tab w:val="left" w:pos="316" w:leader="none"/>
        </w:tabs>
        <w:ind w:left="0" w:hanging="0"/>
        <w:jc w:val="both"/>
        <w:rPr/>
      </w:pPr>
      <w:r>
        <w:rPr>
          <w:color w:val="212121"/>
        </w:rPr>
        <w:t xml:space="preserve">5.7 Deve ser verificada a existência de condições insalubres ou de periculosidade no local de trabalho, cuja presença levará ao pagamento dos respectivos adicionais aos empregados. </w:t>
      </w:r>
      <w:r>
        <w:rPr>
          <w:color w:val="212121"/>
          <w:spacing w:val="-7"/>
        </w:rPr>
        <w:t xml:space="preserve">Tais </w:t>
      </w:r>
      <w:r>
        <w:rPr>
          <w:color w:val="212121"/>
          <w:spacing w:val="2"/>
        </w:rPr>
        <w:t>condi</w:t>
      </w:r>
      <w:r>
        <w:rPr>
          <w:color w:val="212121"/>
        </w:rPr>
        <w:t>ções obrigam a empresa a fornecer determinados Equipamentos de Proteção Individual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(EPI).</w:t>
      </w:r>
    </w:p>
    <w:p>
      <w:pPr>
        <w:pStyle w:val="ListParagraph"/>
        <w:tabs>
          <w:tab w:val="clear" w:pos="720"/>
          <w:tab w:val="left" w:pos="392" w:leader="none"/>
        </w:tabs>
        <w:ind w:left="0" w:hanging="0"/>
        <w:jc w:val="both"/>
        <w:rPr/>
      </w:pPr>
      <w:r>
        <w:rPr>
          <w:color w:val="212121"/>
        </w:rPr>
        <w:t>6 No primeiro mês da prestação dos serviços, a contratada deverá apresentar a seguinte documentação, devidamente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autenticada:</w:t>
      </w:r>
    </w:p>
    <w:p>
      <w:pPr>
        <w:pStyle w:val="ListParagraph"/>
        <w:tabs>
          <w:tab w:val="clear" w:pos="720"/>
          <w:tab w:val="left" w:pos="560" w:leader="none"/>
        </w:tabs>
        <w:ind w:left="0" w:hanging="0"/>
        <w:jc w:val="both"/>
        <w:rPr/>
      </w:pPr>
      <w:r>
        <w:rPr>
          <w:color w:val="212121"/>
        </w:rPr>
        <w:t xml:space="preserve">6.1 Relação dos empregados, com nome completo, cargo ou função, horário do posto de </w:t>
      </w:r>
      <w:r>
        <w:rPr>
          <w:color w:val="212121"/>
          <w:spacing w:val="2"/>
        </w:rPr>
        <w:t>traba</w:t>
      </w:r>
      <w:r>
        <w:rPr>
          <w:color w:val="212121"/>
        </w:rPr>
        <w:t>lho, números da carteira de identidade (RG) e inscrição no Cadastro de Pessoas Físicas (CPF), e indicação dos responsáveis técnicos pela execução dos serviços, quando for 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caso;</w:t>
      </w:r>
    </w:p>
    <w:p>
      <w:pPr>
        <w:pStyle w:val="ListParagraph"/>
        <w:tabs>
          <w:tab w:val="clear" w:pos="720"/>
          <w:tab w:val="left" w:pos="566" w:leader="none"/>
        </w:tabs>
        <w:ind w:left="0" w:hanging="0"/>
        <w:jc w:val="both"/>
        <w:rPr/>
      </w:pPr>
      <w:r>
        <w:rPr>
          <w:color w:val="212121"/>
        </w:rPr>
        <w:t>6.2 CTPS dos empregados admitidos e dos responsáveis técnicos pela execução dos serviços, quando for o caso, devidamente assinadas pela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contratada;</w:t>
      </w:r>
    </w:p>
    <w:p>
      <w:pPr>
        <w:pStyle w:val="ListParagraph"/>
        <w:tabs>
          <w:tab w:val="clear" w:pos="720"/>
          <w:tab w:val="left" w:pos="566" w:leader="none"/>
        </w:tabs>
        <w:ind w:left="0" w:hanging="0"/>
        <w:jc w:val="both"/>
        <w:rPr/>
      </w:pPr>
      <w:r>
        <w:rPr>
          <w:color w:val="212121"/>
        </w:rPr>
        <w:t>6.3 Exames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médicos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admissionais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empregados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contratada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prestarão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serviços;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</w:t>
      </w:r>
    </w:p>
    <w:p>
      <w:pPr>
        <w:pStyle w:val="ListParagraph"/>
        <w:tabs>
          <w:tab w:val="clear" w:pos="720"/>
          <w:tab w:val="left" w:pos="562" w:leader="none"/>
        </w:tabs>
        <w:ind w:left="0" w:hanging="0"/>
        <w:jc w:val="both"/>
        <w:rPr/>
      </w:pPr>
      <w:r>
        <w:rPr>
          <w:color w:val="212121"/>
        </w:rPr>
        <w:t xml:space="preserve">6.4 Declaração de responsabilidade exclusiva da contratada sobre a quitação dos encargos </w:t>
      </w:r>
      <w:r>
        <w:rPr>
          <w:color w:val="212121"/>
          <w:spacing w:val="2"/>
        </w:rPr>
        <w:t>tra</w:t>
      </w:r>
      <w:r>
        <w:rPr>
          <w:color w:val="212121"/>
        </w:rPr>
        <w:t>balhistas e sociais decorrentes do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contrato.</w:t>
      </w:r>
    </w:p>
    <w:p>
      <w:pPr>
        <w:pStyle w:val="Corpodotexto"/>
        <w:spacing w:lineRule="auto" w:line="240" w:before="0" w:after="0"/>
        <w:jc w:val="both"/>
        <w:rPr>
          <w:b/>
          <w:b/>
          <w:bCs/>
          <w:sz w:val="33"/>
        </w:rPr>
      </w:pPr>
      <w:r>
        <w:rPr>
          <w:b/>
          <w:bCs/>
          <w:sz w:val="33"/>
        </w:rPr>
      </w:r>
    </w:p>
    <w:p>
      <w:pPr>
        <w:pStyle w:val="Normal"/>
        <w:jc w:val="center"/>
        <w:rPr/>
      </w:pPr>
      <w:r>
        <w:rPr>
          <w:b/>
          <w:bCs/>
        </w:rPr>
        <w:t>ANEXO I – D5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GESTOR DO CONTRATO</w:t>
      </w:r>
    </w:p>
    <w:p>
      <w:pPr>
        <w:pStyle w:val="Corpodotexto"/>
        <w:spacing w:lineRule="auto" w:line="240" w:before="0" w:after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tabs>
          <w:tab w:val="clear" w:pos="720"/>
          <w:tab w:val="left" w:pos="374" w:leader="none"/>
        </w:tabs>
        <w:ind w:left="0" w:hanging="0"/>
        <w:jc w:val="both"/>
        <w:rPr/>
      </w:pPr>
      <w:r>
        <w:rPr>
          <w:color w:val="212121"/>
        </w:rPr>
        <w:t xml:space="preserve">1. Em caso de indício de irregularidade no recolhimento das contribuições previdenciárias, os </w:t>
      </w:r>
      <w:r>
        <w:rPr>
          <w:color w:val="212121"/>
          <w:spacing w:val="2"/>
        </w:rPr>
        <w:t xml:space="preserve">fis- </w:t>
      </w:r>
      <w:r>
        <w:rPr>
          <w:color w:val="212121"/>
        </w:rPr>
        <w:t>cais ou gestores de contratos de serviços com regime de dedicação exclusiva de mão de obra de- verão oficiar à Receita Federal do Brasil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(RFB).</w:t>
      </w:r>
    </w:p>
    <w:p>
      <w:pPr>
        <w:pStyle w:val="ListParagraph"/>
        <w:tabs>
          <w:tab w:val="clear" w:pos="720"/>
          <w:tab w:val="left" w:pos="378" w:leader="none"/>
        </w:tabs>
        <w:ind w:left="0" w:hanging="0"/>
        <w:jc w:val="both"/>
        <w:rPr/>
      </w:pPr>
      <w:r>
        <w:rPr>
          <w:color w:val="212121"/>
        </w:rPr>
        <w:t>2. Em caso de indício de irregularidade no recolhimento da contribuição para o FGTS, os fiscais ou gestores de contratos de serviços com regime de dedicação exclusiva de mão de obra deverão oficiar ao Ministério 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Trabalho.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>
          <w:color w:val="212121"/>
        </w:rPr>
      </w:pPr>
      <w:r>
        <w:rPr>
          <w:color w:val="212121"/>
        </w:rPr>
        <w:t>3. Fiscalização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procedimental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8" w:leader="none"/>
        </w:tabs>
        <w:ind w:left="0" w:hanging="0"/>
        <w:jc w:val="both"/>
        <w:rPr/>
      </w:pPr>
      <w:r>
        <w:rPr>
          <w:color w:val="212121"/>
        </w:rPr>
        <w:t xml:space="preserve">Observar a data-base da categoria prevista na </w:t>
      </w:r>
      <w:r>
        <w:rPr>
          <w:color w:val="212121"/>
          <w:spacing w:val="-7"/>
        </w:rPr>
        <w:t xml:space="preserve">CCT. </w:t>
      </w:r>
      <w:r>
        <w:rPr>
          <w:color w:val="212121"/>
        </w:rPr>
        <w:t>Os reajustes dos empregados devem ser obrigatoriamente concedidos pela empresa no dia e percentual previstos, devendo ser verificada pelo gestor do contrato a necessidade de se proceder a repactuação do contrato, inclusive quanto à necessidade de solicitação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contratada.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2" w:leader="none"/>
        </w:tabs>
        <w:ind w:left="0" w:hanging="0"/>
        <w:jc w:val="both"/>
        <w:rPr>
          <w:color w:val="212121"/>
        </w:rPr>
      </w:pPr>
      <w:r>
        <w:rPr>
          <w:color w:val="212121"/>
        </w:rPr>
        <w:t>Certificar de que a empresa observa a legislação relativa à concessão de férias e licenças aos empregados.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94" w:leader="none"/>
        </w:tabs>
        <w:ind w:left="0" w:hanging="0"/>
        <w:jc w:val="both"/>
        <w:rPr>
          <w:color w:val="212121"/>
        </w:rPr>
      </w:pPr>
      <w:r>
        <w:rPr>
          <w:color w:val="212121"/>
        </w:rPr>
        <w:t>Certificar de que a empresa respeita a estabilidade provisória de seus empregados (cipeiro, gestante, e estabilidade acidentária).</w:t>
      </w:r>
    </w:p>
    <w:p>
      <w:pPr>
        <w:pStyle w:val="ListParagraph"/>
        <w:tabs>
          <w:tab w:val="clear" w:pos="720"/>
          <w:tab w:val="left" w:pos="374" w:leader="none"/>
        </w:tabs>
        <w:ind w:left="0" w:hanging="0"/>
        <w:jc w:val="both"/>
        <w:rPr/>
      </w:pPr>
      <w:r>
        <w:rPr>
          <w:color w:val="212121"/>
        </w:rPr>
        <w:t>g) Acompanhar a vigência do Contrato e suas Prorrogações Contratuais, bem como, realizar as publicações no Diário Oficial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União;</w:t>
      </w:r>
    </w:p>
    <w:p>
      <w:pPr>
        <w:pStyle w:val="ListParagraph"/>
        <w:tabs>
          <w:tab w:val="clear" w:pos="720"/>
          <w:tab w:val="left" w:pos="354" w:leader="none"/>
        </w:tabs>
        <w:ind w:left="0" w:hanging="0"/>
        <w:jc w:val="both"/>
        <w:rPr/>
      </w:pPr>
      <w:r>
        <w:rPr>
          <w:color w:val="212121"/>
        </w:rPr>
        <w:t xml:space="preserve">h) Acompanhar e realizar as repactuações, reajustes e reequilíbrio econômico-financeiro dos </w:t>
      </w:r>
      <w:r>
        <w:rPr>
          <w:color w:val="212121"/>
          <w:spacing w:val="2"/>
        </w:rPr>
        <w:t xml:space="preserve">Con- </w:t>
      </w:r>
      <w:r>
        <w:rPr>
          <w:color w:val="212121"/>
        </w:rPr>
        <w:t>tratos;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i) Aplicar as Sanções Administrativas/Penalidades ao Contratante quando se fazer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necessário;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j) Acompanhar e gerenciar a Conta Vinculada junto com o Setor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Financeiro; publicações no Diário Oficial 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União;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k) Acompanhar e Gerenciar os Contratos Administrativos conforme a Lei Federal n°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8.666/1993.</w:t>
      </w:r>
    </w:p>
    <w:p>
      <w:pPr>
        <w:pStyle w:val="Corpodotexto"/>
        <w:spacing w:lineRule="auto" w:line="240" w:before="0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tabs>
          <w:tab w:val="clear" w:pos="720"/>
          <w:tab w:val="left" w:pos="361" w:leader="none"/>
        </w:tabs>
        <w:ind w:left="0" w:hanging="0"/>
        <w:jc w:val="both"/>
        <w:rPr>
          <w:rFonts w:cs="Arial"/>
          <w:b/>
          <w:b/>
          <w:bCs/>
          <w:color w:val="212121"/>
          <w:sz w:val="21"/>
          <w:szCs w:val="21"/>
        </w:rPr>
      </w:pPr>
      <w:r>
        <w:rPr>
          <w:color w:val="212121"/>
        </w:rPr>
        <w:t>l) Realizar atividades de gerenciamento e acompanhamento do contrato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administrativo.</w:t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rPr/>
      </w:pPr>
      <w:r>
        <w:rPr/>
      </w:r>
    </w:p>
    <w:sectPr>
      <w:headerReference w:type="default" r:id="rId18"/>
      <w:footerReference w:type="default" r:id="rId19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60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Padro"/>
      <w:ind w:right="544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b/>
        <w:sz w:val="16"/>
        <w:szCs w:val="16"/>
      </w:rPr>
      <w:t xml:space="preserve">Endereço: </w:t>
    </w:r>
    <w:r>
      <w:rPr>
        <w:rStyle w:val="Fontepargpadro1"/>
        <w:rFonts w:cs="Arial" w:ascii="Arial" w:hAnsi="Arial"/>
        <w:iCs/>
        <w:sz w:val="16"/>
        <w:szCs w:val="16"/>
      </w:rPr>
      <w:t>Rua Aristarco Lopes, 240, Centro, Petrolina-PE</w:t>
    </w:r>
    <w:r>
      <w:rPr>
        <w:rFonts w:cs="Arial" w:ascii="Arial" w:hAnsi="Arial"/>
        <w:sz w:val="16"/>
        <w:szCs w:val="16"/>
      </w:rPr>
      <w:t xml:space="preserve">, CEP: 56.302-100. </w:t>
    </w:r>
    <w:r>
      <w:rPr>
        <w:rFonts w:cs="Arial" w:ascii="Arial" w:hAnsi="Arial"/>
        <w:b/>
        <w:bCs/>
        <w:sz w:val="16"/>
        <w:szCs w:val="16"/>
      </w:rPr>
      <w:t xml:space="preserve">Tel.: </w:t>
    </w:r>
    <w:r>
      <w:rPr>
        <w:rFonts w:cs="Arial" w:ascii="Arial" w:hAnsi="Arial"/>
        <w:sz w:val="16"/>
        <w:szCs w:val="16"/>
      </w:rPr>
      <w:t xml:space="preserve"> (87) 2101-2350/ Ramal: 2373</w:t>
    </w:r>
  </w:p>
  <w:p>
    <w:pPr>
      <w:pStyle w:val="Rodap"/>
      <w:jc w:val="center"/>
      <w:rPr/>
    </w:pPr>
    <w:r>
      <w:rPr>
        <w:rFonts w:cs="Arial"/>
        <w:b/>
        <w:bCs/>
        <w:sz w:val="16"/>
        <w:szCs w:val="16"/>
      </w:rPr>
      <w:t xml:space="preserve">E-mail: </w:t>
    </w:r>
    <w:hyperlink r:id="rId1">
      <w:r>
        <w:rPr>
          <w:rStyle w:val="LinkdaInternet"/>
          <w:rFonts w:cs="Arial"/>
          <w:sz w:val="16"/>
          <w:szCs w:val="16"/>
        </w:rPr>
        <w:t>licitacoes@ifsertao-pe.edu.br</w:t>
      </w:r>
    </w:hyperlink>
    <w:r>
      <w:rPr>
        <w:rFonts w:cs="Times New Roman" w:ascii="Times New Roman" w:hAnsi="Times New Roman"/>
        <w:sz w:val="22"/>
        <w:szCs w:val="22"/>
      </w:rPr>
      <w:t xml:space="preserve">   </w:t>
    </w: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931" w:leader="none"/>
      </w:tabs>
      <w:jc w:val="center"/>
      <w:rPr/>
    </w:pPr>
    <w:r>
      <w:rPr/>
      <w:drawing>
        <wp:inline distT="0" distB="0" distL="0" distR="0">
          <wp:extent cx="441325" cy="469265"/>
          <wp:effectExtent l="0" t="0" r="0" b="0"/>
          <wp:docPr id="1" name="Objeto12" descr="Objeto 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jeto12" descr="Objeto 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REITORIA DO IF SERTÃO – PE</w:t>
    </w:r>
  </w:p>
  <w:p>
    <w:pPr>
      <w:pStyle w:val="Cabealho"/>
      <w:rPr>
        <w:b/>
        <w:b/>
      </w:rPr>
    </w:pPr>
    <w:r>
      <w:rPr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 w:before="0" w:after="14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792480</wp:posOffset>
          </wp:positionH>
          <wp:positionV relativeFrom="page">
            <wp:posOffset>546100</wp:posOffset>
          </wp:positionV>
          <wp:extent cx="1520190" cy="311150"/>
          <wp:effectExtent l="0" t="0" r="0" b="0"/>
          <wp:wrapNone/>
          <wp:docPr id="2" name="image3.jpeg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3" name="image2.jpeg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 1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4" name="image2.jpeg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5" name="image2.jpeg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6" name="image2.jpeg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7" name="image2.jpeg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0" name="image2.jpeg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1" name="image2.jpeg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108" w:hanging="0"/>
      </w:pPr>
      <w:rPr>
        <w:sz w:val="20"/>
        <w:b w:val="false"/>
        <w:szCs w:val="20"/>
        <w:color w:val="FF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9" w:hanging="0"/>
      </w:pPr>
      <w:rPr>
        <w:rFonts w:ascii="Symbol" w:hAnsi="Symbol" w:cs="Symbol" w:hint="default"/>
        <w:sz w:val="20"/>
        <w:b w:val="false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26" w:hanging="0"/>
      </w:pPr>
      <w:rPr>
        <w:rFonts w:ascii="Symbol" w:hAnsi="Symbol" w:cs="Symbol" w:hint="default"/>
        <w:dstrike w:val="false"/>
        <w:strike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33" w:hanging="0"/>
      </w:pPr>
      <w:rPr>
        <w:rFonts w:ascii="Symbol" w:hAnsi="Symbol" w:cs="Symbol" w:hint="default"/>
        <w:sz w:val="18"/>
        <w:i w:val="false"/>
        <w:b/>
        <w:szCs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40" w:hanging="0"/>
      </w:pPr>
      <w:rPr>
        <w:rFonts w:ascii="Times New Roman" w:hAnsi="Times New Roman" w:cs="Times New Roman" w:hint="default"/>
        <w:b/>
        <w:color w:val="00000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48" w:hanging="0"/>
      </w:pPr>
      <w:rPr>
        <w:rFonts w:ascii="Symbol" w:hAnsi="Symbol" w:cs="Symbol" w:hint="default"/>
        <w:b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5" w:hanging="0"/>
      </w:pPr>
      <w:rPr>
        <w:rFonts w:ascii="Symbol" w:hAnsi="Symbol" w:cs="Symbol" w:hint="default"/>
        <w:b w:val="false"/>
        <w:color w:val="00000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62" w:hanging="0"/>
      </w:pPr>
      <w:rPr>
        <w:rFonts w:ascii="Symbol" w:hAnsi="Symbol" w:cs="Symbol" w:hint="default"/>
        <w:dstrike w:val="false"/>
        <w:strike w:val="false"/>
        <w:color w:val="00000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969" w:hanging="0"/>
      </w:pPr>
      <w:rPr>
        <w:rFonts w:ascii="Symbol" w:hAnsi="Symbol" w:cs="Symbol" w:hint="default"/>
        <w:color w:val="00000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665" w:hanging="0"/>
      </w:pPr>
      <w:rPr>
        <w:sz w:val="20"/>
        <w:b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-37" w:hanging="0"/>
      </w:pPr>
      <w:rPr>
        <w:rFonts w:ascii="Symbol" w:hAnsi="Symbol" w:cs="Symbol" w:hint="default"/>
        <w:i w:val="false"/>
        <w:b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86" w:hanging="0"/>
      </w:pPr>
      <w:rPr>
        <w:rFonts w:ascii="Symbol" w:hAnsi="Symbol" w:cs="Symbol" w:hint="default"/>
        <w:b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09" w:hanging="0"/>
      </w:pPr>
      <w:rPr>
        <w:rFonts w:ascii="Symbol" w:hAnsi="Symbol" w:cs="Symbol" w:hint="default"/>
        <w:i w:val="false"/>
        <w:b/>
        <w:color w:val="00000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32" w:hanging="0"/>
      </w:pPr>
      <w:rPr>
        <w:rFonts w:ascii="Symbol" w:hAnsi="Symbol" w:cs="Symbol" w:hint="default"/>
        <w:sz w:val="21"/>
        <w:i w:val="false"/>
        <w:b/>
        <w:color w:val="00000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455" w:hanging="0"/>
      </w:pPr>
      <w:rPr>
        <w:rFonts w:ascii="Times New Roman" w:hAnsi="Times New Roman" w:cs="Times New Roman" w:hint="default"/>
        <w:sz w:val="21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078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01" w:hanging="0"/>
      </w:pPr>
      <w:rPr>
        <w:rFonts w:ascii="Symbol" w:hAnsi="Symbol" w:cs="Symbol" w:hint="default"/>
        <w:sz w:val="20"/>
        <w:i w:val="false"/>
        <w:szCs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24" w:hanging="0"/>
      </w:pPr>
      <w:rPr>
        <w:rFonts w:ascii="Symbol" w:hAnsi="Symbol" w:cs="Symbol" w:hint="default"/>
        <w:sz w:val="20"/>
        <w:b w:val="false"/>
        <w:szCs w:val="20"/>
        <w:color w:val="FF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1" w:hanging="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05" w:hanging="0"/>
      </w:pPr>
      <w:rPr>
        <w:rFonts w:ascii="Arial" w:hAnsi="Arial" w:cs="Arial" w:hint="default"/>
        <w:sz w:val="2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65" w:hanging="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25" w:hanging="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385" w:hanging="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45" w:hanging="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505" w:hanging="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065" w:hanging="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625" w:hanging="0"/>
      </w:pPr>
      <w:rPr>
        <w:rFonts w:ascii="Symbol" w:hAnsi="Symbol" w:cs="Symbol" w:hint="default"/>
        <w:i w:val="false"/>
        <w:b w:val="false"/>
      </w:rPr>
    </w:lvl>
  </w:abstractNum>
  <w:abstractNum w:abstractNumId="7">
    <w:lvl w:ilvl="0">
      <w:start w:val="3"/>
      <w:numFmt w:val="decimal"/>
      <w:lvlText w:val="%1"/>
      <w:lvlJc w:val="left"/>
      <w:pPr>
        <w:tabs>
          <w:tab w:val="num" w:pos="0"/>
        </w:tabs>
        <w:ind w:left="-324" w:hanging="0"/>
      </w:pPr>
      <w:rPr>
        <w:b/>
        <w:color w:val="00000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-324" w:hanging="0"/>
      </w:pPr>
      <w:rPr>
        <w:b w:val="false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" w:hanging="0"/>
      </w:pPr>
      <w:rPr>
        <w:dstrike w:val="false"/>
        <w:strike w:val="false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09" w:hanging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51" w:hanging="0"/>
      </w:pPr>
      <w:rPr>
        <w:rFonts w:ascii="Symbol" w:hAnsi="Symbol" w:cs="Symbol" w:hint="default"/>
        <w:color w:val="00000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0"/>
      </w:pPr>
      <w:rPr>
        <w:rFonts w:ascii="Symbol" w:hAnsi="Symbol" w:cs="Symbol" w:hint="default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6" w:hanging="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78" w:hanging="0"/>
      </w:pPr>
      <w:rPr>
        <w:rFonts w:ascii="Symbol" w:hAnsi="Symbol" w:cs="Symbol" w:hint="default"/>
        <w:color w:val="00000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420" w:hanging="0"/>
      </w:pPr>
      <w:rPr>
        <w:rFonts w:ascii="Times New Roman" w:hAnsi="Times New Roman" w:cs="Times New Roman" w:hint="default"/>
        <w:color w:val="000000"/>
      </w:rPr>
    </w:lvl>
  </w:abstractNum>
  <w:abstractNum w:abstractNumId="8">
    <w:lvl w:ilvl="0">
      <w:start w:val="1"/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i w:val="false"/>
        <w:b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sz w:val="22"/>
        <w:i w:val="false"/>
        <w:b/>
        <w:rFonts w:ascii="Times New Roman" w:hAnsi="Times New Roman"/>
        <w:color w:val="00000A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2" w:hanging="504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"/>
      <w:lvlJc w:val="left"/>
      <w:pPr>
        <w:tabs>
          <w:tab w:val="num" w:pos="0"/>
        </w:tabs>
        <w:ind w:left="2491" w:hanging="648"/>
      </w:pPr>
      <w:rPr>
        <w:rFonts w:ascii="Wingdings" w:hAnsi="Wingdings" w:cs="Wingdings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6" w:hanging="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360" w:hanging="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8" w:hanging="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2" w:hanging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437" w:hanging="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461" w:hanging="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86" w:hanging="0"/>
      </w:pPr>
      <w:rPr>
        <w:rFonts w:ascii="Arial" w:hAnsi="Arial" w:cs="Arial" w:hint="default"/>
        <w:sz w:val="2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510" w:hanging="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535" w:hanging="0"/>
      </w:pPr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tabs>
        <w:tab w:val="clear" w:pos="720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Tahoma" w:hAnsi="Tahoma" w:eastAsia="Tahoma" w:cs="Tahoma"/>
      <w:sz w:val="16"/>
      <w:szCs w:val="16"/>
    </w:rPr>
  </w:style>
  <w:style w:type="character" w:styleId="Ttulo2Char" w:customStyle="1">
    <w:name w:val="Título 2 Char"/>
    <w:qFormat/>
    <w:rPr>
      <w:b/>
      <w:color w:val="000000"/>
      <w:sz w:val="24"/>
    </w:rPr>
  </w:style>
  <w:style w:type="character" w:styleId="Normalchar1" w:customStyle="1">
    <w:name w:val="normal__char1"/>
    <w:qFormat/>
    <w:rPr>
      <w:rFonts w:ascii="Arial" w:hAnsi="Arial" w:eastAsia="Arial" w:cs="Arial"/>
      <w:strike w:val="false"/>
      <w:dstrike w:val="false"/>
      <w:sz w:val="24"/>
      <w:szCs w:val="24"/>
      <w:u w:val="none"/>
    </w:rPr>
  </w:style>
  <w:style w:type="character" w:styleId="Applestylespan" w:customStyle="1">
    <w:name w:val="apple-style-span"/>
    <w:basedOn w:val="DefaultParagraphFont"/>
    <w:qFormat/>
    <w:rPr/>
  </w:style>
  <w:style w:type="character" w:styleId="LinkdaInternet" w:customStyle="1">
    <w:name w:val="Link da Internet"/>
    <w:uiPriority w:val="99"/>
    <w:rPr>
      <w:color w:val="000080"/>
      <w:u w:val="single"/>
    </w:rPr>
  </w:style>
  <w:style w:type="character" w:styleId="CitaoChar" w:customStyle="1">
    <w:name w:val="Citação Char"/>
    <w:qFormat/>
    <w:rPr>
      <w:rFonts w:ascii="Ecofont_Spranq_eco_Sans" w:hAnsi="Ecofont_Spranq_eco_Sans" w:eastAsia="Calibri" w:cs="Tahoma"/>
      <w:i/>
      <w:iCs/>
      <w:color w:val="000000"/>
      <w:szCs w:val="24"/>
      <w:lang w:eastAsia="en-US"/>
    </w:rPr>
  </w:style>
  <w:style w:type="character" w:styleId="Citao2Char" w:customStyle="1">
    <w:name w:val="citação 2 Char"/>
    <w:basedOn w:val="CitaoChar"/>
    <w:qFormat/>
    <w:rPr>
      <w:rFonts w:ascii="Ecofont_Spranq_eco_Sans" w:hAnsi="Ecofont_Spranq_eco_Sans" w:eastAsia="Calibri" w:cs="Tahoma"/>
      <w:i/>
      <w:iCs/>
      <w:color w:val="000000"/>
      <w:szCs w:val="24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ascii="Ecofont_Spranq_eco_Sans" w:hAnsi="Ecofont_Spranq_eco_Sans" w:eastAsia="Ecofont_Spranq_eco_Sans" w:cs="Tahoma"/>
    </w:rPr>
  </w:style>
  <w:style w:type="character" w:styleId="AssuntodocomentrioChar" w:customStyle="1">
    <w:name w:val="Assunto do comentário Char"/>
    <w:basedOn w:val="TextodecomentrioChar"/>
    <w:qFormat/>
    <w:rPr>
      <w:rFonts w:ascii="Ecofont_Spranq_eco_Sans" w:hAnsi="Ecofont_Spranq_eco_Sans" w:eastAsia="Ecofont_Spranq_eco_Sans" w:cs="Tahoma"/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CabealhoChar" w:customStyle="1">
    <w:name w:val="Cabeçalho Char"/>
    <w:basedOn w:val="DefaultParagraphFont"/>
    <w:qFormat/>
    <w:rPr>
      <w:rFonts w:ascii="Ecofont_Spranq_eco_Sans" w:hAnsi="Ecofont_Spranq_eco_Sans" w:eastAsia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Pr>
      <w:rFonts w:ascii="Ecofont_Spranq_eco_Sans" w:hAnsi="Ecofont_Spranq_eco_Sans" w:eastAsia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qFormat/>
    <w:rPr>
      <w:rFonts w:ascii="Cambria" w:hAnsi="Cambria" w:eastAsia="MS Gothic" w:cs="Times New Roman"/>
      <w:color w:val="365F91"/>
      <w:sz w:val="32"/>
      <w:szCs w:val="32"/>
    </w:rPr>
  </w:style>
  <w:style w:type="character" w:styleId="Nivel1Char" w:customStyle="1">
    <w:name w:val="Nivel1 Char"/>
    <w:basedOn w:val="Ttulo1Char"/>
    <w:qFormat/>
    <w:rPr>
      <w:rFonts w:ascii="Arial" w:hAnsi="Arial" w:eastAsia="MS Gothic" w:cs="Times New Roman"/>
      <w:b/>
      <w:color w:val="000000"/>
      <w:sz w:val="32"/>
      <w:szCs w:val="32"/>
    </w:rPr>
  </w:style>
  <w:style w:type="character" w:styleId="QuoteChar" w:customStyle="1">
    <w:name w:val="Quote Char"/>
    <w:qFormat/>
    <w:rPr>
      <w:rFonts w:ascii="Ecofont_Spranq_eco_Sans" w:hAnsi="Ecofont_Spranq_eco_Sans" w:eastAsia="Ecofont_Spranq_eco_Sans" w:cs="Ecofont_Spranq_eco_Sans"/>
      <w:i/>
      <w:iCs/>
      <w:color w:val="000000"/>
      <w:sz w:val="24"/>
      <w:szCs w:val="24"/>
      <w:lang w:eastAsia="en-US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Nivel01Char" w:customStyle="1">
    <w:name w:val="Nivel 01 Char"/>
    <w:basedOn w:val="DefaultParagraphFont"/>
    <w:qFormat/>
    <w:rPr>
      <w:rFonts w:ascii="Arial" w:hAnsi="Arial" w:eastAsia="MS Gothic" w:cs="Times New Roman"/>
      <w:b/>
      <w:bCs/>
      <w:color w:val="000000"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GradeColoridanfase1Char" w:customStyle="1">
    <w:name w:val="Grade Colorida - Ênfase 1 Char"/>
    <w:qFormat/>
    <w:rPr>
      <w:rFonts w:ascii="Ecofont_Spranq_eco_Sans" w:hAnsi="Ecofont_Spranq_eco_Sans" w:eastAsia="Calibri" w:cs="Ecofont_Spranq_eco_Sans"/>
      <w:i/>
      <w:iCs/>
      <w:color w:val="000000"/>
      <w:szCs w:val="24"/>
    </w:rPr>
  </w:style>
  <w:style w:type="character" w:styleId="WW8Num2z1" w:customStyle="1">
    <w:name w:val="WW8Num2z1"/>
    <w:qFormat/>
    <w:rPr>
      <w:i w:val="false"/>
    </w:rPr>
  </w:style>
  <w:style w:type="character" w:styleId="Nivel01TituloChar" w:customStyle="1">
    <w:name w:val="Nivel_01_Titulo Char"/>
    <w:basedOn w:val="DefaultParagraphFont"/>
    <w:qFormat/>
    <w:rPr>
      <w:rFonts w:ascii="Arial" w:hAnsi="Arial" w:eastAsia="MS Gothic" w:cs="Arial"/>
      <w:b/>
      <w:bCs/>
    </w:rPr>
  </w:style>
  <w:style w:type="character" w:styleId="Linenumber">
    <w:name w:val="line number"/>
    <w:basedOn w:val="DefaultParagraphFont"/>
    <w:qFormat/>
    <w:rPr/>
  </w:style>
  <w:style w:type="character" w:styleId="MenoPendente1" w:customStyle="1">
    <w:name w:val="Menção Pendente1"/>
    <w:basedOn w:val="DefaultParagraphFont"/>
    <w:qFormat/>
    <w:rPr>
      <w:color w:val="605E5C"/>
    </w:rPr>
  </w:style>
  <w:style w:type="character" w:styleId="Nivel2Char" w:customStyle="1">
    <w:name w:val="Nivel 2 Char"/>
    <w:basedOn w:val="DefaultParagraphFont"/>
    <w:qFormat/>
    <w:rPr>
      <w:rFonts w:ascii="Ecofont_Spranq_eco_Sans" w:hAnsi="Ecofont_Spranq_eco_Sans" w:eastAsia="Arial Unicode MS" w:cs="Ecofont_Spranq_eco_Sans"/>
    </w:rPr>
  </w:style>
  <w:style w:type="character" w:styleId="WW8Num9z0" w:customStyle="1">
    <w:name w:val="WW8Num9z0"/>
    <w:qFormat/>
    <w:rPr>
      <w:rFonts w:ascii="Wingdings" w:hAnsi="Wingdings" w:eastAsia="Wingdings" w:cs="Wingdings"/>
      <w:b/>
    </w:rPr>
  </w:style>
  <w:style w:type="character" w:styleId="WW8Num12z0" w:customStyle="1">
    <w:name w:val="WW8Num12z0"/>
    <w:qFormat/>
    <w:rPr>
      <w:rFonts w:ascii="Wingdings" w:hAnsi="Wingdings" w:eastAsia="Wingdings" w:cs="Wingdings"/>
      <w:b/>
      <w:color w:val="000000"/>
    </w:rPr>
  </w:style>
  <w:style w:type="character" w:styleId="WW8Num4z0" w:customStyle="1">
    <w:name w:val="WW8Num4z0"/>
    <w:qFormat/>
    <w:rPr>
      <w:rFonts w:ascii="Wingdings" w:hAnsi="Wingdings" w:eastAsia="Wingdings" w:cs="Wingdings"/>
      <w:b/>
      <w:color w:val="000000"/>
    </w:rPr>
  </w:style>
  <w:style w:type="character" w:styleId="WW8Num10z0" w:customStyle="1">
    <w:name w:val="WW8Num10z0"/>
    <w:qFormat/>
    <w:rPr>
      <w:rFonts w:ascii="Wingdings" w:hAnsi="Wingdings" w:eastAsia="Wingdings" w:cs="Wingdings"/>
      <w:b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52z0" w:customStyle="1">
    <w:name w:val="WW8Num5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Times New Roman" w:hAnsi="Times New Roman" w:eastAsia="SimSun;宋体" w:cs="Times New Roman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Wingdings"/>
      <w:b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cs="Symbol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>
      <w:rFonts w:cs="Times New Roman"/>
    </w:rPr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50z0" w:customStyle="1">
    <w:name w:val="WW8Num50z0"/>
    <w:qFormat/>
    <w:rPr>
      <w:color w:val="000000"/>
    </w:rPr>
  </w:style>
  <w:style w:type="character" w:styleId="WW8Num50z1" w:customStyle="1">
    <w:name w:val="WW8Num50z1"/>
    <w:qFormat/>
    <w:rPr>
      <w:color w:val="F13256"/>
    </w:rPr>
  </w:style>
  <w:style w:type="character" w:styleId="WW8Num51z0" w:customStyle="1">
    <w:name w:val="WW8Num51z0"/>
    <w:qFormat/>
    <w:rPr>
      <w:color w:val="000000"/>
    </w:rPr>
  </w:style>
  <w:style w:type="character" w:styleId="WW8Num51z1" w:customStyle="1">
    <w:name w:val="WW8Num51z1"/>
    <w:qFormat/>
    <w:rPr>
      <w:color w:val="F13256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sz w:val="21"/>
      <w:szCs w:val="21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Smbolosdenumerao" w:customStyle="1">
    <w:name w:val="Símbolos de numeração"/>
    <w:qFormat/>
    <w:rPr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Wingdings" w:hAnsi="Wingdings" w:eastAsia="Wingdings" w:cs="Wingdings"/>
      <w:b/>
      <w:color w:val="800000"/>
      <w:sz w:val="20"/>
      <w:szCs w:val="20"/>
      <w:lang w:eastAsia="pt-BR"/>
    </w:rPr>
  </w:style>
  <w:style w:type="character" w:styleId="WW8Num16z0" w:customStyle="1">
    <w:name w:val="WW8Num16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16z1" w:customStyle="1">
    <w:name w:val="WW8Num16z1"/>
    <w:qFormat/>
    <w:rPr>
      <w:rFonts w:ascii="OpenSymbol;Arial Unicode MS" w:hAnsi="OpenSymbol;Arial Unicode MS" w:eastAsia="OpenSymbol;Arial Unicode MS" w:cs="OpenSymbol;Arial Unicode MS"/>
    </w:rPr>
  </w:style>
  <w:style w:type="character" w:styleId="WW8Num16z3" w:customStyle="1">
    <w:name w:val="WW8Num16z3"/>
    <w:qFormat/>
    <w:rPr>
      <w:rFonts w:ascii="Symbol" w:hAnsi="Symbol" w:eastAsia="Symbol" w:cs="OpenSymbol;Arial Unicode MS"/>
    </w:rPr>
  </w:style>
  <w:style w:type="character" w:styleId="WW8Num11z0" w:customStyle="1">
    <w:name w:val="WW8Num11z0"/>
    <w:qFormat/>
    <w:rPr>
      <w:rFonts w:ascii="Wingdings" w:hAnsi="Wingdings" w:eastAsia="Wingdings" w:cs="Wingdings"/>
      <w:b/>
    </w:rPr>
  </w:style>
  <w:style w:type="character" w:styleId="Fontepargpadro2" w:customStyle="1">
    <w:name w:val="Fonte parág. padrão2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color w:val="3333FF"/>
      <w:sz w:val="24"/>
      <w:lang w:val="pt-BR"/>
    </w:rPr>
  </w:style>
  <w:style w:type="character" w:styleId="Fontstyle01" w:customStyle="1">
    <w:name w:val="fontstyle01"/>
    <w:qFormat/>
    <w:rPr>
      <w:rFonts w:ascii="LiberationSerif;'Times New Rom" w:hAnsi="LiberationSerif;'Times New Rom" w:eastAsia="LiberationSerif;'Times New Rom" w:cs="LiberationSerif;'Times New Rom"/>
      <w:b w:val="false"/>
      <w:bCs w:val="false"/>
      <w:i w:val="false"/>
      <w:iCs w:val="false"/>
      <w:color w:val="00000A"/>
      <w:sz w:val="22"/>
      <w:szCs w:val="22"/>
    </w:rPr>
  </w:style>
  <w:style w:type="character" w:styleId="WW8Num45z0" w:customStyle="1">
    <w:name w:val="WW8Num45z0"/>
    <w:qFormat/>
    <w:rPr>
      <w:rFonts w:ascii="Wingdings" w:hAnsi="Wingdings" w:eastAsia="Wingdings" w:cs="OpenSymbol;Arial Unicode MS"/>
    </w:rPr>
  </w:style>
  <w:style w:type="character" w:styleId="WW8Num14z0" w:customStyle="1">
    <w:name w:val="WW8Num14z0"/>
    <w:qFormat/>
    <w:rPr>
      <w:rFonts w:ascii="Symbol" w:hAnsi="Symbol" w:eastAsia="Symbol" w:cs="OpenSymbol;Arial Unicode MS"/>
    </w:rPr>
  </w:style>
  <w:style w:type="character" w:styleId="WW8Num14z1" w:customStyle="1">
    <w:name w:val="WW8Num14z1"/>
    <w:qFormat/>
    <w:rPr>
      <w:rFonts w:ascii="OpenSymbol;Arial Unicode MS" w:hAnsi="OpenSymbol;Arial Unicode MS" w:eastAsia="OpenSymbol;Arial Unicode MS" w:cs="OpenSymbol;Arial Unicode MS"/>
    </w:rPr>
  </w:style>
  <w:style w:type="character" w:styleId="WW8Num15z0" w:customStyle="1">
    <w:name w:val="WW8Num15z0"/>
    <w:qFormat/>
    <w:rPr>
      <w:rFonts w:ascii="Symbol" w:hAnsi="Symbol" w:eastAsia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8Num15z1" w:customStyle="1">
    <w:name w:val="WW8Num15z1"/>
    <w:qFormat/>
    <w:rPr>
      <w:rFonts w:ascii="OpenSymbol;Arial Unicode MS" w:hAnsi="OpenSymbol;Arial Unicode MS" w:eastAsia="OpenSymbol;Arial Unicode MS" w:cs="OpenSymbol;Arial Unicode MS"/>
    </w:rPr>
  </w:style>
  <w:style w:type="character" w:styleId="WW8Num6z0" w:customStyle="1">
    <w:name w:val="WW8Num6z0"/>
    <w:qFormat/>
    <w:rPr>
      <w:rFonts w:ascii="Wingdings" w:hAnsi="Wingdings" w:eastAsia="Wingdings" w:cs="Wingdings"/>
      <w:b/>
    </w:rPr>
  </w:style>
  <w:style w:type="character" w:styleId="WW8Num5z0" w:customStyle="1">
    <w:name w:val="WW8Num5z0"/>
    <w:qFormat/>
    <w:rPr>
      <w:rFonts w:ascii="Wingdings" w:hAnsi="Wingdings" w:eastAsia="Wingdings" w:cs="Wingdings"/>
      <w:b/>
    </w:rPr>
  </w:style>
  <w:style w:type="character" w:styleId="WW8Num8z0" w:customStyle="1">
    <w:name w:val="WW8Num8z0"/>
    <w:qFormat/>
    <w:rPr>
      <w:rFonts w:ascii="Wingdings" w:hAnsi="Wingdings" w:eastAsia="Wingdings" w:cs="Wingdings"/>
      <w:b/>
    </w:rPr>
  </w:style>
  <w:style w:type="character" w:styleId="WW8Num3z0" w:customStyle="1">
    <w:name w:val="WW8Num3z0"/>
    <w:qFormat/>
    <w:rPr>
      <w:rFonts w:ascii="Wingdings" w:hAnsi="Wingdings" w:eastAsia="Wingdings" w:cs="Wingdings"/>
      <w:b/>
      <w:color w:val="000000"/>
    </w:rPr>
  </w:style>
  <w:style w:type="character" w:styleId="WW8Num7z0" w:customStyle="1">
    <w:name w:val="WW8Num7z0"/>
    <w:qFormat/>
    <w:rPr>
      <w:rFonts w:ascii="Wingdings" w:hAnsi="Wingdings" w:eastAsia="Wingdings" w:cs="Wingdings"/>
      <w:b/>
      <w:color w:val="000000"/>
    </w:rPr>
  </w:style>
  <w:style w:type="character" w:styleId="WW8Num46z0" w:customStyle="1">
    <w:name w:val="WW8Num46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3z0" w:customStyle="1">
    <w:name w:val="WW8Num43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3z1" w:customStyle="1">
    <w:name w:val="WW8Num43z1"/>
    <w:qFormat/>
    <w:rPr>
      <w:rFonts w:ascii="Courier New" w:hAnsi="Courier New" w:eastAsia="Courier New" w:cs="OpenSymbol;Arial Unicode MS"/>
    </w:rPr>
  </w:style>
  <w:style w:type="character" w:styleId="WW8Num43z2" w:customStyle="1">
    <w:name w:val="WW8Num43z2"/>
    <w:qFormat/>
    <w:rPr>
      <w:rFonts w:ascii="Wingdings" w:hAnsi="Wingdings" w:eastAsia="Wingdings" w:cs="OpenSymbol;Arial Unicode MS"/>
    </w:rPr>
  </w:style>
  <w:style w:type="character" w:styleId="WW8Num43z3" w:customStyle="1">
    <w:name w:val="WW8Num43z3"/>
    <w:qFormat/>
    <w:rPr>
      <w:rFonts w:ascii="Symbol" w:hAnsi="Symbol" w:eastAsia="Symbol" w:cs="OpenSymbol;Arial Unicode MS"/>
    </w:rPr>
  </w:style>
  <w:style w:type="character" w:styleId="WW8Num42z0" w:customStyle="1">
    <w:name w:val="WW8Num42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2z1" w:customStyle="1">
    <w:name w:val="WW8Num42z1"/>
    <w:qFormat/>
    <w:rPr>
      <w:rFonts w:ascii="OpenSymbol;Arial Unicode MS" w:hAnsi="OpenSymbol;Arial Unicode MS" w:eastAsia="OpenSymbol;Arial Unicode MS" w:cs="OpenSymbol;Arial Unicode MS"/>
    </w:rPr>
  </w:style>
  <w:style w:type="character" w:styleId="WW8Num42z3" w:customStyle="1">
    <w:name w:val="WW8Num42z3"/>
    <w:qFormat/>
    <w:rPr>
      <w:rFonts w:ascii="Symbol" w:hAnsi="Symbol" w:eastAsia="Symbol" w:cs="OpenSymbol;Arial Unicode MS"/>
    </w:rPr>
  </w:style>
  <w:style w:type="character" w:styleId="WW8Num19z0" w:customStyle="1">
    <w:name w:val="WW8Num19z0"/>
    <w:qFormat/>
    <w:rPr>
      <w:rFonts w:ascii="Wingdings" w:hAnsi="Wingdings" w:eastAsia="Wingdings" w:cs="Wingdings"/>
    </w:rPr>
  </w:style>
  <w:style w:type="character" w:styleId="WW8Num18z0" w:customStyle="1">
    <w:name w:val="WW8Num18z0"/>
    <w:qFormat/>
    <w:rPr>
      <w:rFonts w:ascii="Wingdings" w:hAnsi="Wingdings" w:eastAsia="Wingdings" w:cs="Wingdings"/>
    </w:rPr>
  </w:style>
  <w:style w:type="character" w:styleId="WW8Num47z0" w:customStyle="1">
    <w:name w:val="WW8Num47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8z0" w:customStyle="1">
    <w:name w:val="WW8Num48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9z0" w:customStyle="1">
    <w:name w:val="WW8Num49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53z0" w:customStyle="1">
    <w:name w:val="WW8Num53z0"/>
    <w:qFormat/>
    <w:rPr>
      <w:rFonts w:ascii="Times New Roman" w:hAnsi="Times New Roman" w:eastAsia="SimSun;宋体" w:cs="Times New Roman"/>
    </w:rPr>
  </w:style>
  <w:style w:type="character" w:styleId="WW8Num53z1" w:customStyle="1">
    <w:name w:val="WW8Num53z1"/>
    <w:qFormat/>
    <w:rPr>
      <w:rFonts w:ascii="Symbol" w:hAnsi="Symbol" w:eastAsia="Symbol" w:cs="Courier New"/>
    </w:rPr>
  </w:style>
  <w:style w:type="character" w:styleId="WW8Num53z2" w:customStyle="1">
    <w:name w:val="WW8Num53z2"/>
    <w:qFormat/>
    <w:rPr>
      <w:rFonts w:ascii="Symbol" w:hAnsi="Symbol" w:eastAsia="Symbol" w:cs="Times New Roman"/>
    </w:rPr>
  </w:style>
  <w:style w:type="character" w:styleId="WW8Num53z4" w:customStyle="1">
    <w:name w:val="WW8Num53z4"/>
    <w:qFormat/>
    <w:rPr>
      <w:rFonts w:ascii="Symbol" w:hAnsi="Symbol" w:eastAsia="Symbol" w:cs="Wingdings"/>
      <w:b/>
    </w:rPr>
  </w:style>
  <w:style w:type="character" w:styleId="WW8Num53z5" w:customStyle="1">
    <w:name w:val="WW8Num53z5"/>
    <w:qFormat/>
    <w:rPr>
      <w:rFonts w:ascii="Symbol" w:hAnsi="Symbol" w:eastAsia="Symbol" w:cs="Symbol"/>
    </w:rPr>
  </w:style>
  <w:style w:type="character" w:styleId="WW8Num53z6" w:customStyle="1">
    <w:name w:val="WW8Num53z6"/>
    <w:qFormat/>
    <w:rPr>
      <w:rFonts w:ascii="Symbol" w:hAnsi="Symbol" w:eastAsia="Symbol" w:cs="OpenSymbol;Arial Unicode MS"/>
    </w:rPr>
  </w:style>
  <w:style w:type="character" w:styleId="Fontepargpadro1" w:customStyle="1">
    <w:name w:val="Fonte parág. padrão1"/>
    <w:qFormat/>
    <w:rPr/>
  </w:style>
  <w:style w:type="character" w:styleId="WW8Num54z0" w:customStyle="1">
    <w:name w:val="WW8Num54z0"/>
    <w:qFormat/>
    <w:rPr>
      <w:u w:val="none"/>
    </w:rPr>
  </w:style>
  <w:style w:type="character" w:styleId="WW8Num54z2" w:customStyle="1">
    <w:name w:val="WW8Num54z2"/>
    <w:qFormat/>
    <w:rPr>
      <w:rFonts w:ascii="Symbol" w:hAnsi="Symbol" w:eastAsia="Symbol" w:cs="Symbol"/>
      <w:u w:val="none"/>
    </w:rPr>
  </w:style>
  <w:style w:type="character" w:styleId="WW8Num54z6" w:customStyle="1">
    <w:name w:val="WW8Num54z6"/>
    <w:qFormat/>
    <w:rPr>
      <w:rFonts w:ascii="Symbol" w:hAnsi="Symbol" w:eastAsia="Symbol" w:cs="Times New Roman"/>
      <w:sz w:val="22"/>
      <w:szCs w:val="22"/>
    </w:rPr>
  </w:style>
  <w:style w:type="character" w:styleId="WW8Num54z7" w:customStyle="1">
    <w:name w:val="WW8Num54z7"/>
    <w:qFormat/>
    <w:rPr>
      <w:rFonts w:ascii="Symbol" w:hAnsi="Symbol" w:eastAsia="Symbol" w:cs="Times New Roman"/>
      <w:sz w:val="20"/>
      <w:szCs w:val="20"/>
    </w:rPr>
  </w:style>
  <w:style w:type="character" w:styleId="WW8Num54z8" w:customStyle="1">
    <w:name w:val="WW8Num54z8"/>
    <w:qFormat/>
    <w:rPr>
      <w:rFonts w:ascii="Symbol" w:hAnsi="Symbol" w:eastAsia="Symbol" w:cs="Symbol"/>
      <w:lang w:val="pt-PT" w:eastAsia="pt-PT" w:bidi="pt-PT"/>
    </w:rPr>
  </w:style>
  <w:style w:type="character" w:styleId="WW8Num55z0" w:customStyle="1">
    <w:name w:val="WW8Num55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5z1" w:customStyle="1">
    <w:name w:val="WW8Num55z1"/>
    <w:qFormat/>
    <w:rPr>
      <w:rFonts w:ascii="Symbol" w:hAnsi="Symbol" w:eastAsia="Symbol" w:cs="Symbol"/>
      <w:lang w:val="pt-PT" w:eastAsia="pt-PT" w:bidi="pt-PT"/>
    </w:rPr>
  </w:style>
  <w:style w:type="character" w:styleId="WW8Num55z6" w:customStyle="1">
    <w:name w:val="WW8Num55z6"/>
    <w:qFormat/>
    <w:rPr>
      <w:rFonts w:ascii="Symbol" w:hAnsi="Symbol" w:eastAsia="Symbol" w:cs="Times New Roman"/>
      <w:sz w:val="20"/>
      <w:u w:val="none"/>
    </w:rPr>
  </w:style>
  <w:style w:type="character" w:styleId="WW8Num55z7" w:customStyle="1">
    <w:name w:val="WW8Num55z7"/>
    <w:qFormat/>
    <w:rPr>
      <w:rFonts w:ascii="Symbol" w:hAnsi="Symbol" w:eastAsia="Symbol" w:cs="Symbol"/>
      <w:u w:val="none"/>
    </w:rPr>
  </w:style>
  <w:style w:type="character" w:styleId="WW8Num56z0" w:customStyle="1">
    <w:name w:val="WW8Num56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6z1" w:customStyle="1">
    <w:name w:val="WW8Num56z1"/>
    <w:qFormat/>
    <w:rPr>
      <w:rFonts w:ascii="Symbol" w:hAnsi="Symbol" w:eastAsia="Symbol" w:cs="Symbol"/>
      <w:lang w:val="pt-PT" w:eastAsia="pt-PT" w:bidi="pt-PT"/>
    </w:rPr>
  </w:style>
  <w:style w:type="character" w:styleId="WW8Num57z0" w:customStyle="1">
    <w:name w:val="WW8Num57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7z1" w:customStyle="1">
    <w:name w:val="WW8Num57z1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styleId="WW8Num57z2" w:customStyle="1">
    <w:name w:val="WW8Num57z2"/>
    <w:qFormat/>
    <w:rPr>
      <w:rFonts w:ascii="Symbol" w:hAnsi="Symbol" w:eastAsia="Symbol" w:cs="Symbol"/>
      <w:lang w:val="pt-PT" w:eastAsia="pt-PT" w:bidi="pt-PT"/>
    </w:rPr>
  </w:style>
  <w:style w:type="character" w:styleId="WW8Num58z0" w:customStyle="1">
    <w:name w:val="WW8Num58z0"/>
    <w:qFormat/>
    <w:rPr>
      <w:rFonts w:ascii="Times New Roman" w:hAnsi="Times New Roman" w:eastAsia="Times New Roman" w:cs="Wingdings"/>
      <w:b/>
    </w:rPr>
  </w:style>
  <w:style w:type="character" w:styleId="WW8Num58z1" w:customStyle="1">
    <w:name w:val="WW8Num58z1"/>
    <w:qFormat/>
    <w:rPr>
      <w:rFonts w:ascii="Times New Roman" w:hAnsi="Times New Roman" w:eastAsia="Times New Roman" w:cs="OpenSymbol;Arial Unicode MS"/>
    </w:rPr>
  </w:style>
  <w:style w:type="character" w:styleId="WW8Num58z2" w:customStyle="1">
    <w:name w:val="WW8Num58z2"/>
    <w:qFormat/>
    <w:rPr>
      <w:rFonts w:ascii="Symbol" w:hAnsi="Symbol" w:eastAsia="Symbol" w:cs="Symbol"/>
      <w:u w:val="none"/>
    </w:rPr>
  </w:style>
  <w:style w:type="character" w:styleId="WW8Num58z6" w:customStyle="1">
    <w:name w:val="WW8Num58z6"/>
    <w:qFormat/>
    <w:rPr>
      <w:rFonts w:ascii="Symbol" w:hAnsi="Symbol" w:eastAsia="Symbol" w:cs="Symbol"/>
      <w:lang w:val="pt-PT" w:eastAsia="pt-PT" w:bidi="pt-PT"/>
    </w:rPr>
  </w:style>
  <w:style w:type="character" w:styleId="WW8Num59z0" w:customStyle="1">
    <w:name w:val="WW8Num59z0"/>
    <w:qFormat/>
    <w:rPr>
      <w:rFonts w:ascii="Times New Roman" w:hAnsi="Times New Roman" w:eastAsia="SimSun;宋体" w:cs="Times New Roman"/>
    </w:rPr>
  </w:style>
  <w:style w:type="character" w:styleId="WW8Num59z1" w:customStyle="1">
    <w:name w:val="WW8Num59z1"/>
    <w:qFormat/>
    <w:rPr>
      <w:rFonts w:ascii="Symbol" w:hAnsi="Symbol" w:eastAsia="Symbol" w:cs="Courier New"/>
    </w:rPr>
  </w:style>
  <w:style w:type="character" w:styleId="WW8Num59z2" w:customStyle="1">
    <w:name w:val="WW8Num59z2"/>
    <w:qFormat/>
    <w:rPr>
      <w:rFonts w:ascii="Symbol" w:hAnsi="Symbol" w:eastAsia="Symbol" w:cs="Times New Roman"/>
    </w:rPr>
  </w:style>
  <w:style w:type="character" w:styleId="WW8Num59z4" w:customStyle="1">
    <w:name w:val="WW8Num59z4"/>
    <w:qFormat/>
    <w:rPr>
      <w:rFonts w:ascii="Symbol" w:hAnsi="Symbol" w:eastAsia="Symbol" w:cs="Wingdings"/>
      <w:b/>
    </w:rPr>
  </w:style>
  <w:style w:type="character" w:styleId="WW8Num59z5" w:customStyle="1">
    <w:name w:val="WW8Num59z5"/>
    <w:qFormat/>
    <w:rPr>
      <w:rFonts w:ascii="Symbol" w:hAnsi="Symbol" w:eastAsia="Symbol" w:cs="Symbol"/>
    </w:rPr>
  </w:style>
  <w:style w:type="character" w:styleId="WW8Num59z6" w:customStyle="1">
    <w:name w:val="WW8Num59z6"/>
    <w:qFormat/>
    <w:rPr>
      <w:rFonts w:ascii="Symbol" w:hAnsi="Symbol" w:eastAsia="Symbol" w:cs="OpenSymbol;Arial Unicode MS"/>
    </w:rPr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WW8Num60z0" w:customStyle="1">
    <w:name w:val="WW8Num60z0"/>
    <w:qFormat/>
    <w:rPr>
      <w:rFonts w:ascii="Symbol" w:hAnsi="Symbol" w:eastAsia="Symbol" w:cs="Symbol"/>
      <w:sz w:val="20"/>
    </w:rPr>
  </w:style>
  <w:style w:type="character" w:styleId="WW8Num60z1" w:customStyle="1">
    <w:name w:val="WW8Num60z1"/>
    <w:qFormat/>
    <w:rPr>
      <w:rFonts w:ascii="Courier New" w:hAnsi="Courier New" w:eastAsia="Courier New" w:cs="Courier New"/>
      <w:sz w:val="20"/>
    </w:rPr>
  </w:style>
  <w:style w:type="character" w:styleId="WW8Num60z2" w:customStyle="1">
    <w:name w:val="WW8Num60z2"/>
    <w:qFormat/>
    <w:rPr>
      <w:rFonts w:ascii="Wingdings" w:hAnsi="Wingdings" w:eastAsia="Wingdings" w:cs="Wingdings"/>
      <w:sz w:val="20"/>
    </w:rPr>
  </w:style>
  <w:style w:type="character" w:styleId="WWCharLFO33LVL1" w:customStyle="1">
    <w:name w:val="WW_CharLFO33LVL1"/>
    <w:qFormat/>
    <w:rPr>
      <w:b/>
      <w:i w:val="false"/>
      <w:color w:val="00000A"/>
    </w:rPr>
  </w:style>
  <w:style w:type="character" w:styleId="WWCharLFO33LVL2" w:customStyle="1">
    <w:name w:val="WW_CharLFO33LVL2"/>
    <w:qFormat/>
    <w:rPr>
      <w:b/>
      <w:i w:val="false"/>
      <w:color w:val="00000A"/>
      <w:sz w:val="21"/>
    </w:rPr>
  </w:style>
  <w:style w:type="character" w:styleId="WWCharLFO33LVL3" w:customStyle="1">
    <w:name w:val="WW_CharLFO33LVL3"/>
    <w:qFormat/>
    <w:rPr>
      <w:rFonts w:ascii="Wingdings" w:hAnsi="Wingdings" w:cs="Wingdings"/>
      <w:sz w:val="21"/>
    </w:rPr>
  </w:style>
  <w:style w:type="character" w:styleId="WWCharLFO33LVL4" w:customStyle="1">
    <w:name w:val="WW_CharLFO33LVL4"/>
    <w:qFormat/>
    <w:rPr>
      <w:rFonts w:ascii="Wingdings" w:hAnsi="Wingdings" w:cs="Wingdings"/>
    </w:rPr>
  </w:style>
  <w:style w:type="character" w:styleId="WWCharLFO36LVL1" w:customStyle="1">
    <w:name w:val="WW_CharLFO36LVL1"/>
    <w:qFormat/>
    <w:rPr>
      <w:rFonts w:cs="Arial"/>
      <w:b/>
      <w:color w:val="00000A"/>
    </w:rPr>
  </w:style>
  <w:style w:type="character" w:styleId="WWCharLFO36LVL2" w:customStyle="1">
    <w:name w:val="WW_CharLFO36LVL2"/>
    <w:qFormat/>
    <w:rPr>
      <w:b/>
      <w:strike w:val="false"/>
      <w:dstrike w:val="false"/>
      <w:color w:val="00000A"/>
    </w:rPr>
  </w:style>
  <w:style w:type="character" w:styleId="WWCharLFO36LVL3" w:customStyle="1">
    <w:name w:val="WW_CharLFO36LVL3"/>
    <w:qFormat/>
    <w:rPr>
      <w:b w:val="false"/>
      <w:color w:val="00000A"/>
    </w:rPr>
  </w:style>
  <w:style w:type="character" w:styleId="WWCharLFO36LVL4" w:customStyle="1">
    <w:name w:val="WW_CharLFO36LVL4"/>
    <w:qFormat/>
    <w:rPr>
      <w:strike w:val="false"/>
      <w:dstrike w:val="false"/>
      <w:color w:val="00000A"/>
      <w:position w:val="0"/>
      <w:sz w:val="20"/>
      <w:sz w:val="20"/>
      <w:vertAlign w:val="baseline"/>
    </w:rPr>
  </w:style>
  <w:style w:type="character" w:styleId="WWCharLFO36LVL5" w:customStyle="1">
    <w:name w:val="WW_CharLFO36LVL5"/>
    <w:qFormat/>
    <w:rPr>
      <w:color w:val="00000A"/>
    </w:rPr>
  </w:style>
  <w:style w:type="character" w:styleId="WWCharLFO36LVL6" w:customStyle="1">
    <w:name w:val="WW_CharLFO36LVL6"/>
    <w:qFormat/>
    <w:rPr>
      <w:color w:val="00000A"/>
    </w:rPr>
  </w:style>
  <w:style w:type="character" w:styleId="WWCharLFO36LVL7" w:customStyle="1">
    <w:name w:val="WW_CharLFO36LVL7"/>
    <w:qFormat/>
    <w:rPr>
      <w:color w:val="00000A"/>
    </w:rPr>
  </w:style>
  <w:style w:type="character" w:styleId="WWCharLFO36LVL8" w:customStyle="1">
    <w:name w:val="WW_CharLFO36LVL8"/>
    <w:qFormat/>
    <w:rPr>
      <w:color w:val="00000A"/>
    </w:rPr>
  </w:style>
  <w:style w:type="character" w:styleId="WWCharLFO36LVL9" w:customStyle="1">
    <w:name w:val="WW_CharLFO36LVL9"/>
    <w:qFormat/>
    <w:rPr>
      <w:color w:val="00000A"/>
    </w:rPr>
  </w:style>
  <w:style w:type="character" w:styleId="WWCharLFO37LVL1" w:customStyle="1">
    <w:name w:val="WW_CharLFO37LVL1"/>
    <w:qFormat/>
    <w:rPr>
      <w:rFonts w:cs="Arial"/>
      <w:color w:val="000000"/>
    </w:rPr>
  </w:style>
  <w:style w:type="character" w:styleId="WWCharLFO37LVL2" w:customStyle="1">
    <w:name w:val="WW_CharLFO37LVL2"/>
    <w:qFormat/>
    <w:rPr>
      <w:rFonts w:cs="Arial"/>
      <w:color w:val="000000"/>
    </w:rPr>
  </w:style>
  <w:style w:type="character" w:styleId="WWCharLFO37LVL3" w:customStyle="1">
    <w:name w:val="WW_CharLFO37LVL3"/>
    <w:qFormat/>
    <w:rPr>
      <w:rFonts w:ascii="Arial" w:hAnsi="Arial" w:cs="Arial"/>
      <w:color w:val="000000"/>
      <w:sz w:val="20"/>
    </w:rPr>
  </w:style>
  <w:style w:type="character" w:styleId="WWCharLFO37LVL4" w:customStyle="1">
    <w:name w:val="WW_CharLFO37LVL4"/>
    <w:qFormat/>
    <w:rPr>
      <w:rFonts w:cs="Arial"/>
      <w:color w:val="000000"/>
    </w:rPr>
  </w:style>
  <w:style w:type="character" w:styleId="WWCharLFO37LVL5" w:customStyle="1">
    <w:name w:val="WW_CharLFO37LVL5"/>
    <w:qFormat/>
    <w:rPr>
      <w:rFonts w:cs="Arial"/>
      <w:color w:val="000000"/>
    </w:rPr>
  </w:style>
  <w:style w:type="character" w:styleId="WWCharLFO37LVL6" w:customStyle="1">
    <w:name w:val="WW_CharLFO37LVL6"/>
    <w:qFormat/>
    <w:rPr>
      <w:rFonts w:cs="Arial"/>
      <w:color w:val="000000"/>
    </w:rPr>
  </w:style>
  <w:style w:type="character" w:styleId="WWCharLFO37LVL7" w:customStyle="1">
    <w:name w:val="WW_CharLFO37LVL7"/>
    <w:qFormat/>
    <w:rPr>
      <w:rFonts w:cs="Arial"/>
      <w:color w:val="000000"/>
    </w:rPr>
  </w:style>
  <w:style w:type="character" w:styleId="WWCharLFO37LVL8" w:customStyle="1">
    <w:name w:val="WW_CharLFO37LVL8"/>
    <w:qFormat/>
    <w:rPr>
      <w:rFonts w:cs="Arial"/>
      <w:color w:val="000000"/>
    </w:rPr>
  </w:style>
  <w:style w:type="character" w:styleId="WWCharLFO37LVL9" w:customStyle="1">
    <w:name w:val="WW_CharLFO37LVL9"/>
    <w:qFormat/>
    <w:rPr>
      <w:rFonts w:cs="Arial"/>
      <w:color w:val="000000"/>
    </w:rPr>
  </w:style>
  <w:style w:type="character" w:styleId="WWCharLFO39LVL2" w:customStyle="1">
    <w:name w:val="WW_CharLFO39LVL2"/>
    <w:qFormat/>
    <w:rPr>
      <w:b w:val="false"/>
      <w:i w:val="false"/>
    </w:rPr>
  </w:style>
  <w:style w:type="character" w:styleId="WWCharLFO39LVL3" w:customStyle="1">
    <w:name w:val="WW_CharLFO39LVL3"/>
    <w:qFormat/>
    <w:rPr>
      <w:b w:val="false"/>
    </w:rPr>
  </w:style>
  <w:style w:type="character" w:styleId="WWCharLFO40LVL2" w:customStyle="1">
    <w:name w:val="WW_CharLFO40LVL2"/>
    <w:qFormat/>
    <w:rPr>
      <w:b w:val="false"/>
      <w:i w:val="false"/>
    </w:rPr>
  </w:style>
  <w:style w:type="character" w:styleId="WWCharLFO40LVL3" w:customStyle="1">
    <w:name w:val="WW_CharLFO40LVL3"/>
    <w:qFormat/>
    <w:rPr>
      <w:b w:val="false"/>
    </w:rPr>
  </w:style>
  <w:style w:type="character" w:styleId="WWCharLFO43LVL1" w:customStyle="1">
    <w:name w:val="WW_CharLFO43LVL1"/>
    <w:qFormat/>
    <w:rPr>
      <w:rFonts w:ascii="Wingdings" w:hAnsi="Wingdings" w:cs="Wingdings"/>
    </w:rPr>
  </w:style>
  <w:style w:type="character" w:styleId="WWCharLFO43LVL2" w:customStyle="1">
    <w:name w:val="WW_CharLFO43LVL2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3" w:customStyle="1">
    <w:name w:val="WW_CharLFO43LVL3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4" w:customStyle="1">
    <w:name w:val="WW_CharLFO43LVL4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5" w:customStyle="1">
    <w:name w:val="WW_CharLFO43LVL5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6" w:customStyle="1">
    <w:name w:val="WW_CharLFO43LVL6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7" w:customStyle="1">
    <w:name w:val="WW_CharLFO43LVL7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8" w:customStyle="1">
    <w:name w:val="WW_CharLFO43LVL8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9" w:customStyle="1">
    <w:name w:val="WW_CharLFO43LVL9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4LVL1" w:customStyle="1">
    <w:name w:val="WW_CharLFO44LVL1"/>
    <w:qFormat/>
    <w:rPr>
      <w:rFonts w:ascii="Wingdings" w:hAnsi="Wingdings" w:cs="OpenSymbol;Arial Unicode MS"/>
      <w:b w:val="false"/>
      <w:bCs w:val="false"/>
    </w:rPr>
  </w:style>
  <w:style w:type="character" w:styleId="WWCharLFO44LVL2" w:customStyle="1">
    <w:name w:val="WW_CharLFO44LVL2"/>
    <w:qFormat/>
    <w:rPr>
      <w:rFonts w:ascii="OpenSymbol;Arial Unicode MS" w:hAnsi="OpenSymbol;Arial Unicode MS" w:cs="OpenSymbol;Arial Unicode MS"/>
    </w:rPr>
  </w:style>
  <w:style w:type="character" w:styleId="WWCharLFO44LVL3" w:customStyle="1">
    <w:name w:val="WW_CharLFO44LVL3"/>
    <w:qFormat/>
    <w:rPr>
      <w:rFonts w:ascii="OpenSymbol;Arial Unicode MS" w:hAnsi="OpenSymbol;Arial Unicode MS" w:cs="OpenSymbol;Arial Unicode MS"/>
    </w:rPr>
  </w:style>
  <w:style w:type="character" w:styleId="WWCharLFO44LVL4" w:customStyle="1">
    <w:name w:val="WW_CharLFO44LVL4"/>
    <w:qFormat/>
    <w:rPr>
      <w:rFonts w:ascii="Symbol" w:hAnsi="Symbol" w:cs="OpenSymbol;Arial Unicode MS"/>
    </w:rPr>
  </w:style>
  <w:style w:type="character" w:styleId="WWCharLFO44LVL5" w:customStyle="1">
    <w:name w:val="WW_CharLFO44LVL5"/>
    <w:qFormat/>
    <w:rPr>
      <w:rFonts w:ascii="OpenSymbol;Arial Unicode MS" w:hAnsi="OpenSymbol;Arial Unicode MS" w:cs="OpenSymbol;Arial Unicode MS"/>
    </w:rPr>
  </w:style>
  <w:style w:type="character" w:styleId="WWCharLFO44LVL6" w:customStyle="1">
    <w:name w:val="WW_CharLFO44LVL6"/>
    <w:qFormat/>
    <w:rPr>
      <w:rFonts w:ascii="OpenSymbol;Arial Unicode MS" w:hAnsi="OpenSymbol;Arial Unicode MS" w:cs="OpenSymbol;Arial Unicode MS"/>
    </w:rPr>
  </w:style>
  <w:style w:type="character" w:styleId="WWCharLFO44LVL7" w:customStyle="1">
    <w:name w:val="WW_CharLFO44LVL7"/>
    <w:qFormat/>
    <w:rPr>
      <w:rFonts w:ascii="Symbol" w:hAnsi="Symbol" w:cs="OpenSymbol;Arial Unicode MS"/>
    </w:rPr>
  </w:style>
  <w:style w:type="character" w:styleId="WWCharLFO44LVL8" w:customStyle="1">
    <w:name w:val="WW_CharLFO44LVL8"/>
    <w:qFormat/>
    <w:rPr>
      <w:rFonts w:ascii="OpenSymbol;Arial Unicode MS" w:hAnsi="OpenSymbol;Arial Unicode MS" w:cs="OpenSymbol;Arial Unicode MS"/>
    </w:rPr>
  </w:style>
  <w:style w:type="character" w:styleId="WWCharLFO44LVL9" w:customStyle="1">
    <w:name w:val="WW_CharLFO44LVL9"/>
    <w:qFormat/>
    <w:rPr>
      <w:rFonts w:ascii="OpenSymbol;Arial Unicode MS" w:hAnsi="OpenSymbol;Arial Unicode MS" w:cs="OpenSymbol;Arial Unicode MS"/>
    </w:rPr>
  </w:style>
  <w:style w:type="character" w:styleId="WWCharLFO45LVL1" w:customStyle="1">
    <w:name w:val="WW_CharLFO45LVL1"/>
    <w:qFormat/>
    <w:rPr>
      <w:rFonts w:ascii="Wingdings" w:hAnsi="Wingdings" w:cs="Wingdings"/>
      <w:b/>
    </w:rPr>
  </w:style>
  <w:style w:type="character" w:styleId="WWCharLFO45LVL2" w:customStyle="1">
    <w:name w:val="WW_CharLFO45LVL2"/>
    <w:qFormat/>
    <w:rPr>
      <w:rFonts w:ascii="Wingdings" w:hAnsi="Wingdings" w:cs="Wingdings"/>
      <w:b/>
    </w:rPr>
  </w:style>
  <w:style w:type="character" w:styleId="WWCharLFO45LVL3" w:customStyle="1">
    <w:name w:val="WW_CharLFO45LVL3"/>
    <w:qFormat/>
    <w:rPr>
      <w:rFonts w:ascii="Wingdings" w:hAnsi="Wingdings" w:cs="Wingdings"/>
      <w:b/>
    </w:rPr>
  </w:style>
  <w:style w:type="character" w:styleId="WWCharLFO45LVL4" w:customStyle="1">
    <w:name w:val="WW_CharLFO45LVL4"/>
    <w:qFormat/>
    <w:rPr>
      <w:rFonts w:ascii="Wingdings" w:hAnsi="Wingdings" w:cs="Wingdings"/>
      <w:b/>
    </w:rPr>
  </w:style>
  <w:style w:type="character" w:styleId="WWCharLFO45LVL5" w:customStyle="1">
    <w:name w:val="WW_CharLFO45LVL5"/>
    <w:qFormat/>
    <w:rPr>
      <w:rFonts w:ascii="Wingdings" w:hAnsi="Wingdings" w:cs="Wingdings"/>
      <w:b/>
    </w:rPr>
  </w:style>
  <w:style w:type="character" w:styleId="WWCharLFO45LVL6" w:customStyle="1">
    <w:name w:val="WW_CharLFO45LVL6"/>
    <w:qFormat/>
    <w:rPr>
      <w:rFonts w:ascii="Wingdings" w:hAnsi="Wingdings" w:cs="Wingdings"/>
      <w:b/>
    </w:rPr>
  </w:style>
  <w:style w:type="character" w:styleId="WWCharLFO45LVL7" w:customStyle="1">
    <w:name w:val="WW_CharLFO45LVL7"/>
    <w:qFormat/>
    <w:rPr>
      <w:rFonts w:ascii="Wingdings" w:hAnsi="Wingdings" w:cs="Wingdings"/>
      <w:b/>
    </w:rPr>
  </w:style>
  <w:style w:type="character" w:styleId="WWCharLFO45LVL8" w:customStyle="1">
    <w:name w:val="WW_CharLFO45LVL8"/>
    <w:qFormat/>
    <w:rPr>
      <w:rFonts w:ascii="Wingdings" w:hAnsi="Wingdings" w:cs="Wingdings"/>
      <w:b/>
    </w:rPr>
  </w:style>
  <w:style w:type="character" w:styleId="WWCharLFO45LVL9" w:customStyle="1">
    <w:name w:val="WW_CharLFO45LVL9"/>
    <w:qFormat/>
    <w:rPr>
      <w:rFonts w:ascii="Wingdings" w:hAnsi="Wingdings" w:cs="Wingdings"/>
      <w:b/>
    </w:rPr>
  </w:style>
  <w:style w:type="character" w:styleId="WWCharLFO46LVL1" w:customStyle="1">
    <w:name w:val="WW_CharLFO46LVL1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2" w:customStyle="1">
    <w:name w:val="WW_CharLFO46LVL2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3" w:customStyle="1">
    <w:name w:val="WW_CharLFO46LVL3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4" w:customStyle="1">
    <w:name w:val="WW_CharLFO46LVL4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5" w:customStyle="1">
    <w:name w:val="WW_CharLFO46LVL5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6" w:customStyle="1">
    <w:name w:val="WW_CharLFO46LVL6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7" w:customStyle="1">
    <w:name w:val="WW_CharLFO46LVL7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8" w:customStyle="1">
    <w:name w:val="WW_CharLFO46LVL8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9" w:customStyle="1">
    <w:name w:val="WW_CharLFO46LVL9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7LVL1" w:customStyle="1">
    <w:name w:val="WW_CharLFO47LVL1"/>
    <w:qFormat/>
    <w:rPr>
      <w:rFonts w:ascii="Wingdings" w:hAnsi="Wingdings" w:cs="OpenSymbol;Arial Unicode MS"/>
    </w:rPr>
  </w:style>
  <w:style w:type="character" w:styleId="WWCharLFO47LVL2" w:customStyle="1">
    <w:name w:val="WW_CharLFO47LVL2"/>
    <w:qFormat/>
    <w:rPr>
      <w:rFonts w:ascii="Wingdings" w:hAnsi="Wingdings" w:cs="OpenSymbol;Arial Unicode MS"/>
    </w:rPr>
  </w:style>
  <w:style w:type="character" w:styleId="WWCharLFO47LVL3" w:customStyle="1">
    <w:name w:val="WW_CharLFO47LVL3"/>
    <w:qFormat/>
    <w:rPr>
      <w:rFonts w:ascii="Wingdings" w:hAnsi="Wingdings" w:cs="OpenSymbol;Arial Unicode MS"/>
    </w:rPr>
  </w:style>
  <w:style w:type="character" w:styleId="WWCharLFO47LVL4" w:customStyle="1">
    <w:name w:val="WW_CharLFO47LVL4"/>
    <w:qFormat/>
    <w:rPr>
      <w:rFonts w:ascii="Wingdings" w:hAnsi="Wingdings" w:cs="OpenSymbol;Arial Unicode MS"/>
    </w:rPr>
  </w:style>
  <w:style w:type="character" w:styleId="WWCharLFO47LVL5" w:customStyle="1">
    <w:name w:val="WW_CharLFO47LVL5"/>
    <w:qFormat/>
    <w:rPr>
      <w:rFonts w:ascii="Wingdings" w:hAnsi="Wingdings" w:cs="OpenSymbol;Arial Unicode MS"/>
    </w:rPr>
  </w:style>
  <w:style w:type="character" w:styleId="WWCharLFO47LVL6" w:customStyle="1">
    <w:name w:val="WW_CharLFO47LVL6"/>
    <w:qFormat/>
    <w:rPr>
      <w:rFonts w:ascii="Wingdings" w:hAnsi="Wingdings" w:cs="OpenSymbol;Arial Unicode MS"/>
    </w:rPr>
  </w:style>
  <w:style w:type="character" w:styleId="WWCharLFO47LVL7" w:customStyle="1">
    <w:name w:val="WW_CharLFO47LVL7"/>
    <w:qFormat/>
    <w:rPr>
      <w:rFonts w:ascii="Wingdings" w:hAnsi="Wingdings" w:cs="OpenSymbol;Arial Unicode MS"/>
    </w:rPr>
  </w:style>
  <w:style w:type="character" w:styleId="WWCharLFO47LVL8" w:customStyle="1">
    <w:name w:val="WW_CharLFO47LVL8"/>
    <w:qFormat/>
    <w:rPr>
      <w:rFonts w:ascii="Wingdings" w:hAnsi="Wingdings" w:cs="OpenSymbol;Arial Unicode MS"/>
    </w:rPr>
  </w:style>
  <w:style w:type="character" w:styleId="WWCharLFO47LVL9" w:customStyle="1">
    <w:name w:val="WW_CharLFO47LVL9"/>
    <w:qFormat/>
    <w:rPr>
      <w:rFonts w:ascii="Wingdings" w:hAnsi="Wingdings" w:cs="OpenSymbol;Arial Unicode MS"/>
    </w:rPr>
  </w:style>
  <w:style w:type="character" w:styleId="WWCharLFO48LVL1" w:customStyle="1">
    <w:name w:val="WW_CharLFO48LVL1"/>
    <w:qFormat/>
    <w:rPr>
      <w:rFonts w:ascii="Symbol" w:hAnsi="Symbol" w:cs="OpenSymbol;Arial Unicode MS"/>
    </w:rPr>
  </w:style>
  <w:style w:type="character" w:styleId="WWCharLFO48LVL2" w:customStyle="1">
    <w:name w:val="WW_CharLFO48LVL2"/>
    <w:qFormat/>
    <w:rPr>
      <w:rFonts w:ascii="OpenSymbol;Arial Unicode MS" w:hAnsi="OpenSymbol;Arial Unicode MS" w:cs="OpenSymbol;Arial Unicode MS"/>
    </w:rPr>
  </w:style>
  <w:style w:type="character" w:styleId="WWCharLFO48LVL3" w:customStyle="1">
    <w:name w:val="WW_CharLFO48LVL3"/>
    <w:qFormat/>
    <w:rPr>
      <w:rFonts w:ascii="OpenSymbol;Arial Unicode MS" w:hAnsi="OpenSymbol;Arial Unicode MS" w:cs="OpenSymbol;Arial Unicode MS"/>
    </w:rPr>
  </w:style>
  <w:style w:type="character" w:styleId="WWCharLFO48LVL4" w:customStyle="1">
    <w:name w:val="WW_CharLFO48LVL4"/>
    <w:qFormat/>
    <w:rPr>
      <w:rFonts w:ascii="Symbol" w:hAnsi="Symbol" w:cs="OpenSymbol;Arial Unicode MS"/>
    </w:rPr>
  </w:style>
  <w:style w:type="character" w:styleId="WWCharLFO48LVL5" w:customStyle="1">
    <w:name w:val="WW_CharLFO48LVL5"/>
    <w:qFormat/>
    <w:rPr>
      <w:rFonts w:ascii="OpenSymbol;Arial Unicode MS" w:hAnsi="OpenSymbol;Arial Unicode MS" w:cs="OpenSymbol;Arial Unicode MS"/>
    </w:rPr>
  </w:style>
  <w:style w:type="character" w:styleId="WWCharLFO48LVL6" w:customStyle="1">
    <w:name w:val="WW_CharLFO48LVL6"/>
    <w:qFormat/>
    <w:rPr>
      <w:rFonts w:ascii="OpenSymbol;Arial Unicode MS" w:hAnsi="OpenSymbol;Arial Unicode MS" w:cs="OpenSymbol;Arial Unicode MS"/>
    </w:rPr>
  </w:style>
  <w:style w:type="character" w:styleId="WWCharLFO48LVL7" w:customStyle="1">
    <w:name w:val="WW_CharLFO48LVL7"/>
    <w:qFormat/>
    <w:rPr>
      <w:rFonts w:ascii="Symbol" w:hAnsi="Symbol" w:cs="OpenSymbol;Arial Unicode MS"/>
    </w:rPr>
  </w:style>
  <w:style w:type="character" w:styleId="WWCharLFO48LVL8" w:customStyle="1">
    <w:name w:val="WW_CharLFO48LVL8"/>
    <w:qFormat/>
    <w:rPr>
      <w:rFonts w:ascii="OpenSymbol;Arial Unicode MS" w:hAnsi="OpenSymbol;Arial Unicode MS" w:cs="OpenSymbol;Arial Unicode MS"/>
    </w:rPr>
  </w:style>
  <w:style w:type="character" w:styleId="WWCharLFO48LVL9" w:customStyle="1">
    <w:name w:val="WW_CharLFO48LVL9"/>
    <w:qFormat/>
    <w:rPr>
      <w:rFonts w:ascii="OpenSymbol;Arial Unicode MS" w:hAnsi="OpenSymbol;Arial Unicode MS" w:cs="OpenSymbol;Arial Unicode MS"/>
    </w:rPr>
  </w:style>
  <w:style w:type="character" w:styleId="WWCharLFO49LVL1" w:customStyle="1">
    <w:name w:val="WW_CharLFO49LVL1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2" w:customStyle="1">
    <w:name w:val="WW_CharLFO49LVL2"/>
    <w:qFormat/>
    <w:rPr>
      <w:rFonts w:ascii="OpenSymbol;Arial Unicode MS" w:hAnsi="OpenSymbol;Arial Unicode MS" w:cs="OpenSymbol;Arial Unicode MS"/>
    </w:rPr>
  </w:style>
  <w:style w:type="character" w:styleId="WWCharLFO49LVL3" w:customStyle="1">
    <w:name w:val="WW_CharLFO49LVL3"/>
    <w:qFormat/>
    <w:rPr>
      <w:rFonts w:ascii="OpenSymbol;Arial Unicode MS" w:hAnsi="OpenSymbol;Arial Unicode MS" w:cs="OpenSymbol;Arial Unicode MS"/>
    </w:rPr>
  </w:style>
  <w:style w:type="character" w:styleId="WWCharLFO49LVL4" w:customStyle="1">
    <w:name w:val="WW_CharLFO49LVL4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5" w:customStyle="1">
    <w:name w:val="WW_CharLFO49LVL5"/>
    <w:qFormat/>
    <w:rPr>
      <w:rFonts w:ascii="OpenSymbol;Arial Unicode MS" w:hAnsi="OpenSymbol;Arial Unicode MS" w:cs="OpenSymbol;Arial Unicode MS"/>
    </w:rPr>
  </w:style>
  <w:style w:type="character" w:styleId="WWCharLFO49LVL6" w:customStyle="1">
    <w:name w:val="WW_CharLFO49LVL6"/>
    <w:qFormat/>
    <w:rPr>
      <w:rFonts w:ascii="OpenSymbol;Arial Unicode MS" w:hAnsi="OpenSymbol;Arial Unicode MS" w:cs="OpenSymbol;Arial Unicode MS"/>
    </w:rPr>
  </w:style>
  <w:style w:type="character" w:styleId="WWCharLFO49LVL7" w:customStyle="1">
    <w:name w:val="WW_CharLFO49LVL7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8" w:customStyle="1">
    <w:name w:val="WW_CharLFO49LVL8"/>
    <w:qFormat/>
    <w:rPr>
      <w:rFonts w:ascii="OpenSymbol;Arial Unicode MS" w:hAnsi="OpenSymbol;Arial Unicode MS" w:cs="OpenSymbol;Arial Unicode MS"/>
    </w:rPr>
  </w:style>
  <w:style w:type="character" w:styleId="WWCharLFO49LVL9" w:customStyle="1">
    <w:name w:val="WW_CharLFO49LVL9"/>
    <w:qFormat/>
    <w:rPr>
      <w:rFonts w:ascii="OpenSymbol;Arial Unicode MS" w:hAnsi="OpenSymbol;Arial Unicode MS" w:cs="OpenSymbol;Arial Unicode MS"/>
    </w:rPr>
  </w:style>
  <w:style w:type="character" w:styleId="WWCharLFO50LVL1" w:customStyle="1">
    <w:name w:val="WW_CharLFO50LVL1"/>
    <w:qFormat/>
    <w:rPr>
      <w:rFonts w:ascii="Wingdings" w:hAnsi="Wingdings" w:cs="Wingdings"/>
      <w:b/>
    </w:rPr>
  </w:style>
  <w:style w:type="character" w:styleId="WWCharLFO50LVL2" w:customStyle="1">
    <w:name w:val="WW_CharLFO50LVL2"/>
    <w:qFormat/>
    <w:rPr>
      <w:rFonts w:ascii="Wingdings" w:hAnsi="Wingdings" w:cs="Wingdings"/>
      <w:b/>
    </w:rPr>
  </w:style>
  <w:style w:type="character" w:styleId="WWCharLFO50LVL3" w:customStyle="1">
    <w:name w:val="WW_CharLFO50LVL3"/>
    <w:qFormat/>
    <w:rPr>
      <w:rFonts w:ascii="Wingdings" w:hAnsi="Wingdings" w:cs="Wingdings"/>
      <w:b/>
    </w:rPr>
  </w:style>
  <w:style w:type="character" w:styleId="WWCharLFO50LVL4" w:customStyle="1">
    <w:name w:val="WW_CharLFO50LVL4"/>
    <w:qFormat/>
    <w:rPr>
      <w:rFonts w:ascii="Wingdings" w:hAnsi="Wingdings" w:cs="Wingdings"/>
      <w:b/>
    </w:rPr>
  </w:style>
  <w:style w:type="character" w:styleId="WWCharLFO50LVL5" w:customStyle="1">
    <w:name w:val="WW_CharLFO50LVL5"/>
    <w:qFormat/>
    <w:rPr>
      <w:rFonts w:ascii="Wingdings" w:hAnsi="Wingdings" w:cs="Wingdings"/>
      <w:b/>
    </w:rPr>
  </w:style>
  <w:style w:type="character" w:styleId="WWCharLFO50LVL6" w:customStyle="1">
    <w:name w:val="WW_CharLFO50LVL6"/>
    <w:qFormat/>
    <w:rPr>
      <w:rFonts w:ascii="Wingdings" w:hAnsi="Wingdings" w:cs="Wingdings"/>
      <w:b/>
    </w:rPr>
  </w:style>
  <w:style w:type="character" w:styleId="WWCharLFO50LVL7" w:customStyle="1">
    <w:name w:val="WW_CharLFO50LVL7"/>
    <w:qFormat/>
    <w:rPr>
      <w:rFonts w:ascii="Wingdings" w:hAnsi="Wingdings" w:cs="Wingdings"/>
      <w:b/>
    </w:rPr>
  </w:style>
  <w:style w:type="character" w:styleId="WWCharLFO50LVL8" w:customStyle="1">
    <w:name w:val="WW_CharLFO50LVL8"/>
    <w:qFormat/>
    <w:rPr>
      <w:rFonts w:ascii="Wingdings" w:hAnsi="Wingdings" w:cs="Wingdings"/>
      <w:b/>
    </w:rPr>
  </w:style>
  <w:style w:type="character" w:styleId="WWCharLFO50LVL9" w:customStyle="1">
    <w:name w:val="WW_CharLFO50LVL9"/>
    <w:qFormat/>
    <w:rPr>
      <w:rFonts w:ascii="Wingdings" w:hAnsi="Wingdings" w:cs="Wingdings"/>
      <w:b/>
    </w:rPr>
  </w:style>
  <w:style w:type="character" w:styleId="WWCharLFO51LVL1" w:customStyle="1">
    <w:name w:val="WW_CharLFO51LVL1"/>
    <w:qFormat/>
    <w:rPr>
      <w:rFonts w:ascii="Wingdings" w:hAnsi="Wingdings" w:cs="Wingdings"/>
      <w:b/>
    </w:rPr>
  </w:style>
  <w:style w:type="character" w:styleId="WWCharLFO51LVL2" w:customStyle="1">
    <w:name w:val="WW_CharLFO51LVL2"/>
    <w:qFormat/>
    <w:rPr>
      <w:rFonts w:ascii="Wingdings" w:hAnsi="Wingdings" w:cs="Wingdings"/>
      <w:b/>
    </w:rPr>
  </w:style>
  <w:style w:type="character" w:styleId="WWCharLFO51LVL3" w:customStyle="1">
    <w:name w:val="WW_CharLFO51LVL3"/>
    <w:qFormat/>
    <w:rPr>
      <w:rFonts w:ascii="Wingdings" w:hAnsi="Wingdings" w:cs="Wingdings"/>
      <w:b/>
    </w:rPr>
  </w:style>
  <w:style w:type="character" w:styleId="WWCharLFO51LVL4" w:customStyle="1">
    <w:name w:val="WW_CharLFO51LVL4"/>
    <w:qFormat/>
    <w:rPr>
      <w:rFonts w:ascii="Wingdings" w:hAnsi="Wingdings" w:cs="Wingdings"/>
      <w:b/>
    </w:rPr>
  </w:style>
  <w:style w:type="character" w:styleId="WWCharLFO51LVL5" w:customStyle="1">
    <w:name w:val="WW_CharLFO51LVL5"/>
    <w:qFormat/>
    <w:rPr>
      <w:rFonts w:ascii="Wingdings" w:hAnsi="Wingdings" w:cs="Wingdings"/>
      <w:b/>
    </w:rPr>
  </w:style>
  <w:style w:type="character" w:styleId="WWCharLFO51LVL6" w:customStyle="1">
    <w:name w:val="WW_CharLFO51LVL6"/>
    <w:qFormat/>
    <w:rPr>
      <w:rFonts w:ascii="Wingdings" w:hAnsi="Wingdings" w:cs="Wingdings"/>
      <w:b/>
    </w:rPr>
  </w:style>
  <w:style w:type="character" w:styleId="WWCharLFO51LVL7" w:customStyle="1">
    <w:name w:val="WW_CharLFO51LVL7"/>
    <w:qFormat/>
    <w:rPr>
      <w:rFonts w:ascii="Wingdings" w:hAnsi="Wingdings" w:cs="Wingdings"/>
      <w:b/>
    </w:rPr>
  </w:style>
  <w:style w:type="character" w:styleId="WWCharLFO51LVL8" w:customStyle="1">
    <w:name w:val="WW_CharLFO51LVL8"/>
    <w:qFormat/>
    <w:rPr>
      <w:rFonts w:ascii="Wingdings" w:hAnsi="Wingdings" w:cs="Wingdings"/>
      <w:b/>
    </w:rPr>
  </w:style>
  <w:style w:type="character" w:styleId="WWCharLFO51LVL9" w:customStyle="1">
    <w:name w:val="WW_CharLFO51LVL9"/>
    <w:qFormat/>
    <w:rPr>
      <w:rFonts w:ascii="Wingdings" w:hAnsi="Wingdings" w:cs="Wingdings"/>
      <w:b/>
    </w:rPr>
  </w:style>
  <w:style w:type="character" w:styleId="WWCharLFO52LVL1" w:customStyle="1">
    <w:name w:val="WW_CharLFO52LVL1"/>
    <w:qFormat/>
    <w:rPr>
      <w:rFonts w:ascii="Wingdings" w:hAnsi="Wingdings" w:cs="Wingdings"/>
      <w:b/>
    </w:rPr>
  </w:style>
  <w:style w:type="character" w:styleId="WWCharLFO52LVL2" w:customStyle="1">
    <w:name w:val="WW_CharLFO52LVL2"/>
    <w:qFormat/>
    <w:rPr>
      <w:rFonts w:ascii="Wingdings" w:hAnsi="Wingdings" w:cs="Wingdings"/>
      <w:b/>
    </w:rPr>
  </w:style>
  <w:style w:type="character" w:styleId="WWCharLFO52LVL3" w:customStyle="1">
    <w:name w:val="WW_CharLFO52LVL3"/>
    <w:qFormat/>
    <w:rPr>
      <w:rFonts w:ascii="Wingdings" w:hAnsi="Wingdings" w:cs="Wingdings"/>
      <w:b/>
    </w:rPr>
  </w:style>
  <w:style w:type="character" w:styleId="WWCharLFO52LVL4" w:customStyle="1">
    <w:name w:val="WW_CharLFO52LVL4"/>
    <w:qFormat/>
    <w:rPr>
      <w:rFonts w:ascii="Wingdings" w:hAnsi="Wingdings" w:cs="Wingdings"/>
      <w:b/>
    </w:rPr>
  </w:style>
  <w:style w:type="character" w:styleId="WWCharLFO52LVL5" w:customStyle="1">
    <w:name w:val="WW_CharLFO52LVL5"/>
    <w:qFormat/>
    <w:rPr>
      <w:rFonts w:ascii="Wingdings" w:hAnsi="Wingdings" w:cs="Wingdings"/>
      <w:b/>
    </w:rPr>
  </w:style>
  <w:style w:type="character" w:styleId="WWCharLFO52LVL6" w:customStyle="1">
    <w:name w:val="WW_CharLFO52LVL6"/>
    <w:qFormat/>
    <w:rPr>
      <w:rFonts w:ascii="Wingdings" w:hAnsi="Wingdings" w:cs="Wingdings"/>
      <w:b/>
    </w:rPr>
  </w:style>
  <w:style w:type="character" w:styleId="WWCharLFO52LVL7" w:customStyle="1">
    <w:name w:val="WW_CharLFO52LVL7"/>
    <w:qFormat/>
    <w:rPr>
      <w:rFonts w:ascii="Wingdings" w:hAnsi="Wingdings" w:cs="Wingdings"/>
      <w:b/>
    </w:rPr>
  </w:style>
  <w:style w:type="character" w:styleId="WWCharLFO52LVL8" w:customStyle="1">
    <w:name w:val="WW_CharLFO52LVL8"/>
    <w:qFormat/>
    <w:rPr>
      <w:rFonts w:ascii="Wingdings" w:hAnsi="Wingdings" w:cs="Wingdings"/>
      <w:b/>
    </w:rPr>
  </w:style>
  <w:style w:type="character" w:styleId="WWCharLFO52LVL9" w:customStyle="1">
    <w:name w:val="WW_CharLFO52LVL9"/>
    <w:qFormat/>
    <w:rPr>
      <w:rFonts w:ascii="Wingdings" w:hAnsi="Wingdings" w:cs="Wingdings"/>
      <w:b/>
    </w:rPr>
  </w:style>
  <w:style w:type="character" w:styleId="WWCharLFO53LVL1" w:customStyle="1">
    <w:name w:val="WW_CharLFO53LVL1"/>
    <w:qFormat/>
    <w:rPr>
      <w:rFonts w:ascii="Wingdings" w:hAnsi="Wingdings" w:cs="Wingdings"/>
      <w:b/>
      <w:color w:val="000000"/>
    </w:rPr>
  </w:style>
  <w:style w:type="character" w:styleId="WWCharLFO53LVL2" w:customStyle="1">
    <w:name w:val="WW_CharLFO53LVL2"/>
    <w:qFormat/>
    <w:rPr>
      <w:rFonts w:ascii="Wingdings" w:hAnsi="Wingdings" w:cs="Wingdings"/>
      <w:b/>
      <w:color w:val="000000"/>
    </w:rPr>
  </w:style>
  <w:style w:type="character" w:styleId="WWCharLFO53LVL3" w:customStyle="1">
    <w:name w:val="WW_CharLFO53LVL3"/>
    <w:qFormat/>
    <w:rPr>
      <w:rFonts w:ascii="Wingdings" w:hAnsi="Wingdings" w:cs="Wingdings"/>
      <w:b/>
      <w:color w:val="000000"/>
    </w:rPr>
  </w:style>
  <w:style w:type="character" w:styleId="WWCharLFO53LVL4" w:customStyle="1">
    <w:name w:val="WW_CharLFO53LVL4"/>
    <w:qFormat/>
    <w:rPr>
      <w:rFonts w:ascii="Wingdings" w:hAnsi="Wingdings" w:cs="Wingdings"/>
      <w:b/>
      <w:color w:val="000000"/>
    </w:rPr>
  </w:style>
  <w:style w:type="character" w:styleId="WWCharLFO53LVL5" w:customStyle="1">
    <w:name w:val="WW_CharLFO53LVL5"/>
    <w:qFormat/>
    <w:rPr>
      <w:rFonts w:ascii="Wingdings" w:hAnsi="Wingdings" w:cs="Wingdings"/>
      <w:b/>
      <w:color w:val="000000"/>
    </w:rPr>
  </w:style>
  <w:style w:type="character" w:styleId="WWCharLFO53LVL6" w:customStyle="1">
    <w:name w:val="WW_CharLFO53LVL6"/>
    <w:qFormat/>
    <w:rPr>
      <w:rFonts w:ascii="Wingdings" w:hAnsi="Wingdings" w:cs="Wingdings"/>
      <w:b/>
      <w:color w:val="000000"/>
    </w:rPr>
  </w:style>
  <w:style w:type="character" w:styleId="WWCharLFO53LVL7" w:customStyle="1">
    <w:name w:val="WW_CharLFO53LVL7"/>
    <w:qFormat/>
    <w:rPr>
      <w:rFonts w:ascii="Wingdings" w:hAnsi="Wingdings" w:cs="Wingdings"/>
      <w:b/>
      <w:color w:val="000000"/>
    </w:rPr>
  </w:style>
  <w:style w:type="character" w:styleId="WWCharLFO53LVL8" w:customStyle="1">
    <w:name w:val="WW_CharLFO53LVL8"/>
    <w:qFormat/>
    <w:rPr>
      <w:rFonts w:ascii="Wingdings" w:hAnsi="Wingdings" w:cs="Wingdings"/>
      <w:b/>
      <w:color w:val="000000"/>
    </w:rPr>
  </w:style>
  <w:style w:type="character" w:styleId="WWCharLFO53LVL9" w:customStyle="1">
    <w:name w:val="WW_CharLFO53LVL9"/>
    <w:qFormat/>
    <w:rPr>
      <w:rFonts w:ascii="Wingdings" w:hAnsi="Wingdings" w:cs="Wingdings"/>
      <w:b/>
      <w:color w:val="000000"/>
    </w:rPr>
  </w:style>
  <w:style w:type="character" w:styleId="WWCharLFO54LVL1" w:customStyle="1">
    <w:name w:val="WW_CharLFO54LVL1"/>
    <w:qFormat/>
    <w:rPr>
      <w:rFonts w:ascii="Wingdings" w:hAnsi="Wingdings" w:cs="Wingdings"/>
      <w:b/>
      <w:color w:val="000000"/>
    </w:rPr>
  </w:style>
  <w:style w:type="character" w:styleId="WWCharLFO54LVL2" w:customStyle="1">
    <w:name w:val="WW_CharLFO54LVL2"/>
    <w:qFormat/>
    <w:rPr>
      <w:rFonts w:ascii="Wingdings" w:hAnsi="Wingdings" w:cs="Wingdings"/>
      <w:b/>
      <w:color w:val="000000"/>
    </w:rPr>
  </w:style>
  <w:style w:type="character" w:styleId="WWCharLFO54LVL3" w:customStyle="1">
    <w:name w:val="WW_CharLFO54LVL3"/>
    <w:qFormat/>
    <w:rPr>
      <w:rFonts w:ascii="Wingdings" w:hAnsi="Wingdings" w:cs="Wingdings"/>
      <w:b/>
      <w:color w:val="000000"/>
    </w:rPr>
  </w:style>
  <w:style w:type="character" w:styleId="WWCharLFO54LVL4" w:customStyle="1">
    <w:name w:val="WW_CharLFO54LVL4"/>
    <w:qFormat/>
    <w:rPr>
      <w:rFonts w:ascii="Wingdings" w:hAnsi="Wingdings" w:cs="Wingdings"/>
      <w:b/>
      <w:color w:val="000000"/>
    </w:rPr>
  </w:style>
  <w:style w:type="character" w:styleId="WWCharLFO54LVL5" w:customStyle="1">
    <w:name w:val="WW_CharLFO54LVL5"/>
    <w:qFormat/>
    <w:rPr>
      <w:rFonts w:ascii="Wingdings" w:hAnsi="Wingdings" w:cs="Wingdings"/>
      <w:b/>
      <w:color w:val="000000"/>
    </w:rPr>
  </w:style>
  <w:style w:type="character" w:styleId="WWCharLFO54LVL6" w:customStyle="1">
    <w:name w:val="WW_CharLFO54LVL6"/>
    <w:qFormat/>
    <w:rPr>
      <w:rFonts w:ascii="Wingdings" w:hAnsi="Wingdings" w:cs="Wingdings"/>
      <w:b/>
      <w:color w:val="000000"/>
    </w:rPr>
  </w:style>
  <w:style w:type="character" w:styleId="WWCharLFO54LVL7" w:customStyle="1">
    <w:name w:val="WW_CharLFO54LVL7"/>
    <w:qFormat/>
    <w:rPr>
      <w:rFonts w:ascii="Wingdings" w:hAnsi="Wingdings" w:cs="Wingdings"/>
      <w:b/>
      <w:color w:val="000000"/>
    </w:rPr>
  </w:style>
  <w:style w:type="character" w:styleId="WWCharLFO54LVL8" w:customStyle="1">
    <w:name w:val="WW_CharLFO54LVL8"/>
    <w:qFormat/>
    <w:rPr>
      <w:rFonts w:ascii="Wingdings" w:hAnsi="Wingdings" w:cs="Wingdings"/>
      <w:b/>
      <w:color w:val="000000"/>
    </w:rPr>
  </w:style>
  <w:style w:type="character" w:styleId="WWCharLFO54LVL9" w:customStyle="1">
    <w:name w:val="WW_CharLFO54LVL9"/>
    <w:qFormat/>
    <w:rPr>
      <w:rFonts w:ascii="Wingdings" w:hAnsi="Wingdings" w:cs="Wingdings"/>
      <w:b/>
      <w:color w:val="000000"/>
    </w:rPr>
  </w:style>
  <w:style w:type="character" w:styleId="WWCharLFO55LVL1" w:customStyle="1">
    <w:name w:val="WW_CharLFO55LVL1"/>
    <w:qFormat/>
    <w:rPr>
      <w:rFonts w:ascii="Wingdings" w:hAnsi="Wingdings" w:cs="OpenSymbol;Arial Unicode MS"/>
      <w:b w:val="false"/>
      <w:bCs w:val="false"/>
    </w:rPr>
  </w:style>
  <w:style w:type="character" w:styleId="WWCharLFO55LVL2" w:customStyle="1">
    <w:name w:val="WW_CharLFO55LVL2"/>
    <w:qFormat/>
    <w:rPr>
      <w:rFonts w:ascii="Wingdings" w:hAnsi="Wingdings" w:cs="OpenSymbol;Arial Unicode MS"/>
      <w:b w:val="false"/>
      <w:bCs w:val="false"/>
    </w:rPr>
  </w:style>
  <w:style w:type="character" w:styleId="WWCharLFO55LVL3" w:customStyle="1">
    <w:name w:val="WW_CharLFO55LVL3"/>
    <w:qFormat/>
    <w:rPr>
      <w:rFonts w:ascii="Wingdings" w:hAnsi="Wingdings" w:cs="OpenSymbol;Arial Unicode MS"/>
      <w:b w:val="false"/>
      <w:bCs w:val="false"/>
    </w:rPr>
  </w:style>
  <w:style w:type="character" w:styleId="WWCharLFO55LVL4" w:customStyle="1">
    <w:name w:val="WW_CharLFO55LVL4"/>
    <w:qFormat/>
    <w:rPr>
      <w:rFonts w:ascii="Wingdings" w:hAnsi="Wingdings" w:cs="OpenSymbol;Arial Unicode MS"/>
      <w:b w:val="false"/>
      <w:bCs w:val="false"/>
    </w:rPr>
  </w:style>
  <w:style w:type="character" w:styleId="WWCharLFO55LVL5" w:customStyle="1">
    <w:name w:val="WW_CharLFO55LVL5"/>
    <w:qFormat/>
    <w:rPr>
      <w:rFonts w:ascii="Wingdings" w:hAnsi="Wingdings" w:cs="OpenSymbol;Arial Unicode MS"/>
      <w:b w:val="false"/>
      <w:bCs w:val="false"/>
    </w:rPr>
  </w:style>
  <w:style w:type="character" w:styleId="WWCharLFO55LVL6" w:customStyle="1">
    <w:name w:val="WW_CharLFO55LVL6"/>
    <w:qFormat/>
    <w:rPr>
      <w:rFonts w:ascii="Wingdings" w:hAnsi="Wingdings" w:cs="OpenSymbol;Arial Unicode MS"/>
      <w:b w:val="false"/>
      <w:bCs w:val="false"/>
    </w:rPr>
  </w:style>
  <w:style w:type="character" w:styleId="WWCharLFO55LVL7" w:customStyle="1">
    <w:name w:val="WW_CharLFO55LVL7"/>
    <w:qFormat/>
    <w:rPr>
      <w:rFonts w:ascii="Wingdings" w:hAnsi="Wingdings" w:cs="OpenSymbol;Arial Unicode MS"/>
      <w:b w:val="false"/>
      <w:bCs w:val="false"/>
    </w:rPr>
  </w:style>
  <w:style w:type="character" w:styleId="WWCharLFO55LVL8" w:customStyle="1">
    <w:name w:val="WW_CharLFO55LVL8"/>
    <w:qFormat/>
    <w:rPr>
      <w:rFonts w:ascii="Wingdings" w:hAnsi="Wingdings" w:cs="OpenSymbol;Arial Unicode MS"/>
      <w:b w:val="false"/>
      <w:bCs w:val="false"/>
    </w:rPr>
  </w:style>
  <w:style w:type="character" w:styleId="WWCharLFO55LVL9" w:customStyle="1">
    <w:name w:val="WW_CharLFO55LVL9"/>
    <w:qFormat/>
    <w:rPr>
      <w:rFonts w:ascii="Wingdings" w:hAnsi="Wingdings" w:cs="OpenSymbol;Arial Unicode MS"/>
      <w:b w:val="false"/>
      <w:bCs w:val="false"/>
    </w:rPr>
  </w:style>
  <w:style w:type="character" w:styleId="WWCharLFO56LVL1" w:customStyle="1">
    <w:name w:val="WW_CharLFO56LVL1"/>
    <w:qFormat/>
    <w:rPr>
      <w:rFonts w:ascii="Wingdings" w:hAnsi="Wingdings" w:cs="OpenSymbol;Arial Unicode MS"/>
      <w:b w:val="false"/>
      <w:bCs w:val="false"/>
    </w:rPr>
  </w:style>
  <w:style w:type="character" w:styleId="WWCharLFO56LVL2" w:customStyle="1">
    <w:name w:val="WW_CharLFO56LVL2"/>
    <w:qFormat/>
    <w:rPr>
      <w:rFonts w:ascii="Courier New" w:hAnsi="Courier New" w:cs="OpenSymbol;Arial Unicode MS"/>
    </w:rPr>
  </w:style>
  <w:style w:type="character" w:styleId="WWCharLFO56LVL3" w:customStyle="1">
    <w:name w:val="WW_CharLFO56LVL3"/>
    <w:qFormat/>
    <w:rPr>
      <w:rFonts w:ascii="Wingdings" w:hAnsi="Wingdings" w:cs="OpenSymbol;Arial Unicode MS"/>
    </w:rPr>
  </w:style>
  <w:style w:type="character" w:styleId="WWCharLFO56LVL4" w:customStyle="1">
    <w:name w:val="WW_CharLFO56LVL4"/>
    <w:qFormat/>
    <w:rPr>
      <w:rFonts w:ascii="Symbol" w:hAnsi="Symbol" w:cs="OpenSymbol;Arial Unicode MS"/>
    </w:rPr>
  </w:style>
  <w:style w:type="character" w:styleId="WWCharLFO56LVL5" w:customStyle="1">
    <w:name w:val="WW_CharLFO56LVL5"/>
    <w:qFormat/>
    <w:rPr>
      <w:rFonts w:ascii="Courier New" w:hAnsi="Courier New" w:cs="OpenSymbol;Arial Unicode MS"/>
    </w:rPr>
  </w:style>
  <w:style w:type="character" w:styleId="WWCharLFO56LVL6" w:customStyle="1">
    <w:name w:val="WW_CharLFO56LVL6"/>
    <w:qFormat/>
    <w:rPr>
      <w:rFonts w:ascii="Wingdings" w:hAnsi="Wingdings" w:cs="OpenSymbol;Arial Unicode MS"/>
    </w:rPr>
  </w:style>
  <w:style w:type="character" w:styleId="WWCharLFO56LVL7" w:customStyle="1">
    <w:name w:val="WW_CharLFO56LVL7"/>
    <w:qFormat/>
    <w:rPr>
      <w:rFonts w:ascii="Symbol" w:hAnsi="Symbol" w:cs="OpenSymbol;Arial Unicode MS"/>
    </w:rPr>
  </w:style>
  <w:style w:type="character" w:styleId="WWCharLFO56LVL8" w:customStyle="1">
    <w:name w:val="WW_CharLFO56LVL8"/>
    <w:qFormat/>
    <w:rPr>
      <w:rFonts w:ascii="Courier New" w:hAnsi="Courier New" w:cs="OpenSymbol;Arial Unicode MS"/>
    </w:rPr>
  </w:style>
  <w:style w:type="character" w:styleId="WWCharLFO56LVL9" w:customStyle="1">
    <w:name w:val="WW_CharLFO56LVL9"/>
    <w:qFormat/>
    <w:rPr>
      <w:rFonts w:ascii="Wingdings" w:hAnsi="Wingdings" w:cs="OpenSymbol;Arial Unicode MS"/>
    </w:rPr>
  </w:style>
  <w:style w:type="character" w:styleId="WWCharLFO57LVL1" w:customStyle="1">
    <w:name w:val="WW_CharLFO57LVL1"/>
    <w:qFormat/>
    <w:rPr>
      <w:rFonts w:ascii="Wingdings" w:hAnsi="Wingdings" w:cs="OpenSymbol;Arial Unicode MS"/>
      <w:b w:val="false"/>
      <w:bCs w:val="false"/>
    </w:rPr>
  </w:style>
  <w:style w:type="character" w:styleId="WWCharLFO57LVL2" w:customStyle="1">
    <w:name w:val="WW_CharLFO57LVL2"/>
    <w:qFormat/>
    <w:rPr>
      <w:rFonts w:ascii="OpenSymbol;Arial Unicode MS" w:hAnsi="OpenSymbol;Arial Unicode MS" w:cs="OpenSymbol;Arial Unicode MS"/>
    </w:rPr>
  </w:style>
  <w:style w:type="character" w:styleId="WWCharLFO57LVL3" w:customStyle="1">
    <w:name w:val="WW_CharLFO57LVL3"/>
    <w:qFormat/>
    <w:rPr>
      <w:rFonts w:ascii="OpenSymbol;Arial Unicode MS" w:hAnsi="OpenSymbol;Arial Unicode MS" w:cs="OpenSymbol;Arial Unicode MS"/>
    </w:rPr>
  </w:style>
  <w:style w:type="character" w:styleId="WWCharLFO57LVL4" w:customStyle="1">
    <w:name w:val="WW_CharLFO57LVL4"/>
    <w:qFormat/>
    <w:rPr>
      <w:rFonts w:ascii="Symbol" w:hAnsi="Symbol" w:cs="OpenSymbol;Arial Unicode MS"/>
    </w:rPr>
  </w:style>
  <w:style w:type="character" w:styleId="WWCharLFO57LVL5" w:customStyle="1">
    <w:name w:val="WW_CharLFO57LVL5"/>
    <w:qFormat/>
    <w:rPr>
      <w:rFonts w:ascii="OpenSymbol;Arial Unicode MS" w:hAnsi="OpenSymbol;Arial Unicode MS" w:cs="OpenSymbol;Arial Unicode MS"/>
    </w:rPr>
  </w:style>
  <w:style w:type="character" w:styleId="WWCharLFO57LVL6" w:customStyle="1">
    <w:name w:val="WW_CharLFO57LVL6"/>
    <w:qFormat/>
    <w:rPr>
      <w:rFonts w:ascii="OpenSymbol;Arial Unicode MS" w:hAnsi="OpenSymbol;Arial Unicode MS" w:cs="OpenSymbol;Arial Unicode MS"/>
    </w:rPr>
  </w:style>
  <w:style w:type="character" w:styleId="WWCharLFO57LVL7" w:customStyle="1">
    <w:name w:val="WW_CharLFO57LVL7"/>
    <w:qFormat/>
    <w:rPr>
      <w:rFonts w:ascii="Symbol" w:hAnsi="Symbol" w:cs="OpenSymbol;Arial Unicode MS"/>
    </w:rPr>
  </w:style>
  <w:style w:type="character" w:styleId="WWCharLFO57LVL8" w:customStyle="1">
    <w:name w:val="WW_CharLFO57LVL8"/>
    <w:qFormat/>
    <w:rPr>
      <w:rFonts w:ascii="OpenSymbol;Arial Unicode MS" w:hAnsi="OpenSymbol;Arial Unicode MS" w:cs="OpenSymbol;Arial Unicode MS"/>
    </w:rPr>
  </w:style>
  <w:style w:type="character" w:styleId="WWCharLFO57LVL9" w:customStyle="1">
    <w:name w:val="WW_CharLFO57LVL9"/>
    <w:qFormat/>
    <w:rPr>
      <w:rFonts w:ascii="OpenSymbol;Arial Unicode MS" w:hAnsi="OpenSymbol;Arial Unicode MS" w:cs="OpenSymbol;Arial Unicode MS"/>
    </w:rPr>
  </w:style>
  <w:style w:type="character" w:styleId="WWCharLFO58LVL1" w:customStyle="1">
    <w:name w:val="WW_CharLFO58LVL1"/>
    <w:qFormat/>
    <w:rPr>
      <w:rFonts w:ascii="Wingdings" w:hAnsi="Wingdings" w:cs="Wingdings"/>
    </w:rPr>
  </w:style>
  <w:style w:type="character" w:styleId="WWCharLFO58LVL2" w:customStyle="1">
    <w:name w:val="WW_CharLFO58LVL2"/>
    <w:qFormat/>
    <w:rPr>
      <w:rFonts w:ascii="Wingdings" w:hAnsi="Wingdings" w:cs="Wingdings"/>
    </w:rPr>
  </w:style>
  <w:style w:type="character" w:styleId="WWCharLFO58LVL3" w:customStyle="1">
    <w:name w:val="WW_CharLFO58LVL3"/>
    <w:qFormat/>
    <w:rPr>
      <w:rFonts w:ascii="Wingdings" w:hAnsi="Wingdings" w:cs="Wingdings"/>
    </w:rPr>
  </w:style>
  <w:style w:type="character" w:styleId="WWCharLFO58LVL4" w:customStyle="1">
    <w:name w:val="WW_CharLFO58LVL4"/>
    <w:qFormat/>
    <w:rPr>
      <w:rFonts w:ascii="Wingdings" w:hAnsi="Wingdings" w:cs="Wingdings"/>
    </w:rPr>
  </w:style>
  <w:style w:type="character" w:styleId="WWCharLFO58LVL5" w:customStyle="1">
    <w:name w:val="WW_CharLFO58LVL5"/>
    <w:qFormat/>
    <w:rPr>
      <w:rFonts w:ascii="Wingdings" w:hAnsi="Wingdings" w:cs="Wingdings"/>
    </w:rPr>
  </w:style>
  <w:style w:type="character" w:styleId="WWCharLFO58LVL6" w:customStyle="1">
    <w:name w:val="WW_CharLFO58LVL6"/>
    <w:qFormat/>
    <w:rPr>
      <w:rFonts w:ascii="Wingdings" w:hAnsi="Wingdings" w:cs="Wingdings"/>
    </w:rPr>
  </w:style>
  <w:style w:type="character" w:styleId="WWCharLFO58LVL7" w:customStyle="1">
    <w:name w:val="WW_CharLFO58LVL7"/>
    <w:qFormat/>
    <w:rPr>
      <w:rFonts w:ascii="Wingdings" w:hAnsi="Wingdings" w:cs="Wingdings"/>
    </w:rPr>
  </w:style>
  <w:style w:type="character" w:styleId="WWCharLFO58LVL8" w:customStyle="1">
    <w:name w:val="WW_CharLFO58LVL8"/>
    <w:qFormat/>
    <w:rPr>
      <w:rFonts w:ascii="Wingdings" w:hAnsi="Wingdings" w:cs="Wingdings"/>
    </w:rPr>
  </w:style>
  <w:style w:type="character" w:styleId="WWCharLFO58LVL9" w:customStyle="1">
    <w:name w:val="WW_CharLFO58LVL9"/>
    <w:qFormat/>
    <w:rPr>
      <w:rFonts w:ascii="Wingdings" w:hAnsi="Wingdings" w:cs="Wingdings"/>
    </w:rPr>
  </w:style>
  <w:style w:type="character" w:styleId="WWCharLFO59LVL1" w:customStyle="1">
    <w:name w:val="WW_CharLFO59LVL1"/>
    <w:qFormat/>
    <w:rPr>
      <w:rFonts w:ascii="Wingdings" w:hAnsi="Wingdings" w:cs="Wingdings"/>
    </w:rPr>
  </w:style>
  <w:style w:type="character" w:styleId="WWCharLFO59LVL2" w:customStyle="1">
    <w:name w:val="WW_CharLFO59LVL2"/>
    <w:qFormat/>
    <w:rPr>
      <w:rFonts w:ascii="Wingdings" w:hAnsi="Wingdings" w:cs="Wingdings"/>
    </w:rPr>
  </w:style>
  <w:style w:type="character" w:styleId="WWCharLFO59LVL3" w:customStyle="1">
    <w:name w:val="WW_CharLFO59LVL3"/>
    <w:qFormat/>
    <w:rPr>
      <w:rFonts w:ascii="Wingdings" w:hAnsi="Wingdings" w:cs="Wingdings"/>
    </w:rPr>
  </w:style>
  <w:style w:type="character" w:styleId="WWCharLFO59LVL4" w:customStyle="1">
    <w:name w:val="WW_CharLFO59LVL4"/>
    <w:qFormat/>
    <w:rPr>
      <w:rFonts w:ascii="Wingdings" w:hAnsi="Wingdings" w:cs="Wingdings"/>
    </w:rPr>
  </w:style>
  <w:style w:type="character" w:styleId="WWCharLFO59LVL5" w:customStyle="1">
    <w:name w:val="WW_CharLFO59LVL5"/>
    <w:qFormat/>
    <w:rPr>
      <w:rFonts w:ascii="Wingdings" w:hAnsi="Wingdings" w:cs="Wingdings"/>
    </w:rPr>
  </w:style>
  <w:style w:type="character" w:styleId="WWCharLFO59LVL6" w:customStyle="1">
    <w:name w:val="WW_CharLFO59LVL6"/>
    <w:qFormat/>
    <w:rPr>
      <w:rFonts w:ascii="Wingdings" w:hAnsi="Wingdings" w:cs="Wingdings"/>
    </w:rPr>
  </w:style>
  <w:style w:type="character" w:styleId="WWCharLFO59LVL7" w:customStyle="1">
    <w:name w:val="WW_CharLFO59LVL7"/>
    <w:qFormat/>
    <w:rPr>
      <w:rFonts w:ascii="Wingdings" w:hAnsi="Wingdings" w:cs="Wingdings"/>
    </w:rPr>
  </w:style>
  <w:style w:type="character" w:styleId="WWCharLFO59LVL8" w:customStyle="1">
    <w:name w:val="WW_CharLFO59LVL8"/>
    <w:qFormat/>
    <w:rPr>
      <w:rFonts w:ascii="Wingdings" w:hAnsi="Wingdings" w:cs="Wingdings"/>
    </w:rPr>
  </w:style>
  <w:style w:type="character" w:styleId="WWCharLFO59LVL9" w:customStyle="1">
    <w:name w:val="WW_CharLFO59LVL9"/>
    <w:qFormat/>
    <w:rPr>
      <w:rFonts w:ascii="Wingdings" w:hAnsi="Wingdings" w:cs="Wingdings"/>
    </w:rPr>
  </w:style>
  <w:style w:type="character" w:styleId="WWCharLFO60LVL1" w:customStyle="1">
    <w:name w:val="WW_CharLFO60LVL1"/>
    <w:qFormat/>
    <w:rPr>
      <w:rFonts w:ascii="Wingdings" w:hAnsi="Wingdings" w:cs="OpenSymbol;Arial Unicode MS"/>
      <w:b w:val="false"/>
      <w:bCs w:val="false"/>
    </w:rPr>
  </w:style>
  <w:style w:type="character" w:styleId="WWCharLFO60LVL2" w:customStyle="1">
    <w:name w:val="WW_CharLFO60LVL2"/>
    <w:qFormat/>
    <w:rPr>
      <w:rFonts w:ascii="Wingdings" w:hAnsi="Wingdings" w:cs="OpenSymbol;Arial Unicode MS"/>
      <w:b w:val="false"/>
      <w:bCs w:val="false"/>
    </w:rPr>
  </w:style>
  <w:style w:type="character" w:styleId="WWCharLFO60LVL3" w:customStyle="1">
    <w:name w:val="WW_CharLFO60LVL3"/>
    <w:qFormat/>
    <w:rPr>
      <w:rFonts w:ascii="Wingdings" w:hAnsi="Wingdings" w:cs="OpenSymbol;Arial Unicode MS"/>
      <w:b w:val="false"/>
      <w:bCs w:val="false"/>
    </w:rPr>
  </w:style>
  <w:style w:type="character" w:styleId="WWCharLFO60LVL4" w:customStyle="1">
    <w:name w:val="WW_CharLFO60LVL4"/>
    <w:qFormat/>
    <w:rPr>
      <w:rFonts w:ascii="Wingdings" w:hAnsi="Wingdings" w:cs="OpenSymbol;Arial Unicode MS"/>
      <w:b w:val="false"/>
      <w:bCs w:val="false"/>
    </w:rPr>
  </w:style>
  <w:style w:type="character" w:styleId="WWCharLFO60LVL5" w:customStyle="1">
    <w:name w:val="WW_CharLFO60LVL5"/>
    <w:qFormat/>
    <w:rPr>
      <w:rFonts w:ascii="Wingdings" w:hAnsi="Wingdings" w:cs="OpenSymbol;Arial Unicode MS"/>
      <w:b w:val="false"/>
      <w:bCs w:val="false"/>
    </w:rPr>
  </w:style>
  <w:style w:type="character" w:styleId="WWCharLFO60LVL6" w:customStyle="1">
    <w:name w:val="WW_CharLFO60LVL6"/>
    <w:qFormat/>
    <w:rPr>
      <w:rFonts w:ascii="Wingdings" w:hAnsi="Wingdings" w:cs="OpenSymbol;Arial Unicode MS"/>
      <w:b w:val="false"/>
      <w:bCs w:val="false"/>
    </w:rPr>
  </w:style>
  <w:style w:type="character" w:styleId="WWCharLFO60LVL7" w:customStyle="1">
    <w:name w:val="WW_CharLFO60LVL7"/>
    <w:qFormat/>
    <w:rPr>
      <w:rFonts w:ascii="Wingdings" w:hAnsi="Wingdings" w:cs="OpenSymbol;Arial Unicode MS"/>
      <w:b w:val="false"/>
      <w:bCs w:val="false"/>
    </w:rPr>
  </w:style>
  <w:style w:type="character" w:styleId="WWCharLFO60LVL8" w:customStyle="1">
    <w:name w:val="WW_CharLFO60LVL8"/>
    <w:qFormat/>
    <w:rPr>
      <w:rFonts w:ascii="Wingdings" w:hAnsi="Wingdings" w:cs="OpenSymbol;Arial Unicode MS"/>
      <w:b w:val="false"/>
      <w:bCs w:val="false"/>
    </w:rPr>
  </w:style>
  <w:style w:type="character" w:styleId="WWCharLFO60LVL9" w:customStyle="1">
    <w:name w:val="WW_CharLFO60LVL9"/>
    <w:qFormat/>
    <w:rPr>
      <w:rFonts w:ascii="Wingdings" w:hAnsi="Wingdings" w:cs="OpenSymbol;Arial Unicode MS"/>
      <w:b w:val="false"/>
      <w:bCs w:val="false"/>
    </w:rPr>
  </w:style>
  <w:style w:type="character" w:styleId="WWCharLFO61LVL1" w:customStyle="1">
    <w:name w:val="WW_CharLFO61LVL1"/>
    <w:qFormat/>
    <w:rPr>
      <w:rFonts w:ascii="Wingdings" w:hAnsi="Wingdings" w:cs="OpenSymbol;Arial Unicode MS"/>
      <w:b w:val="false"/>
      <w:bCs w:val="false"/>
    </w:rPr>
  </w:style>
  <w:style w:type="character" w:styleId="WWCharLFO61LVL2" w:customStyle="1">
    <w:name w:val="WW_CharLFO61LVL2"/>
    <w:qFormat/>
    <w:rPr>
      <w:rFonts w:ascii="Wingdings" w:hAnsi="Wingdings" w:cs="OpenSymbol;Arial Unicode MS"/>
      <w:b w:val="false"/>
      <w:bCs w:val="false"/>
    </w:rPr>
  </w:style>
  <w:style w:type="character" w:styleId="WWCharLFO61LVL3" w:customStyle="1">
    <w:name w:val="WW_CharLFO61LVL3"/>
    <w:qFormat/>
    <w:rPr>
      <w:rFonts w:ascii="Wingdings" w:hAnsi="Wingdings" w:cs="OpenSymbol;Arial Unicode MS"/>
      <w:b w:val="false"/>
      <w:bCs w:val="false"/>
    </w:rPr>
  </w:style>
  <w:style w:type="character" w:styleId="WWCharLFO61LVL4" w:customStyle="1">
    <w:name w:val="WW_CharLFO61LVL4"/>
    <w:qFormat/>
    <w:rPr>
      <w:rFonts w:ascii="Wingdings" w:hAnsi="Wingdings" w:cs="OpenSymbol;Arial Unicode MS"/>
      <w:b w:val="false"/>
      <w:bCs w:val="false"/>
    </w:rPr>
  </w:style>
  <w:style w:type="character" w:styleId="WWCharLFO61LVL5" w:customStyle="1">
    <w:name w:val="WW_CharLFO61LVL5"/>
    <w:qFormat/>
    <w:rPr>
      <w:rFonts w:ascii="Wingdings" w:hAnsi="Wingdings" w:cs="OpenSymbol;Arial Unicode MS"/>
      <w:b w:val="false"/>
      <w:bCs w:val="false"/>
    </w:rPr>
  </w:style>
  <w:style w:type="character" w:styleId="WWCharLFO61LVL6" w:customStyle="1">
    <w:name w:val="WW_CharLFO61LVL6"/>
    <w:qFormat/>
    <w:rPr>
      <w:rFonts w:ascii="Wingdings" w:hAnsi="Wingdings" w:cs="OpenSymbol;Arial Unicode MS"/>
      <w:b w:val="false"/>
      <w:bCs w:val="false"/>
    </w:rPr>
  </w:style>
  <w:style w:type="character" w:styleId="WWCharLFO61LVL7" w:customStyle="1">
    <w:name w:val="WW_CharLFO61LVL7"/>
    <w:qFormat/>
    <w:rPr>
      <w:rFonts w:ascii="Wingdings" w:hAnsi="Wingdings" w:cs="OpenSymbol;Arial Unicode MS"/>
      <w:b w:val="false"/>
      <w:bCs w:val="false"/>
    </w:rPr>
  </w:style>
  <w:style w:type="character" w:styleId="WWCharLFO61LVL8" w:customStyle="1">
    <w:name w:val="WW_CharLFO61LVL8"/>
    <w:qFormat/>
    <w:rPr>
      <w:rFonts w:ascii="Wingdings" w:hAnsi="Wingdings" w:cs="OpenSymbol;Arial Unicode MS"/>
      <w:b w:val="false"/>
      <w:bCs w:val="false"/>
    </w:rPr>
  </w:style>
  <w:style w:type="character" w:styleId="WWCharLFO61LVL9" w:customStyle="1">
    <w:name w:val="WW_CharLFO61LVL9"/>
    <w:qFormat/>
    <w:rPr>
      <w:rFonts w:ascii="Wingdings" w:hAnsi="Wingdings" w:cs="OpenSymbol;Arial Unicode MS"/>
      <w:b w:val="false"/>
      <w:bCs w:val="false"/>
    </w:rPr>
  </w:style>
  <w:style w:type="character" w:styleId="WWCharLFO62LVL1" w:customStyle="1">
    <w:name w:val="WW_CharLFO62LVL1"/>
    <w:qFormat/>
    <w:rPr>
      <w:rFonts w:ascii="Wingdings" w:hAnsi="Wingdings" w:cs="OpenSymbol;Arial Unicode MS"/>
      <w:b w:val="false"/>
      <w:bCs w:val="false"/>
    </w:rPr>
  </w:style>
  <w:style w:type="character" w:styleId="WWCharLFO62LVL2" w:customStyle="1">
    <w:name w:val="WW_CharLFO62LVL2"/>
    <w:qFormat/>
    <w:rPr>
      <w:rFonts w:ascii="Wingdings" w:hAnsi="Wingdings" w:cs="OpenSymbol;Arial Unicode MS"/>
      <w:b w:val="false"/>
      <w:bCs w:val="false"/>
    </w:rPr>
  </w:style>
  <w:style w:type="character" w:styleId="WWCharLFO62LVL3" w:customStyle="1">
    <w:name w:val="WW_CharLFO62LVL3"/>
    <w:qFormat/>
    <w:rPr>
      <w:rFonts w:ascii="Wingdings" w:hAnsi="Wingdings" w:cs="OpenSymbol;Arial Unicode MS"/>
      <w:b w:val="false"/>
      <w:bCs w:val="false"/>
    </w:rPr>
  </w:style>
  <w:style w:type="character" w:styleId="WWCharLFO62LVL4" w:customStyle="1">
    <w:name w:val="WW_CharLFO62LVL4"/>
    <w:qFormat/>
    <w:rPr>
      <w:rFonts w:ascii="Wingdings" w:hAnsi="Wingdings" w:cs="OpenSymbol;Arial Unicode MS"/>
      <w:b w:val="false"/>
      <w:bCs w:val="false"/>
    </w:rPr>
  </w:style>
  <w:style w:type="character" w:styleId="WWCharLFO62LVL5" w:customStyle="1">
    <w:name w:val="WW_CharLFO62LVL5"/>
    <w:qFormat/>
    <w:rPr>
      <w:rFonts w:ascii="Wingdings" w:hAnsi="Wingdings" w:cs="OpenSymbol;Arial Unicode MS"/>
      <w:b w:val="false"/>
      <w:bCs w:val="false"/>
    </w:rPr>
  </w:style>
  <w:style w:type="character" w:styleId="WWCharLFO62LVL6" w:customStyle="1">
    <w:name w:val="WW_CharLFO62LVL6"/>
    <w:qFormat/>
    <w:rPr>
      <w:rFonts w:ascii="Wingdings" w:hAnsi="Wingdings" w:cs="OpenSymbol;Arial Unicode MS"/>
      <w:b w:val="false"/>
      <w:bCs w:val="false"/>
    </w:rPr>
  </w:style>
  <w:style w:type="character" w:styleId="WWCharLFO62LVL7" w:customStyle="1">
    <w:name w:val="WW_CharLFO62LVL7"/>
    <w:qFormat/>
    <w:rPr>
      <w:rFonts w:ascii="Wingdings" w:hAnsi="Wingdings" w:cs="OpenSymbol;Arial Unicode MS"/>
      <w:b w:val="false"/>
      <w:bCs w:val="false"/>
    </w:rPr>
  </w:style>
  <w:style w:type="character" w:styleId="WWCharLFO62LVL8" w:customStyle="1">
    <w:name w:val="WW_CharLFO62LVL8"/>
    <w:qFormat/>
    <w:rPr>
      <w:rFonts w:ascii="Wingdings" w:hAnsi="Wingdings" w:cs="OpenSymbol;Arial Unicode MS"/>
      <w:b w:val="false"/>
      <w:bCs w:val="false"/>
    </w:rPr>
  </w:style>
  <w:style w:type="character" w:styleId="WWCharLFO62LVL9" w:customStyle="1">
    <w:name w:val="WW_CharLFO62LVL9"/>
    <w:qFormat/>
    <w:rPr>
      <w:rFonts w:ascii="Wingdings" w:hAnsi="Wingdings" w:cs="OpenSymbol;Arial Unicode MS"/>
      <w:b w:val="false"/>
      <w:bCs w:val="false"/>
    </w:rPr>
  </w:style>
  <w:style w:type="character" w:styleId="WWCharLFO63LVL1" w:customStyle="1">
    <w:name w:val="WW_CharLFO63LVL1"/>
    <w:qFormat/>
    <w:rPr>
      <w:rFonts w:ascii="Times New Roman" w:hAnsi="Times New Roman" w:eastAsia="SimSun;宋体" w:cs="Times New Roman"/>
    </w:rPr>
  </w:style>
  <w:style w:type="character" w:styleId="WWCharLFO63LVL2" w:customStyle="1">
    <w:name w:val="WW_CharLFO63LVL2"/>
    <w:qFormat/>
    <w:rPr>
      <w:rFonts w:ascii="Symbol" w:hAnsi="Symbol" w:cs="Courier New"/>
    </w:rPr>
  </w:style>
  <w:style w:type="character" w:styleId="WWCharLFO63LVL3" w:customStyle="1">
    <w:name w:val="WW_CharLFO63LVL3"/>
    <w:qFormat/>
    <w:rPr>
      <w:rFonts w:ascii="Symbol" w:hAnsi="Symbol" w:cs="Times New Roman"/>
    </w:rPr>
  </w:style>
  <w:style w:type="character" w:styleId="WWCharLFO63LVL4" w:customStyle="1">
    <w:name w:val="WW_CharLFO63LVL4"/>
    <w:qFormat/>
    <w:rPr>
      <w:rFonts w:ascii="Symbol" w:hAnsi="Symbol" w:cs="Courier New"/>
    </w:rPr>
  </w:style>
  <w:style w:type="character" w:styleId="WWCharLFO63LVL5" w:customStyle="1">
    <w:name w:val="WW_CharLFO63LVL5"/>
    <w:qFormat/>
    <w:rPr>
      <w:rFonts w:ascii="Symbol" w:hAnsi="Symbol" w:cs="Wingdings"/>
      <w:b/>
    </w:rPr>
  </w:style>
  <w:style w:type="character" w:styleId="WWCharLFO63LVL6" w:customStyle="1">
    <w:name w:val="WW_CharLFO63LVL6"/>
    <w:qFormat/>
    <w:rPr>
      <w:rFonts w:ascii="Symbol" w:hAnsi="Symbol" w:cs="Symbol"/>
    </w:rPr>
  </w:style>
  <w:style w:type="character" w:styleId="WWCharLFO63LVL7" w:customStyle="1">
    <w:name w:val="WW_CharLFO63LVL7"/>
    <w:qFormat/>
    <w:rPr>
      <w:rFonts w:ascii="Symbol" w:hAnsi="Symbol" w:cs="OpenSymbol;Arial Unicode MS"/>
    </w:rPr>
  </w:style>
  <w:style w:type="character" w:styleId="WWCharLFO63LVL8" w:customStyle="1">
    <w:name w:val="WW_CharLFO63LVL8"/>
    <w:qFormat/>
    <w:rPr>
      <w:rFonts w:ascii="Symbol" w:hAnsi="Symbol" w:cs="Wingdings"/>
      <w:b/>
    </w:rPr>
  </w:style>
  <w:style w:type="character" w:styleId="WWCharLFO63LVL9" w:customStyle="1">
    <w:name w:val="WW_CharLFO63LVL9"/>
    <w:qFormat/>
    <w:rPr>
      <w:rFonts w:ascii="Symbol" w:hAnsi="Symbol" w:cs="OpenSymbol;Arial Unicode MS"/>
    </w:rPr>
  </w:style>
  <w:style w:type="character" w:styleId="WWCharLFO64LVL1" w:customStyle="1">
    <w:name w:val="WW_CharLFO64LVL1"/>
    <w:qFormat/>
    <w:rPr>
      <w:u w:val="none"/>
    </w:rPr>
  </w:style>
  <w:style w:type="character" w:styleId="WWCharLFO64LVL2" w:customStyle="1">
    <w:name w:val="WW_CharLFO64LVL2"/>
    <w:qFormat/>
    <w:rPr>
      <w:u w:val="none"/>
    </w:rPr>
  </w:style>
  <w:style w:type="character" w:styleId="WWCharLFO64LVL3" w:customStyle="1">
    <w:name w:val="WW_CharLFO64LVL3"/>
    <w:qFormat/>
    <w:rPr>
      <w:rFonts w:ascii="Symbol" w:hAnsi="Symbol" w:cs="Symbol"/>
      <w:u w:val="none"/>
    </w:rPr>
  </w:style>
  <w:style w:type="character" w:styleId="WWCharLFO64LVL4" w:customStyle="1">
    <w:name w:val="WW_CharLFO64LVL4"/>
    <w:qFormat/>
    <w:rPr>
      <w:rFonts w:ascii="Symbol" w:hAnsi="Symbol" w:cs="Symbol"/>
      <w:u w:val="none"/>
    </w:rPr>
  </w:style>
  <w:style w:type="character" w:styleId="WWCharLFO64LVL5" w:customStyle="1">
    <w:name w:val="WW_CharLFO64LVL5"/>
    <w:qFormat/>
    <w:rPr>
      <w:rFonts w:ascii="Symbol" w:hAnsi="Symbol" w:cs="Symbol"/>
      <w:u w:val="none"/>
    </w:rPr>
  </w:style>
  <w:style w:type="character" w:styleId="WWCharLFO64LVL6" w:customStyle="1">
    <w:name w:val="WW_CharLFO64LVL6"/>
    <w:qFormat/>
    <w:rPr>
      <w:rFonts w:ascii="Symbol" w:hAnsi="Symbol" w:cs="Symbol"/>
      <w:u w:val="none"/>
    </w:rPr>
  </w:style>
  <w:style w:type="character" w:styleId="WWCharLFO64LVL7" w:customStyle="1">
    <w:name w:val="WW_CharLFO64LVL7"/>
    <w:qFormat/>
    <w:rPr>
      <w:rFonts w:ascii="Symbol" w:hAnsi="Symbol" w:cs="Times New Roman"/>
      <w:sz w:val="22"/>
      <w:szCs w:val="22"/>
    </w:rPr>
  </w:style>
  <w:style w:type="character" w:styleId="WWCharLFO64LVL8" w:customStyle="1">
    <w:name w:val="WW_CharLFO64LVL8"/>
    <w:qFormat/>
    <w:rPr>
      <w:rFonts w:ascii="Symbol" w:hAnsi="Symbol" w:cs="Times New Roman"/>
      <w:sz w:val="20"/>
      <w:szCs w:val="20"/>
    </w:rPr>
  </w:style>
  <w:style w:type="character" w:styleId="WWCharLFO64LVL9" w:customStyle="1">
    <w:name w:val="WW_CharLFO64LVL9"/>
    <w:qFormat/>
    <w:rPr>
      <w:rFonts w:ascii="Symbol" w:hAnsi="Symbol" w:cs="Symbol"/>
      <w:lang w:val="pt-PT" w:eastAsia="pt-PT" w:bidi="pt-PT"/>
    </w:rPr>
  </w:style>
  <w:style w:type="character" w:styleId="WWCharLFO65LVL1" w:customStyle="1">
    <w:name w:val="WW_CharLFO65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5LVL2" w:customStyle="1">
    <w:name w:val="WW_CharLFO65LVL2"/>
    <w:qFormat/>
    <w:rPr>
      <w:rFonts w:ascii="Symbol" w:hAnsi="Symbol" w:cs="Symbol"/>
      <w:lang w:val="pt-PT" w:eastAsia="pt-PT" w:bidi="pt-PT"/>
    </w:rPr>
  </w:style>
  <w:style w:type="character" w:styleId="WWCharLFO65LVL3" w:customStyle="1">
    <w:name w:val="WW_CharLFO65LVL3"/>
    <w:qFormat/>
    <w:rPr>
      <w:rFonts w:ascii="Symbol" w:hAnsi="Symbol" w:cs="Symbol"/>
      <w:lang w:val="pt-PT" w:eastAsia="pt-PT" w:bidi="pt-PT"/>
    </w:rPr>
  </w:style>
  <w:style w:type="character" w:styleId="WWCharLFO65LVL4" w:customStyle="1">
    <w:name w:val="WW_CharLFO65LVL4"/>
    <w:qFormat/>
    <w:rPr>
      <w:rFonts w:ascii="Symbol" w:hAnsi="Symbol" w:cs="Symbol"/>
      <w:lang w:val="pt-PT" w:eastAsia="pt-PT" w:bidi="pt-PT"/>
    </w:rPr>
  </w:style>
  <w:style w:type="character" w:styleId="WWCharLFO65LVL5" w:customStyle="1">
    <w:name w:val="WW_CharLFO65LVL5"/>
    <w:qFormat/>
    <w:rPr>
      <w:rFonts w:ascii="Symbol" w:hAnsi="Symbol" w:cs="Symbol"/>
      <w:lang w:val="pt-PT" w:eastAsia="pt-PT" w:bidi="pt-PT"/>
    </w:rPr>
  </w:style>
  <w:style w:type="character" w:styleId="WWCharLFO65LVL6" w:customStyle="1">
    <w:name w:val="WW_CharLFO65LVL6"/>
    <w:qFormat/>
    <w:rPr>
      <w:rFonts w:ascii="Symbol" w:hAnsi="Symbol" w:cs="Symbol"/>
      <w:lang w:val="pt-PT" w:eastAsia="pt-PT" w:bidi="pt-PT"/>
    </w:rPr>
  </w:style>
  <w:style w:type="character" w:styleId="WWCharLFO65LVL7" w:customStyle="1">
    <w:name w:val="WW_CharLFO65LVL7"/>
    <w:qFormat/>
    <w:rPr>
      <w:rFonts w:ascii="Symbol" w:hAnsi="Symbol" w:cs="Times New Roman"/>
      <w:sz w:val="20"/>
      <w:u w:val="none"/>
    </w:rPr>
  </w:style>
  <w:style w:type="character" w:styleId="WWCharLFO65LVL8" w:customStyle="1">
    <w:name w:val="WW_CharLFO65LVL8"/>
    <w:qFormat/>
    <w:rPr>
      <w:rFonts w:ascii="Symbol" w:hAnsi="Symbol" w:cs="Symbol"/>
      <w:u w:val="none"/>
    </w:rPr>
  </w:style>
  <w:style w:type="character" w:styleId="WWCharLFO65LVL9" w:customStyle="1">
    <w:name w:val="WW_CharLFO65LVL9"/>
    <w:qFormat/>
    <w:rPr>
      <w:rFonts w:ascii="Symbol" w:hAnsi="Symbol" w:cs="Symbol"/>
      <w:u w:val="none"/>
    </w:rPr>
  </w:style>
  <w:style w:type="character" w:styleId="WWCharLFO66LVL1" w:customStyle="1">
    <w:name w:val="WW_CharLFO66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6LVL2" w:customStyle="1">
    <w:name w:val="WW_CharLFO66LVL2"/>
    <w:qFormat/>
    <w:rPr>
      <w:rFonts w:ascii="Symbol" w:hAnsi="Symbol" w:cs="Symbol"/>
      <w:lang w:val="pt-PT" w:eastAsia="pt-PT" w:bidi="pt-PT"/>
    </w:rPr>
  </w:style>
  <w:style w:type="character" w:styleId="WWCharLFO66LVL3" w:customStyle="1">
    <w:name w:val="WW_CharLFO66LVL3"/>
    <w:qFormat/>
    <w:rPr>
      <w:rFonts w:ascii="Symbol" w:hAnsi="Symbol" w:cs="Symbol"/>
      <w:lang w:val="pt-PT" w:eastAsia="pt-PT" w:bidi="pt-PT"/>
    </w:rPr>
  </w:style>
  <w:style w:type="character" w:styleId="WWCharLFO66LVL4" w:customStyle="1">
    <w:name w:val="WW_CharLFO66LVL4"/>
    <w:qFormat/>
    <w:rPr>
      <w:rFonts w:ascii="Symbol" w:hAnsi="Symbol" w:cs="Symbol"/>
      <w:lang w:val="pt-PT" w:eastAsia="pt-PT" w:bidi="pt-PT"/>
    </w:rPr>
  </w:style>
  <w:style w:type="character" w:styleId="WWCharLFO66LVL5" w:customStyle="1">
    <w:name w:val="WW_CharLFO66LVL5"/>
    <w:qFormat/>
    <w:rPr>
      <w:rFonts w:ascii="Symbol" w:hAnsi="Symbol" w:cs="Symbol"/>
      <w:lang w:val="pt-PT" w:eastAsia="pt-PT" w:bidi="pt-PT"/>
    </w:rPr>
  </w:style>
  <w:style w:type="character" w:styleId="WWCharLFO66LVL6" w:customStyle="1">
    <w:name w:val="WW_CharLFO66LVL6"/>
    <w:qFormat/>
    <w:rPr>
      <w:rFonts w:ascii="Symbol" w:hAnsi="Symbol" w:cs="Symbol"/>
      <w:lang w:val="pt-PT" w:eastAsia="pt-PT" w:bidi="pt-PT"/>
    </w:rPr>
  </w:style>
  <w:style w:type="character" w:styleId="WWCharLFO66LVL7" w:customStyle="1">
    <w:name w:val="WW_CharLFO66LVL7"/>
    <w:qFormat/>
    <w:rPr>
      <w:rFonts w:ascii="Symbol" w:hAnsi="Symbol" w:cs="Symbol"/>
      <w:lang w:val="pt-PT" w:eastAsia="pt-PT" w:bidi="pt-PT"/>
    </w:rPr>
  </w:style>
  <w:style w:type="character" w:styleId="WWCharLFO66LVL8" w:customStyle="1">
    <w:name w:val="WW_CharLFO66LVL8"/>
    <w:qFormat/>
    <w:rPr>
      <w:rFonts w:ascii="Symbol" w:hAnsi="Symbol" w:cs="Symbol"/>
      <w:lang w:val="pt-PT" w:eastAsia="pt-PT" w:bidi="pt-PT"/>
    </w:rPr>
  </w:style>
  <w:style w:type="character" w:styleId="WWCharLFO66LVL9" w:customStyle="1">
    <w:name w:val="WW_CharLFO66LVL9"/>
    <w:qFormat/>
    <w:rPr>
      <w:rFonts w:ascii="Symbol" w:hAnsi="Symbol" w:cs="Symbol"/>
      <w:lang w:val="pt-PT" w:eastAsia="pt-PT" w:bidi="pt-PT"/>
    </w:rPr>
  </w:style>
  <w:style w:type="character" w:styleId="WWCharLFO67LVL1" w:customStyle="1">
    <w:name w:val="WW_CharLFO67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7LVL2" w:customStyle="1">
    <w:name w:val="WW_CharLFO67LVL2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styleId="WWCharLFO67LVL3" w:customStyle="1">
    <w:name w:val="WW_CharLFO67LVL3"/>
    <w:qFormat/>
    <w:rPr>
      <w:rFonts w:ascii="Symbol" w:hAnsi="Symbol" w:cs="Symbol"/>
      <w:lang w:val="pt-PT" w:eastAsia="pt-PT" w:bidi="pt-PT"/>
    </w:rPr>
  </w:style>
  <w:style w:type="character" w:styleId="WWCharLFO67LVL4" w:customStyle="1">
    <w:name w:val="WW_CharLFO67LVL4"/>
    <w:qFormat/>
    <w:rPr>
      <w:rFonts w:ascii="Symbol" w:hAnsi="Symbol" w:cs="Symbol"/>
      <w:lang w:val="pt-PT" w:eastAsia="pt-PT" w:bidi="pt-PT"/>
    </w:rPr>
  </w:style>
  <w:style w:type="character" w:styleId="WWCharLFO67LVL5" w:customStyle="1">
    <w:name w:val="WW_CharLFO67LVL5"/>
    <w:qFormat/>
    <w:rPr>
      <w:rFonts w:ascii="Symbol" w:hAnsi="Symbol" w:cs="Symbol"/>
      <w:lang w:val="pt-PT" w:eastAsia="pt-PT" w:bidi="pt-PT"/>
    </w:rPr>
  </w:style>
  <w:style w:type="character" w:styleId="WWCharLFO67LVL6" w:customStyle="1">
    <w:name w:val="WW_CharLFO67LVL6"/>
    <w:qFormat/>
    <w:rPr>
      <w:rFonts w:ascii="Symbol" w:hAnsi="Symbol" w:cs="Symbol"/>
      <w:lang w:val="pt-PT" w:eastAsia="pt-PT" w:bidi="pt-PT"/>
    </w:rPr>
  </w:style>
  <w:style w:type="character" w:styleId="WWCharLFO67LVL7" w:customStyle="1">
    <w:name w:val="WW_CharLFO67LVL7"/>
    <w:qFormat/>
    <w:rPr>
      <w:rFonts w:ascii="Symbol" w:hAnsi="Symbol" w:cs="Symbol"/>
      <w:lang w:val="pt-PT" w:eastAsia="pt-PT" w:bidi="pt-PT"/>
    </w:rPr>
  </w:style>
  <w:style w:type="character" w:styleId="WWCharLFO67LVL8" w:customStyle="1">
    <w:name w:val="WW_CharLFO67LVL8"/>
    <w:qFormat/>
    <w:rPr>
      <w:rFonts w:ascii="Symbol" w:hAnsi="Symbol" w:cs="Symbol"/>
      <w:lang w:val="pt-PT" w:eastAsia="pt-PT" w:bidi="pt-PT"/>
    </w:rPr>
  </w:style>
  <w:style w:type="character" w:styleId="WWCharLFO67LVL9" w:customStyle="1">
    <w:name w:val="WW_CharLFO67LVL9"/>
    <w:qFormat/>
    <w:rPr>
      <w:rFonts w:ascii="Symbol" w:hAnsi="Symbol" w:cs="Symbol"/>
      <w:lang w:val="pt-PT" w:eastAsia="pt-PT" w:bidi="pt-PT"/>
    </w:rPr>
  </w:style>
  <w:style w:type="character" w:styleId="WWCharLFO68LVL1" w:customStyle="1">
    <w:name w:val="WW_CharLFO68LVL1"/>
    <w:qFormat/>
    <w:rPr>
      <w:rFonts w:ascii="Times New Roman" w:hAnsi="Times New Roman" w:cs="Wingdings"/>
      <w:b/>
    </w:rPr>
  </w:style>
  <w:style w:type="character" w:styleId="WWCharLFO68LVL2" w:customStyle="1">
    <w:name w:val="WW_CharLFO68LVL2"/>
    <w:qFormat/>
    <w:rPr>
      <w:rFonts w:ascii="Times New Roman" w:hAnsi="Times New Roman" w:cs="OpenSymbol;Arial Unicode MS"/>
    </w:rPr>
  </w:style>
  <w:style w:type="character" w:styleId="WWCharLFO68LVL3" w:customStyle="1">
    <w:name w:val="WW_CharLFO68LVL3"/>
    <w:qFormat/>
    <w:rPr>
      <w:rFonts w:ascii="Symbol" w:hAnsi="Symbol" w:cs="Symbol"/>
      <w:u w:val="none"/>
    </w:rPr>
  </w:style>
  <w:style w:type="character" w:styleId="WWCharLFO68LVL4" w:customStyle="1">
    <w:name w:val="WW_CharLFO68LVL4"/>
    <w:qFormat/>
    <w:rPr>
      <w:rFonts w:ascii="Symbol" w:hAnsi="Symbol" w:cs="Symbol"/>
      <w:u w:val="none"/>
    </w:rPr>
  </w:style>
  <w:style w:type="character" w:styleId="WWCharLFO68LVL5" w:customStyle="1">
    <w:name w:val="WW_CharLFO68LVL5"/>
    <w:qFormat/>
    <w:rPr>
      <w:rFonts w:ascii="Symbol" w:hAnsi="Symbol" w:cs="Symbol"/>
      <w:u w:val="none"/>
    </w:rPr>
  </w:style>
  <w:style w:type="character" w:styleId="WWCharLFO68LVL6" w:customStyle="1">
    <w:name w:val="WW_CharLFO68LVL6"/>
    <w:qFormat/>
    <w:rPr>
      <w:rFonts w:ascii="Symbol" w:hAnsi="Symbol" w:cs="Symbol"/>
      <w:u w:val="none"/>
    </w:rPr>
  </w:style>
  <w:style w:type="character" w:styleId="WWCharLFO68LVL7" w:customStyle="1">
    <w:name w:val="WW_CharLFO68LVL7"/>
    <w:qFormat/>
    <w:rPr>
      <w:rFonts w:ascii="Symbol" w:hAnsi="Symbol" w:cs="Symbol"/>
      <w:lang w:val="pt-PT" w:eastAsia="pt-PT" w:bidi="pt-PT"/>
    </w:rPr>
  </w:style>
  <w:style w:type="character" w:styleId="WWCharLFO68LVL8" w:customStyle="1">
    <w:name w:val="WW_CharLFO68LVL8"/>
    <w:qFormat/>
    <w:rPr>
      <w:rFonts w:ascii="Symbol" w:hAnsi="Symbol" w:cs="Symbol"/>
      <w:lang w:val="pt-PT" w:eastAsia="pt-PT" w:bidi="pt-PT"/>
    </w:rPr>
  </w:style>
  <w:style w:type="character" w:styleId="WWCharLFO68LVL9" w:customStyle="1">
    <w:name w:val="WW_CharLFO68LVL9"/>
    <w:qFormat/>
    <w:rPr>
      <w:rFonts w:ascii="Symbol" w:hAnsi="Symbol" w:cs="Symbol"/>
      <w:lang w:val="pt-PT" w:eastAsia="pt-PT" w:bidi="pt-PT"/>
    </w:rPr>
  </w:style>
  <w:style w:type="character" w:styleId="WWCharLFO69LVL1" w:customStyle="1">
    <w:name w:val="WW_CharLFO69LVL1"/>
    <w:qFormat/>
    <w:rPr>
      <w:rFonts w:ascii="Times New Roman" w:hAnsi="Times New Roman" w:eastAsia="SimSun;宋体" w:cs="Times New Roman"/>
    </w:rPr>
  </w:style>
  <w:style w:type="character" w:styleId="WWCharLFO69LVL2" w:customStyle="1">
    <w:name w:val="WW_CharLFO69LVL2"/>
    <w:qFormat/>
    <w:rPr>
      <w:rFonts w:ascii="Symbol" w:hAnsi="Symbol" w:cs="Courier New"/>
    </w:rPr>
  </w:style>
  <w:style w:type="character" w:styleId="WWCharLFO69LVL3" w:customStyle="1">
    <w:name w:val="WW_CharLFO69LVL3"/>
    <w:qFormat/>
    <w:rPr>
      <w:rFonts w:ascii="Symbol" w:hAnsi="Symbol" w:cs="Times New Roman"/>
    </w:rPr>
  </w:style>
  <w:style w:type="character" w:styleId="WWCharLFO69LVL4" w:customStyle="1">
    <w:name w:val="WW_CharLFO69LVL4"/>
    <w:qFormat/>
    <w:rPr>
      <w:rFonts w:ascii="Symbol" w:hAnsi="Symbol" w:cs="Courier New"/>
    </w:rPr>
  </w:style>
  <w:style w:type="character" w:styleId="WWCharLFO69LVL5" w:customStyle="1">
    <w:name w:val="WW_CharLFO69LVL5"/>
    <w:qFormat/>
    <w:rPr>
      <w:rFonts w:ascii="Symbol" w:hAnsi="Symbol" w:cs="Wingdings"/>
      <w:b/>
    </w:rPr>
  </w:style>
  <w:style w:type="character" w:styleId="WWCharLFO69LVL6" w:customStyle="1">
    <w:name w:val="WW_CharLFO69LVL6"/>
    <w:qFormat/>
    <w:rPr>
      <w:rFonts w:ascii="Symbol" w:hAnsi="Symbol" w:cs="Symbol"/>
    </w:rPr>
  </w:style>
  <w:style w:type="character" w:styleId="WWCharLFO69LVL7" w:customStyle="1">
    <w:name w:val="WW_CharLFO69LVL7"/>
    <w:qFormat/>
    <w:rPr>
      <w:rFonts w:ascii="Symbol" w:hAnsi="Symbol" w:cs="OpenSymbol;Arial Unicode MS"/>
    </w:rPr>
  </w:style>
  <w:style w:type="character" w:styleId="WWCharLFO69LVL8" w:customStyle="1">
    <w:name w:val="WW_CharLFO69LVL8"/>
    <w:qFormat/>
    <w:rPr>
      <w:rFonts w:ascii="Symbol" w:hAnsi="Symbol" w:cs="Wingdings"/>
      <w:b/>
    </w:rPr>
  </w:style>
  <w:style w:type="character" w:styleId="WWCharLFO69LVL9" w:customStyle="1">
    <w:name w:val="WW_CharLFO69LVL9"/>
    <w:qFormat/>
    <w:rPr>
      <w:rFonts w:ascii="Symbol" w:hAnsi="Symbol" w:cs="OpenSymbol;Arial Unicode MS"/>
    </w:rPr>
  </w:style>
  <w:style w:type="character" w:styleId="WWCharLFO70LVL1" w:customStyle="1">
    <w:name w:val="WW_CharLFO70LVL1"/>
    <w:qFormat/>
    <w:rPr>
      <w:rFonts w:ascii="Symbol" w:hAnsi="Symbol" w:cs="Symbol"/>
      <w:sz w:val="20"/>
    </w:rPr>
  </w:style>
  <w:style w:type="character" w:styleId="WWCharLFO70LVL2" w:customStyle="1">
    <w:name w:val="WW_CharLFO70LVL2"/>
    <w:qFormat/>
    <w:rPr>
      <w:rFonts w:ascii="Courier New" w:hAnsi="Courier New" w:cs="Courier New"/>
      <w:sz w:val="20"/>
    </w:rPr>
  </w:style>
  <w:style w:type="character" w:styleId="WWCharLFO70LVL3" w:customStyle="1">
    <w:name w:val="WW_CharLFO70LVL3"/>
    <w:qFormat/>
    <w:rPr>
      <w:rFonts w:ascii="Wingdings" w:hAnsi="Wingdings" w:cs="Wingdings"/>
      <w:sz w:val="20"/>
    </w:rPr>
  </w:style>
  <w:style w:type="character" w:styleId="WWCharLFO70LVL4" w:customStyle="1">
    <w:name w:val="WW_CharLFO70LVL4"/>
    <w:qFormat/>
    <w:rPr>
      <w:rFonts w:ascii="Wingdings" w:hAnsi="Wingdings" w:cs="Wingdings"/>
      <w:sz w:val="20"/>
    </w:rPr>
  </w:style>
  <w:style w:type="character" w:styleId="WWCharLFO70LVL5" w:customStyle="1">
    <w:name w:val="WW_CharLFO70LVL5"/>
    <w:qFormat/>
    <w:rPr>
      <w:rFonts w:ascii="Wingdings" w:hAnsi="Wingdings" w:cs="Wingdings"/>
      <w:sz w:val="20"/>
    </w:rPr>
  </w:style>
  <w:style w:type="character" w:styleId="WWCharLFO70LVL6" w:customStyle="1">
    <w:name w:val="WW_CharLFO70LVL6"/>
    <w:qFormat/>
    <w:rPr>
      <w:rFonts w:ascii="Wingdings" w:hAnsi="Wingdings" w:cs="Wingdings"/>
      <w:sz w:val="20"/>
    </w:rPr>
  </w:style>
  <w:style w:type="character" w:styleId="WWCharLFO70LVL7" w:customStyle="1">
    <w:name w:val="WW_CharLFO70LVL7"/>
    <w:qFormat/>
    <w:rPr>
      <w:rFonts w:ascii="Wingdings" w:hAnsi="Wingdings" w:cs="Wingdings"/>
      <w:sz w:val="20"/>
    </w:rPr>
  </w:style>
  <w:style w:type="character" w:styleId="WWCharLFO70LVL8" w:customStyle="1">
    <w:name w:val="WW_CharLFO70LVL8"/>
    <w:qFormat/>
    <w:rPr>
      <w:rFonts w:ascii="Wingdings" w:hAnsi="Wingdings" w:cs="Wingdings"/>
      <w:sz w:val="20"/>
    </w:rPr>
  </w:style>
  <w:style w:type="character" w:styleId="WWCharLFO70LVL9" w:customStyle="1">
    <w:name w:val="WW_CharLFO70LVL9"/>
    <w:qFormat/>
    <w:rPr>
      <w:rFonts w:ascii="Wingdings" w:hAnsi="Wingdings" w:cs="Wingdings"/>
      <w:sz w:val="20"/>
    </w:rPr>
  </w:style>
  <w:style w:type="character" w:styleId="WWCharLFO71LVL1" w:customStyle="1">
    <w:name w:val="WW_CharLFO71LVL1"/>
    <w:qFormat/>
    <w:rPr>
      <w:color w:val="00000A"/>
    </w:rPr>
  </w:style>
  <w:style w:type="character" w:styleId="WWCharLFO71LVL2" w:customStyle="1">
    <w:name w:val="WW_CharLFO71LVL2"/>
    <w:qFormat/>
    <w:rPr>
      <w:color w:val="00000A"/>
    </w:rPr>
  </w:style>
  <w:style w:type="character" w:styleId="WWCharLFO71LVL3" w:customStyle="1">
    <w:name w:val="WW_CharLFO71LVL3"/>
    <w:qFormat/>
    <w:rPr>
      <w:color w:val="00000A"/>
    </w:rPr>
  </w:style>
  <w:style w:type="character" w:styleId="WWCharLFO71LVL4" w:customStyle="1">
    <w:name w:val="WW_CharLFO71LVL4"/>
    <w:qFormat/>
    <w:rPr>
      <w:color w:val="00000A"/>
    </w:rPr>
  </w:style>
  <w:style w:type="character" w:styleId="WWCharLFO71LVL5" w:customStyle="1">
    <w:name w:val="WW_CharLFO71LVL5"/>
    <w:qFormat/>
    <w:rPr>
      <w:rFonts w:cs="Arial"/>
      <w:color w:val="000000"/>
    </w:rPr>
  </w:style>
  <w:style w:type="character" w:styleId="WWCharLFO71LVL6" w:customStyle="1">
    <w:name w:val="WW_CharLFO71LVL6"/>
    <w:qFormat/>
    <w:rPr>
      <w:rFonts w:cs="Arial"/>
      <w:color w:val="000000"/>
    </w:rPr>
  </w:style>
  <w:style w:type="character" w:styleId="WWCharLFO71LVL7" w:customStyle="1">
    <w:name w:val="WW_CharLFO71LVL7"/>
    <w:qFormat/>
    <w:rPr>
      <w:rFonts w:ascii="Arial" w:hAnsi="Arial" w:cs="Arial"/>
      <w:color w:val="000000"/>
      <w:sz w:val="20"/>
    </w:rPr>
  </w:style>
  <w:style w:type="character" w:styleId="WWCharLFO71LVL8" w:customStyle="1">
    <w:name w:val="WW_CharLFO71LVL8"/>
    <w:qFormat/>
    <w:rPr>
      <w:rFonts w:cs="Arial"/>
      <w:color w:val="000000"/>
    </w:rPr>
  </w:style>
  <w:style w:type="character" w:styleId="WWCharLFO71LVL9" w:customStyle="1">
    <w:name w:val="WW_CharLFO71LVL9"/>
    <w:qFormat/>
    <w:rPr>
      <w:rFonts w:cs="Arial"/>
      <w:color w:val="000000"/>
    </w:rPr>
  </w:style>
  <w:style w:type="character" w:styleId="WWCharLFO72LVL1" w:customStyle="1">
    <w:name w:val="WW_CharLFO72LVL1"/>
    <w:qFormat/>
    <w:rPr>
      <w:b w:val="false"/>
      <w:color w:val="FF0000"/>
      <w:sz w:val="20"/>
      <w:szCs w:val="20"/>
    </w:rPr>
  </w:style>
  <w:style w:type="character" w:styleId="WWCharLFO72LVL2" w:customStyle="1">
    <w:name w:val="WW_CharLFO72LVL2"/>
    <w:qFormat/>
    <w:rPr>
      <w:b w:val="false"/>
      <w:sz w:val="20"/>
      <w:szCs w:val="20"/>
    </w:rPr>
  </w:style>
  <w:style w:type="character" w:styleId="WWCharLFO72LVL3" w:customStyle="1">
    <w:name w:val="WW_CharLFO72LVL3"/>
    <w:qFormat/>
    <w:rPr>
      <w:strike w:val="false"/>
      <w:dstrike w:val="false"/>
    </w:rPr>
  </w:style>
  <w:style w:type="character" w:styleId="WWCharLFO72LVL4" w:customStyle="1">
    <w:name w:val="WW_CharLFO72LVL4"/>
    <w:qFormat/>
    <w:rPr>
      <w:b/>
      <w:i w:val="false"/>
      <w:sz w:val="18"/>
      <w:szCs w:val="18"/>
    </w:rPr>
  </w:style>
  <w:style w:type="character" w:styleId="WWCharLFO72LVL5" w:customStyle="1">
    <w:name w:val="WW_CharLFO72LVL5"/>
    <w:qFormat/>
    <w:rPr>
      <w:rFonts w:cs="Arial"/>
      <w:b/>
      <w:color w:val="00000A"/>
    </w:rPr>
  </w:style>
  <w:style w:type="character" w:styleId="WWCharLFO72LVL6" w:customStyle="1">
    <w:name w:val="WW_CharLFO72LVL6"/>
    <w:qFormat/>
    <w:rPr>
      <w:b/>
      <w:color w:val="00000A"/>
    </w:rPr>
  </w:style>
  <w:style w:type="character" w:styleId="WWCharLFO72LVL7" w:customStyle="1">
    <w:name w:val="WW_CharLFO72LVL7"/>
    <w:qFormat/>
    <w:rPr>
      <w:b w:val="false"/>
      <w:color w:val="00000A"/>
    </w:rPr>
  </w:style>
  <w:style w:type="character" w:styleId="WWCharLFO72LVL8" w:customStyle="1">
    <w:name w:val="WW_CharLFO72LVL8"/>
    <w:qFormat/>
    <w:rPr>
      <w:strike w:val="false"/>
      <w:dstrike w:val="false"/>
      <w:color w:val="00000A"/>
    </w:rPr>
  </w:style>
  <w:style w:type="character" w:styleId="WWCharLFO72LVL9" w:customStyle="1">
    <w:name w:val="WW_CharLFO72LVL9"/>
    <w:qFormat/>
    <w:rPr>
      <w:color w:val="00000A"/>
    </w:rPr>
  </w:style>
  <w:style w:type="character" w:styleId="WWCharLFO73LVL1" w:customStyle="1">
    <w:name w:val="WW_CharLFO73LVL1"/>
    <w:qFormat/>
    <w:rPr>
      <w:b w:val="false"/>
    </w:rPr>
  </w:style>
  <w:style w:type="character" w:styleId="WWCharLFO73LVL2" w:customStyle="1">
    <w:name w:val="WW_CharLFO73LVL2"/>
    <w:qFormat/>
    <w:rPr>
      <w:b w:val="false"/>
      <w:i w:val="false"/>
    </w:rPr>
  </w:style>
  <w:style w:type="character" w:styleId="WWCharLFO73LVL3" w:customStyle="1">
    <w:name w:val="WW_CharLFO73LVL3"/>
    <w:qFormat/>
    <w:rPr>
      <w:b w:val="false"/>
    </w:rPr>
  </w:style>
  <w:style w:type="character" w:styleId="WWCharLFO73LVL4" w:customStyle="1">
    <w:name w:val="WW_CharLFO73LVL4"/>
    <w:qFormat/>
    <w:rPr>
      <w:b/>
      <w:i w:val="false"/>
      <w:color w:val="00000A"/>
    </w:rPr>
  </w:style>
  <w:style w:type="character" w:styleId="WWCharLFO73LVL5" w:customStyle="1">
    <w:name w:val="WW_CharLFO73LVL5"/>
    <w:qFormat/>
    <w:rPr>
      <w:b/>
      <w:i w:val="false"/>
      <w:color w:val="00000A"/>
      <w:sz w:val="21"/>
    </w:rPr>
  </w:style>
  <w:style w:type="character" w:styleId="WWCharLFO73LVL6" w:customStyle="1">
    <w:name w:val="WW_CharLFO73LVL6"/>
    <w:qFormat/>
    <w:rPr>
      <w:rFonts w:ascii="Times New Roman" w:hAnsi="Times New Roman" w:cs="Wingdings"/>
      <w:sz w:val="21"/>
    </w:rPr>
  </w:style>
  <w:style w:type="character" w:styleId="WWCharLFO73LVL7" w:customStyle="1">
    <w:name w:val="WW_CharLFO73LVL7"/>
    <w:qFormat/>
    <w:rPr>
      <w:rFonts w:cs="Wingdings"/>
    </w:rPr>
  </w:style>
  <w:style w:type="character" w:styleId="WWCharLFO73LVL8" w:customStyle="1">
    <w:name w:val="WW_CharLFO73LVL8"/>
    <w:qFormat/>
    <w:rPr>
      <w:i w:val="false"/>
      <w:sz w:val="20"/>
      <w:szCs w:val="20"/>
    </w:rPr>
  </w:style>
  <w:style w:type="character" w:styleId="WWCharLFO73LVL9" w:customStyle="1">
    <w:name w:val="WW_CharLFO73LVL9"/>
    <w:qFormat/>
    <w:rPr>
      <w:b w:val="false"/>
      <w:color w:val="FF0000"/>
      <w:sz w:val="20"/>
      <w:szCs w:val="20"/>
    </w:rPr>
  </w:style>
  <w:style w:type="character" w:styleId="WWCharLFO74LVL1" w:customStyle="1">
    <w:name w:val="WW_CharLFO74LVL1"/>
    <w:qFormat/>
    <w:rPr>
      <w:rFonts w:ascii="Symbol" w:hAnsi="Symbol" w:cs="Arial"/>
      <w:color w:val="000000"/>
    </w:rPr>
  </w:style>
  <w:style w:type="character" w:styleId="WWCharLFO74LVL2" w:customStyle="1">
    <w:name w:val="WW_CharLFO74LVL2"/>
    <w:qFormat/>
    <w:rPr>
      <w:rFonts w:ascii="Arial" w:hAnsi="Arial" w:cs="Arial"/>
      <w:color w:val="000000"/>
      <w:sz w:val="20"/>
    </w:rPr>
  </w:style>
  <w:style w:type="character" w:styleId="WWCharLFO74LVL3" w:customStyle="1">
    <w:name w:val="WW_CharLFO74LVL3"/>
    <w:qFormat/>
    <w:rPr>
      <w:rFonts w:cs="Arial"/>
      <w:color w:val="000000"/>
    </w:rPr>
  </w:style>
  <w:style w:type="character" w:styleId="WWCharLFO74LVL4" w:customStyle="1">
    <w:name w:val="WW_CharLFO74LVL4"/>
    <w:qFormat/>
    <w:rPr>
      <w:rFonts w:cs="Arial"/>
      <w:color w:val="000000"/>
    </w:rPr>
  </w:style>
  <w:style w:type="character" w:styleId="WWCharLFO74LVL5" w:customStyle="1">
    <w:name w:val="WW_CharLFO74LVL5"/>
    <w:qFormat/>
    <w:rPr>
      <w:rFonts w:cs="Arial"/>
      <w:color w:val="000000"/>
    </w:rPr>
  </w:style>
  <w:style w:type="character" w:styleId="WWCharLFO74LVL6" w:customStyle="1">
    <w:name w:val="WW_CharLFO74LVL6"/>
    <w:qFormat/>
    <w:rPr>
      <w:rFonts w:cs="Arial"/>
      <w:color w:val="000000"/>
    </w:rPr>
  </w:style>
  <w:style w:type="character" w:styleId="WWCharLFO74LVL7" w:customStyle="1">
    <w:name w:val="WW_CharLFO74LVL7"/>
    <w:qFormat/>
    <w:rPr>
      <w:rFonts w:cs="Arial"/>
      <w:color w:val="000000"/>
    </w:rPr>
  </w:style>
  <w:style w:type="character" w:styleId="WWCharLFO74LVL8" w:customStyle="1">
    <w:name w:val="WW_CharLFO74LVL8"/>
    <w:qFormat/>
    <w:rPr>
      <w:rFonts w:cs="Arial"/>
      <w:color w:val="000000"/>
    </w:rPr>
  </w:style>
  <w:style w:type="character" w:styleId="WWCharLFO74LVL9" w:customStyle="1">
    <w:name w:val="WW_CharLFO74LVL9"/>
    <w:qFormat/>
    <w:rPr>
      <w:b w:val="false"/>
      <w:i w:val="false"/>
    </w:rPr>
  </w:style>
  <w:style w:type="character" w:styleId="WWCharLFO75LVL1" w:customStyle="1">
    <w:name w:val="WW_CharLFO75LVL1"/>
    <w:qFormat/>
    <w:rPr>
      <w:b/>
      <w:color w:val="00000A"/>
    </w:rPr>
  </w:style>
  <w:style w:type="character" w:styleId="WWCharLFO75LVL2" w:customStyle="1">
    <w:name w:val="WW_CharLFO75LVL2"/>
    <w:qFormat/>
    <w:rPr>
      <w:b w:val="false"/>
      <w:color w:val="00000A"/>
    </w:rPr>
  </w:style>
  <w:style w:type="character" w:styleId="WWCharLFO75LVL3" w:customStyle="1">
    <w:name w:val="WW_CharLFO75LVL3"/>
    <w:qFormat/>
    <w:rPr>
      <w:strike w:val="false"/>
      <w:dstrike w:val="false"/>
      <w:color w:val="00000A"/>
    </w:rPr>
  </w:style>
  <w:style w:type="character" w:styleId="WWCharLFO75LVL4" w:customStyle="1">
    <w:name w:val="WW_CharLFO75LVL4"/>
    <w:qFormat/>
    <w:rPr>
      <w:color w:val="00000A"/>
    </w:rPr>
  </w:style>
  <w:style w:type="character" w:styleId="WWCharLFO75LVL5" w:customStyle="1">
    <w:name w:val="WW_CharLFO75LVL5"/>
    <w:qFormat/>
    <w:rPr>
      <w:color w:val="00000A"/>
    </w:rPr>
  </w:style>
  <w:style w:type="character" w:styleId="WWCharLFO75LVL6" w:customStyle="1">
    <w:name w:val="WW_CharLFO75LVL6"/>
    <w:qFormat/>
    <w:rPr>
      <w:color w:val="00000A"/>
    </w:rPr>
  </w:style>
  <w:style w:type="character" w:styleId="WWCharLFO75LVL7" w:customStyle="1">
    <w:name w:val="WW_CharLFO75LVL7"/>
    <w:qFormat/>
    <w:rPr>
      <w:color w:val="00000A"/>
    </w:rPr>
  </w:style>
  <w:style w:type="character" w:styleId="WWCharLFO75LVL8" w:customStyle="1">
    <w:name w:val="WW_CharLFO75LVL8"/>
    <w:qFormat/>
    <w:rPr>
      <w:color w:val="00000A"/>
    </w:rPr>
  </w:style>
  <w:style w:type="character" w:styleId="WWCharLFO75LVL9" w:customStyle="1">
    <w:name w:val="WW_CharLFO75LVL9"/>
    <w:qFormat/>
    <w:rPr>
      <w:rFonts w:cs="Arial"/>
      <w:color w:val="000000"/>
    </w:rPr>
  </w:style>
  <w:style w:type="character" w:styleId="WWCharLFO76LVL1" w:customStyle="1">
    <w:name w:val="WW_CharLFO76LVL1"/>
    <w:qFormat/>
    <w:rPr>
      <w:rFonts w:ascii="Wingdings" w:hAnsi="Wingdings" w:cs="Arial"/>
      <w:color w:val="000000"/>
    </w:rPr>
  </w:style>
  <w:style w:type="character" w:styleId="Fontepargpadro5" w:customStyle="1">
    <w:name w:val="Fonte parág. padrão5"/>
    <w:qFormat/>
    <w:rsid w:val="00347f5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LONormal5" w:customStyle="1">
    <w:name w:val="LO-Normal5"/>
    <w:qFormat/>
    <w:pPr>
      <w:keepNext w:val="true"/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eastAsia="Tahoma" w:cs="Times New Roman"/>
      <w:sz w:val="16"/>
      <w:szCs w:val="16"/>
    </w:rPr>
  </w:style>
  <w:style w:type="paragraph" w:styleId="Nvel2" w:customStyle="1">
    <w:name w:val="Nível 2"/>
    <w:basedOn w:val="Normal"/>
    <w:next w:val="Normal"/>
    <w:qFormat/>
    <w:pPr>
      <w:spacing w:before="0"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eastAsia="en-US"/>
    </w:rPr>
  </w:style>
  <w:style w:type="paragraph" w:styleId="ListBullet5">
    <w:name w:val="List Bullet 5"/>
    <w:basedOn w:val="Normal"/>
    <w:qFormat/>
    <w:pPr/>
    <w:rPr/>
  </w:style>
  <w:style w:type="paragraph" w:styleId="Citao2" w:customStyle="1">
    <w:name w:val="citação 2"/>
    <w:basedOn w:val="Quote"/>
    <w:qFormat/>
    <w:pPr/>
    <w:rPr>
      <w:szCs w:val="20"/>
    </w:rPr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qFormat/>
    <w:pPr>
      <w:numPr>
        <w:ilvl w:val="0"/>
        <w:numId w:val="0"/>
      </w:numPr>
      <w:spacing w:lineRule="auto" w:line="276" w:before="480" w:after="0"/>
      <w:jc w:val="both"/>
      <w:outlineLvl w:val="9"/>
    </w:pPr>
    <w:rPr>
      <w:rFonts w:ascii="Arial" w:hAnsi="Arial" w:eastAsia="Arial"/>
      <w:b/>
      <w:color w:val="000000"/>
      <w:sz w:val="20"/>
      <w:szCs w:val="20"/>
    </w:rPr>
  </w:style>
  <w:style w:type="paragraph" w:styleId="Revision">
    <w:name w:val="Revision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PargrafodaLista1" w:customStyle="1">
    <w:name w:val="Parágrafo da Lista1"/>
    <w:basedOn w:val="Normal"/>
    <w:qFormat/>
    <w:pPr>
      <w:ind w:left="720" w:hanging="0"/>
    </w:pPr>
    <w:rPr>
      <w:rFonts w:ascii="Ecofont_Spranq_eco_Sans" w:hAnsi="Ecofont_Spranq_eco_Sans" w:eastAsia="Ecofont_Spranq_eco_Sans" w:cs="Ecofont_Spranq_eco_Sans"/>
      <w:sz w:val="24"/>
    </w:rPr>
  </w:style>
  <w:style w:type="paragraph" w:styleId="Citao1" w:customStyle="1">
    <w:name w:val="Citação1"/>
    <w:basedOn w:val="Normal"/>
    <w:qFormat/>
    <w:pPr>
      <w:pBdr>
        <w:bottom w:val="single" w:sz="4" w:space="1" w:color="1F497D"/>
      </w:pBdr>
    </w:pPr>
    <w:rPr>
      <w:rFonts w:ascii="Ecofont_Spranq_eco_Sans" w:hAnsi="Ecofont_Spranq_eco_Sans" w:eastAsia="Ecofont_Spranq_eco_Sans" w:cs="Ecofont_Spranq_eco_Sans"/>
      <w:i/>
      <w:iCs/>
      <w:color w:val="000000"/>
      <w:sz w:val="24"/>
      <w:highlight w:val="yellow"/>
      <w:lang w:eastAsia="en-US"/>
    </w:rPr>
  </w:style>
  <w:style w:type="paragraph" w:styleId="SombreamentoMdio1nfase31" w:customStyle="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  <w:lang w:eastAsia="zh-CN"/>
    </w:rPr>
  </w:style>
  <w:style w:type="paragraph" w:styleId="Nivel01" w:customStyle="1">
    <w:name w:val="Nivel 01"/>
    <w:basedOn w:val="Ttulo1"/>
    <w:next w:val="Normal"/>
    <w:qFormat/>
    <w:pPr>
      <w:numPr>
        <w:ilvl w:val="0"/>
        <w:numId w:val="0"/>
      </w:numPr>
      <w:spacing w:lineRule="auto" w:line="276" w:before="480" w:after="120"/>
      <w:ind w:left="360" w:right="-15" w:hanging="360"/>
      <w:jc w:val="both"/>
      <w:outlineLvl w:val="9"/>
    </w:pPr>
    <w:rPr>
      <w:rFonts w:ascii="Arial" w:hAnsi="Arial" w:eastAsia="Arial" w:cs="Arial"/>
      <w:b/>
      <w:bCs/>
      <w:color w:val="000000"/>
    </w:rPr>
  </w:style>
  <w:style w:type="paragraph" w:styleId="Textojustificado" w:customStyle="1">
    <w:name w:val="texto_justificado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Nivel011" w:customStyle="1">
    <w:name w:val="Nivel_01"/>
    <w:basedOn w:val="Ttulo1"/>
    <w:qFormat/>
    <w:pPr>
      <w:numPr>
        <w:ilvl w:val="0"/>
        <w:numId w:val="0"/>
      </w:numPr>
      <w:tabs>
        <w:tab w:val="clear" w:pos="720"/>
        <w:tab w:val="left" w:pos="360" w:leader="none"/>
        <w:tab w:val="left" w:pos="567" w:leader="none"/>
      </w:tabs>
      <w:jc w:val="both"/>
      <w:outlineLvl w:val="9"/>
    </w:pPr>
    <w:rPr>
      <w:rFonts w:ascii="Ecofont_Spranq_eco_Sans" w:hAnsi="Ecofont_Spranq_eco_Sans" w:eastAsia="Ecofont_Spranq_eco_Sans"/>
      <w:b/>
      <w:bCs/>
      <w:color w:val="00000A"/>
      <w:sz w:val="20"/>
      <w:szCs w:val="20"/>
    </w:rPr>
  </w:style>
  <w:style w:type="paragraph" w:styleId="GradeColoridanfase11" w:customStyle="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styleId="PargrafodaLista2" w:customStyle="1">
    <w:name w:val="Parágrafo da Lista2"/>
    <w:basedOn w:val="Normal"/>
    <w:qFormat/>
    <w:pPr>
      <w:ind w:left="720" w:hanging="0"/>
    </w:pPr>
    <w:rPr>
      <w:rFonts w:ascii="Ecofont_Spranq_eco_Sans" w:hAnsi="Ecofont_Spranq_eco_Sans" w:eastAsia="Ecofont_Spranq_eco_Sans" w:cs="Ecofont_Spranq_eco_Sans"/>
      <w:sz w:val="24"/>
    </w:rPr>
  </w:style>
  <w:style w:type="paragraph" w:styleId="GradeColoridanfase110" w:customStyle="1">
    <w:name w:val="Grade Colorida - Ênfase 110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Ecofont_Spranq_eco_Sans" w:cs="Ecofont_Spranq_eco_Sans"/>
      <w:i/>
      <w:color w:val="000000"/>
      <w:sz w:val="24"/>
      <w:lang w:eastAsia="en-US"/>
    </w:rPr>
  </w:style>
  <w:style w:type="paragraph" w:styleId="Nivel01Titulo" w:customStyle="1">
    <w:name w:val="Nivel_01_Titulo"/>
    <w:basedOn w:val="Ttulo1"/>
    <w:next w:val="Normal"/>
    <w:qFormat/>
    <w:pPr>
      <w:numPr>
        <w:ilvl w:val="0"/>
        <w:numId w:val="0"/>
      </w:numPr>
      <w:tabs>
        <w:tab w:val="clear" w:pos="720"/>
        <w:tab w:val="left" w:pos="360" w:leader="none"/>
        <w:tab w:val="left" w:pos="567" w:leader="none"/>
      </w:tabs>
      <w:jc w:val="both"/>
      <w:outlineLvl w:val="9"/>
    </w:pPr>
    <w:rPr>
      <w:rFonts w:ascii="Arial" w:hAnsi="Arial" w:eastAsia="Arial"/>
      <w:b/>
      <w:bCs/>
      <w:color w:val="00000A"/>
      <w:sz w:val="20"/>
      <w:szCs w:val="20"/>
    </w:rPr>
  </w:style>
  <w:style w:type="paragraph" w:styleId="Nivel2" w:customStyle="1">
    <w:name w:val="Nivel 2"/>
    <w:qFormat/>
    <w:pPr>
      <w:keepNext w:val="true"/>
      <w:widowControl/>
      <w:suppressAutoHyphens w:val="true"/>
      <w:overflowPunct w:val="false"/>
      <w:bidi w:val="0"/>
      <w:spacing w:lineRule="auto" w:line="276" w:before="120" w:after="120"/>
      <w:jc w:val="both"/>
      <w:textAlignment w:val="baseline"/>
    </w:pPr>
    <w:rPr>
      <w:rFonts w:ascii="Ecofont_Spranq_eco_Sans" w:hAnsi="Ecofont_Spranq_eco_Sans" w:eastAsia="Arial Unicode MS" w:cs="Times New Roman"/>
      <w:color w:val="00000A"/>
      <w:kern w:val="0"/>
      <w:sz w:val="20"/>
      <w:szCs w:val="20"/>
      <w:lang w:val="pt-BR" w:eastAsia="pt-BR" w:bidi="ar-SA"/>
    </w:rPr>
  </w:style>
  <w:style w:type="paragraph" w:styleId="Nivel11" w:customStyle="1">
    <w:name w:val="Nivel 1"/>
    <w:basedOn w:val="Nivel2"/>
    <w:qFormat/>
    <w:pPr>
      <w:tabs>
        <w:tab w:val="clear" w:pos="720"/>
        <w:tab w:val="left" w:pos="360" w:leader="none"/>
      </w:tabs>
      <w:ind w:left="720" w:hanging="432"/>
    </w:pPr>
    <w:rPr>
      <w:rFonts w:cs="Arial"/>
      <w:b/>
    </w:rPr>
  </w:style>
  <w:style w:type="paragraph" w:styleId="Nivel3" w:customStyle="1">
    <w:name w:val="Nivel 3"/>
    <w:basedOn w:val="Nivel2"/>
    <w:qFormat/>
    <w:pPr>
      <w:tabs>
        <w:tab w:val="clear" w:pos="720"/>
        <w:tab w:val="left" w:pos="360" w:leader="none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/>
    <w:pPr>
      <w:ind w:left="2880" w:hanging="360"/>
    </w:pPr>
    <w:rPr>
      <w:color w:val="00000A"/>
    </w:rPr>
  </w:style>
  <w:style w:type="paragraph" w:styleId="Nivel5" w:customStyle="1">
    <w:name w:val="Nivel 5"/>
    <w:basedOn w:val="Nivel4"/>
    <w:qFormat/>
    <w:pPr>
      <w:ind w:left="3600" w:hanging="0"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LOnormal3" w:customStyle="1">
    <w:name w:val="LO-normal3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Normal1" w:customStyle="1">
    <w:name w:val="Normal1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DocumentMap" w:customStyle="1">
    <w:name w:val="Document Map"/>
    <w:qFormat/>
    <w:pPr>
      <w:keepNext w:val="true"/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Times New Roman" w:hAnsi="Times New Roman" w:eastAsia="SimSun" w:cs="Times New Roman"/>
      <w:color w:val="00000A"/>
      <w:kern w:val="0"/>
      <w:sz w:val="20"/>
      <w:szCs w:val="20"/>
      <w:lang w:val="pt-BR" w:eastAsia="pt-BR" w:bidi="ar-SA"/>
    </w:rPr>
  </w:style>
  <w:style w:type="paragraph" w:styleId="Default" w:customStyle="1">
    <w:name w:val="Default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iberation Serif"/>
      <w:color w:val="000000"/>
      <w:kern w:val="0"/>
      <w:sz w:val="24"/>
      <w:szCs w:val="24"/>
      <w:lang w:val="pt-BR" w:eastAsia="zh-CN" w:bidi="ar-SA"/>
    </w:rPr>
  </w:style>
  <w:style w:type="paragraph" w:styleId="Arial" w:customStyle="1">
    <w:name w:val="arial"/>
    <w:basedOn w:val="Normal"/>
    <w:qFormat/>
    <w:pPr>
      <w:suppressAutoHyphens w:val="false"/>
      <w:spacing w:lineRule="auto" w:line="276"/>
      <w:jc w:val="both"/>
    </w:pPr>
    <w:rPr/>
  </w:style>
  <w:style w:type="paragraph" w:styleId="Times" w:customStyle="1">
    <w:name w:val="Times"/>
    <w:basedOn w:val="Arial"/>
    <w:qFormat/>
    <w:pPr/>
    <w:rPr/>
  </w:style>
  <w:style w:type="paragraph" w:styleId="LONormal1" w:customStyle="1">
    <w:name w:val="LO-Normal1"/>
    <w:qFormat/>
    <w:pPr>
      <w:keepNext w:val="true"/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Padro" w:customStyle="1">
    <w:name w:val="Padrão"/>
    <w:qFormat/>
    <w:pPr>
      <w:keepNext w:val="true"/>
      <w:widowControl w:val="false"/>
      <w:tabs>
        <w:tab w:val="clear" w:pos="720"/>
        <w:tab w:val="left" w:pos="708" w:leader="none"/>
      </w:tabs>
      <w:suppressAutoHyphens w:val="true"/>
      <w:overflowPunct w:val="fals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DejaVu Sans" w:cs="Liberation Serif"/>
      <w:color w:val="00000A"/>
      <w:kern w:val="0"/>
      <w:sz w:val="21"/>
      <w:szCs w:val="24"/>
      <w:lang w:val="pt-BR" w:eastAsia="zh-CN" w:bidi="hi-IN"/>
    </w:rPr>
  </w:style>
  <w:style w:type="paragraph" w:styleId="TableParagraph" w:customStyle="1">
    <w:name w:val="Table Paragraph"/>
    <w:basedOn w:val="Padro"/>
    <w:qFormat/>
    <w:pPr/>
    <w:rPr>
      <w:rFonts w:cs="Times New Roman"/>
      <w:sz w:val="24"/>
    </w:rPr>
  </w:style>
  <w:style w:type="paragraph" w:styleId="Standard" w:customStyle="1">
    <w:name w:val="Standard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keepNext w:val="true"/>
      <w:widowControl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12" w:customStyle="1">
    <w:name w:val="WW8Num12"/>
    <w:qFormat/>
  </w:style>
  <w:style w:type="numbering" w:styleId="WW8Num4" w:customStyle="1">
    <w:name w:val="WW8Num4"/>
    <w:qFormat/>
  </w:style>
  <w:style w:type="numbering" w:styleId="WW8Num10" w:customStyle="1">
    <w:name w:val="WW8Num10"/>
    <w:qFormat/>
  </w:style>
  <w:style w:type="numbering" w:styleId="WW8Num22" w:customStyle="1">
    <w:name w:val="WW8Num22"/>
    <w:qFormat/>
  </w:style>
  <w:style w:type="numbering" w:styleId="WW8Num52" w:customStyle="1">
    <w:name w:val="WW8Num5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4" w:customStyle="1">
    <w:name w:val="WW8Num44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17" w:customStyle="1">
    <w:name w:val="WW8Num17"/>
    <w:qFormat/>
  </w:style>
  <w:style w:type="numbering" w:styleId="WW8Num13" w:customStyle="1">
    <w:name w:val="WW8Num13"/>
    <w:qFormat/>
  </w:style>
  <w:style w:type="numbering" w:styleId="WW8Num16" w:customStyle="1">
    <w:name w:val="WW8Num16"/>
    <w:qFormat/>
  </w:style>
  <w:style w:type="numbering" w:styleId="WW8Num11" w:customStyle="1">
    <w:name w:val="WW8Num11"/>
    <w:qFormat/>
  </w:style>
  <w:style w:type="numbering" w:styleId="WW8Num2" w:customStyle="1">
    <w:name w:val="WW8Num2"/>
    <w:qFormat/>
  </w:style>
  <w:style w:type="numbering" w:styleId="WW8Num45" w:customStyle="1">
    <w:name w:val="WW8Num45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8" w:customStyle="1">
    <w:name w:val="WW8Num8"/>
    <w:qFormat/>
  </w:style>
  <w:style w:type="numbering" w:styleId="WW8Num3" w:customStyle="1">
    <w:name w:val="WW8Num3"/>
    <w:qFormat/>
  </w:style>
  <w:style w:type="numbering" w:styleId="WW8Num7" w:customStyle="1">
    <w:name w:val="WW8Num7"/>
    <w:qFormat/>
  </w:style>
  <w:style w:type="numbering" w:styleId="WW8Num46" w:customStyle="1">
    <w:name w:val="WW8Num46"/>
    <w:qFormat/>
  </w:style>
  <w:style w:type="numbering" w:styleId="WW8Num43" w:customStyle="1">
    <w:name w:val="WW8Num43"/>
    <w:qFormat/>
  </w:style>
  <w:style w:type="numbering" w:styleId="WW8Num42" w:customStyle="1">
    <w:name w:val="WW8Num42"/>
    <w:qFormat/>
  </w:style>
  <w:style w:type="numbering" w:styleId="WW8Num19" w:customStyle="1">
    <w:name w:val="WW8Num19"/>
    <w:qFormat/>
  </w:style>
  <w:style w:type="numbering" w:styleId="WW8Num18" w:customStyle="1">
    <w:name w:val="WW8Num18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numbering" w:styleId="WW8Num57" w:customStyle="1">
    <w:name w:val="WW8Num57"/>
    <w:qFormat/>
  </w:style>
  <w:style w:type="numbering" w:styleId="WW8Num58" w:customStyle="1">
    <w:name w:val="WW8Num58"/>
    <w:qFormat/>
  </w:style>
  <w:style w:type="numbering" w:styleId="WW8Num59" w:customStyle="1">
    <w:name w:val="WW8Num59"/>
    <w:qFormat/>
  </w:style>
  <w:style w:type="numbering" w:styleId="WW8Num60" w:customStyle="1">
    <w:name w:val="WW8Num60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licitacoes@ifsertao-pe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Application>LibreOffice/7.2.5.2$Windows_X86_64 LibreOffice_project/499f9727c189e6ef3471021d6132d4c694f357e5</Application>
  <AppVersion>15.0000</AppVersion>
  <Pages>14</Pages>
  <Words>5383</Words>
  <Characters>30955</Characters>
  <CharactersWithSpaces>35998</CharactersWithSpaces>
  <Paragraphs>402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2019-06-18T14:45:00Z</dcterms:created>
  <dc:creator>Adriano</dc:creator>
  <dc:description/>
  <dc:language>pt-BR</dc:language>
  <cp:lastModifiedBy/>
  <cp:lastPrinted>2019-10-08T16:38:00Z</cp:lastPrinted>
  <dcterms:modified xsi:type="dcterms:W3CDTF">2022-06-14T10:23:41Z</dcterms:modified>
  <cp:revision>104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