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 xml:space="preserve">ANEXO I </w:t>
      </w:r>
    </w:p>
    <w:p>
      <w:pPr>
        <w:pStyle w:val="Normal"/>
        <w:jc w:val="center"/>
        <w:rPr>
          <w:rFonts w:cs="Arial"/>
          <w:b/>
          <w:b/>
          <w:color w:val="000000"/>
          <w:szCs w:val="20"/>
        </w:rPr>
      </w:pPr>
      <w:r>
        <w:rPr>
          <w:rFonts w:cs="Arial"/>
          <w:b/>
          <w:color w:val="000000"/>
          <w:szCs w:val="20"/>
        </w:rPr>
        <w:t>TERMO DE REFERÊNCIA</w:t>
      </w:r>
    </w:p>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INSTITUTO FEDERAL DE EDUCAÇÃO, CIÊNCIA E TECNOLOGIA</w:t>
      </w:r>
    </w:p>
    <w:p>
      <w:pPr>
        <w:pStyle w:val="Normal"/>
        <w:jc w:val="center"/>
        <w:rPr>
          <w:rFonts w:cs="Arial"/>
          <w:b/>
          <w:b/>
          <w:color w:val="000000"/>
          <w:szCs w:val="20"/>
        </w:rPr>
      </w:pPr>
      <w:r>
        <w:rPr>
          <w:rFonts w:cs="Arial"/>
          <w:b/>
          <w:color w:val="000000"/>
          <w:szCs w:val="20"/>
        </w:rPr>
        <w:t>DO SERTÃO PERNAMBUCANO</w:t>
      </w:r>
    </w:p>
    <w:p>
      <w:pPr>
        <w:pStyle w:val="Normal"/>
        <w:jc w:val="center"/>
        <w:rPr>
          <w:rFonts w:cs="Arial"/>
          <w:b/>
          <w:b/>
          <w:color w:val="000000"/>
          <w:szCs w:val="20"/>
        </w:rPr>
      </w:pPr>
      <w:r>
        <w:rPr>
          <w:rFonts w:cs="Arial"/>
          <w:b/>
          <w:color w:val="000000"/>
          <w:szCs w:val="20"/>
        </w:rPr>
        <w:t>PREGÃO ELETRÔNICO Nº ____/2022</w:t>
      </w:r>
    </w:p>
    <w:p>
      <w:pPr>
        <w:pStyle w:val="Normal"/>
        <w:jc w:val="center"/>
        <w:rPr>
          <w:szCs w:val="20"/>
        </w:rPr>
      </w:pPr>
      <w:r>
        <w:rPr>
          <w:rFonts w:cs="Arial"/>
          <w:b/>
          <w:bCs/>
          <w:color w:val="000000"/>
          <w:szCs w:val="20"/>
        </w:rPr>
        <w:t>(Processo Administrativo n° 23417.000100.2022-63)</w:t>
      </w:r>
    </w:p>
    <w:p>
      <w:pPr>
        <w:pStyle w:val="Normal"/>
        <w:rPr>
          <w:szCs w:val="20"/>
          <w:lang w:eastAsia="en-US"/>
        </w:rPr>
      </w:pPr>
      <w:r>
        <w:rPr>
          <w:szCs w:val="20"/>
          <w:lang w:eastAsia="en-US"/>
        </w:rPr>
      </w:r>
    </w:p>
    <w:p>
      <w:pPr>
        <w:pStyle w:val="Normal"/>
        <w:spacing w:lineRule="auto" w:line="276" w:before="0" w:after="120"/>
        <w:ind w:right="-15" w:hanging="0"/>
        <w:rPr>
          <w:szCs w:val="20"/>
        </w:rPr>
      </w:pPr>
      <w:r>
        <w:rPr>
          <w:szCs w:val="20"/>
        </w:rPr>
      </w:r>
    </w:p>
    <w:p>
      <w:pPr>
        <w:pStyle w:val="Normal"/>
        <w:numPr>
          <w:ilvl w:val="1"/>
          <w:numId w:val="4"/>
        </w:numPr>
        <w:spacing w:lineRule="auto" w:line="276" w:before="120" w:after="120"/>
        <w:ind w:left="-113" w:hanging="0"/>
        <w:jc w:val="both"/>
        <w:rPr>
          <w:rFonts w:cs="Arial"/>
          <w:color w:val="000000"/>
          <w:szCs w:val="20"/>
        </w:rPr>
      </w:pPr>
      <w:r>
        <w:rPr>
          <w:rFonts w:cs="Arial"/>
          <w:b/>
          <w:bCs/>
          <w:color w:val="000000"/>
          <w:szCs w:val="20"/>
        </w:rPr>
        <w:t>Concessão Onerosa de Uso de bem público imóvel, referente ao espaço cantina/restaurante, do Instituto Federal do Sertão Pernambucano – Campus Petrolina</w:t>
      </w:r>
      <w:r>
        <w:rPr>
          <w:rFonts w:cs="Arial"/>
          <w:color w:val="000000"/>
          <w:szCs w:val="20"/>
        </w:rPr>
        <w:t>, conforme condições, quantidades e exigências estabelecidas neste instrumento e seus anexos:</w:t>
      </w:r>
    </w:p>
    <w:p>
      <w:pPr>
        <w:pStyle w:val="Normal"/>
        <w:spacing w:lineRule="auto" w:line="276" w:before="120" w:after="120"/>
        <w:ind w:left="425" w:hanging="0"/>
        <w:jc w:val="both"/>
        <w:rPr>
          <w:szCs w:val="20"/>
        </w:rPr>
      </w:pPr>
      <w:r>
        <w:rPr>
          <w:rFonts w:cs="Arial"/>
          <w:color w:val="000000"/>
          <w:szCs w:val="20"/>
        </w:rPr>
        <w:t xml:space="preserve"> </w:t>
      </w:r>
      <w:r>
        <w:rPr>
          <w:rFonts w:cs="Arial"/>
          <w:color w:val="000000"/>
          <w:szCs w:val="20"/>
        </w:rPr>
        <w:t>1.1.1 A concessão e o serviço de distribuição de merenda escolar será da empresa que conceder o maior desconto nos itens abaixo:</w:t>
      </w:r>
    </w:p>
    <w:tbl>
      <w:tblPr>
        <w:tblW w:w="9700" w:type="dxa"/>
        <w:jc w:val="left"/>
        <w:tblInd w:w="84" w:type="dxa"/>
        <w:tblLayout w:type="fixed"/>
        <w:tblCellMar>
          <w:top w:w="0" w:type="dxa"/>
          <w:left w:w="113" w:type="dxa"/>
          <w:bottom w:w="0" w:type="dxa"/>
          <w:right w:w="108" w:type="dxa"/>
        </w:tblCellMar>
        <w:tblLook w:firstRow="1" w:noVBand="1" w:lastRow="0" w:firstColumn="1" w:lastColumn="0" w:noHBand="0" w:val="04a0"/>
      </w:tblPr>
      <w:tblGrid>
        <w:gridCol w:w="689"/>
        <w:gridCol w:w="5860"/>
        <w:gridCol w:w="3151"/>
      </w:tblGrid>
      <w:tr>
        <w:trPr>
          <w:trHeight w:val="700" w:hRule="atLeast"/>
        </w:trPr>
        <w:tc>
          <w:tcPr>
            <w:tcW w:w="689" w:type="dxa"/>
            <w:tcBorders>
              <w:top w:val="single" w:sz="4" w:space="0" w:color="000001"/>
              <w:left w:val="single" w:sz="4" w:space="0" w:color="000001"/>
              <w:bottom w:val="single" w:sz="4" w:space="0" w:color="000001"/>
            </w:tcBorders>
            <w:shd w:color="auto" w:fill="A6A6A6" w:val="clear"/>
            <w:vAlign w:val="center"/>
          </w:tcPr>
          <w:p>
            <w:pPr>
              <w:pStyle w:val="Normal"/>
              <w:widowControl w:val="false"/>
              <w:spacing w:lineRule="auto" w:line="276"/>
              <w:jc w:val="center"/>
              <w:rPr>
                <w:b/>
                <w:b/>
                <w:color w:val="000000"/>
                <w:sz w:val="22"/>
                <w:szCs w:val="22"/>
              </w:rPr>
            </w:pPr>
            <w:r>
              <w:rPr>
                <w:b/>
                <w:color w:val="000000"/>
                <w:sz w:val="22"/>
                <w:szCs w:val="22"/>
              </w:rPr>
              <w:t>Item</w:t>
            </w:r>
          </w:p>
        </w:tc>
        <w:tc>
          <w:tcPr>
            <w:tcW w:w="5860" w:type="dxa"/>
            <w:tcBorders>
              <w:top w:val="single" w:sz="4" w:space="0" w:color="000001"/>
              <w:left w:val="single" w:sz="4" w:space="0" w:color="000001"/>
              <w:bottom w:val="single" w:sz="4" w:space="0" w:color="000001"/>
            </w:tcBorders>
            <w:shd w:color="auto" w:fill="A6A6A6" w:val="clear"/>
            <w:vAlign w:val="center"/>
          </w:tcPr>
          <w:p>
            <w:pPr>
              <w:pStyle w:val="Normal"/>
              <w:widowControl w:val="false"/>
              <w:spacing w:lineRule="auto" w:line="276"/>
              <w:jc w:val="center"/>
              <w:rPr>
                <w:b/>
                <w:b/>
                <w:color w:val="000000"/>
                <w:sz w:val="22"/>
                <w:szCs w:val="22"/>
              </w:rPr>
            </w:pPr>
            <w:r>
              <w:rPr>
                <w:b/>
                <w:color w:val="000000"/>
                <w:sz w:val="22"/>
                <w:szCs w:val="22"/>
              </w:rPr>
              <w:t>Descrição do serviço</w:t>
            </w:r>
          </w:p>
        </w:tc>
        <w:tc>
          <w:tcPr>
            <w:tcW w:w="3151" w:type="dxa"/>
            <w:tcBorders>
              <w:top w:val="single" w:sz="4" w:space="0" w:color="000001"/>
              <w:left w:val="single" w:sz="4" w:space="0" w:color="000001"/>
              <w:bottom w:val="single" w:sz="4" w:space="0" w:color="000001"/>
              <w:right w:val="single" w:sz="4" w:space="0" w:color="000001"/>
            </w:tcBorders>
            <w:shd w:color="auto" w:fill="A6A6A6" w:val="clear"/>
            <w:vAlign w:val="center"/>
          </w:tcPr>
          <w:p>
            <w:pPr>
              <w:pStyle w:val="Normal"/>
              <w:widowControl w:val="false"/>
              <w:spacing w:lineRule="auto" w:line="276"/>
              <w:jc w:val="center"/>
              <w:rPr>
                <w:b/>
                <w:b/>
                <w:color w:val="000000"/>
                <w:sz w:val="22"/>
                <w:szCs w:val="22"/>
              </w:rPr>
            </w:pPr>
            <w:r>
              <w:rPr>
                <w:b/>
                <w:color w:val="000000"/>
                <w:sz w:val="22"/>
                <w:szCs w:val="22"/>
              </w:rPr>
              <w:t>Valor geral estimado do cardápio básico</w:t>
            </w:r>
          </w:p>
        </w:tc>
      </w:tr>
      <w:tr>
        <w:trPr>
          <w:trHeight w:val="680" w:hRule="atLeast"/>
        </w:trPr>
        <w:tc>
          <w:tcPr>
            <w:tcW w:w="689"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6"/>
              <w:jc w:val="center"/>
              <w:rPr>
                <w:rFonts w:cs="Arial"/>
                <w:b/>
                <w:b/>
                <w:color w:val="000000"/>
                <w:szCs w:val="20"/>
              </w:rPr>
            </w:pPr>
            <w:r>
              <w:rPr>
                <w:rFonts w:cs="Arial"/>
                <w:b/>
                <w:color w:val="000000"/>
                <w:szCs w:val="20"/>
              </w:rPr>
              <w:t>01</w:t>
            </w:r>
          </w:p>
        </w:tc>
        <w:tc>
          <w:tcPr>
            <w:tcW w:w="5860" w:type="dxa"/>
            <w:tcBorders>
              <w:top w:val="single" w:sz="4" w:space="0" w:color="000001"/>
              <w:left w:val="single" w:sz="4" w:space="0" w:color="000001"/>
              <w:bottom w:val="single" w:sz="4" w:space="0" w:color="000001"/>
            </w:tcBorders>
            <w:shd w:color="auto" w:fill="FFFFFF" w:val="clear"/>
            <w:vAlign w:val="center"/>
          </w:tcPr>
          <w:p>
            <w:pPr>
              <w:pStyle w:val="Normal"/>
              <w:widowControl w:val="false"/>
              <w:tabs>
                <w:tab w:val="clear" w:pos="708"/>
                <w:tab w:val="left" w:pos="720" w:leader="none"/>
                <w:tab w:val="left" w:pos="1418" w:leader="none"/>
              </w:tabs>
              <w:spacing w:lineRule="auto" w:line="276" w:before="0" w:after="120"/>
              <w:jc w:val="both"/>
              <w:rPr>
                <w:rFonts w:cs="Arial"/>
                <w:color w:val="000000"/>
                <w:szCs w:val="20"/>
                <w:shd w:fill="FFFFFF" w:val="clear"/>
              </w:rPr>
            </w:pPr>
            <w:r>
              <w:rPr>
                <w:rFonts w:cs="Arial"/>
                <w:color w:val="000000"/>
                <w:szCs w:val="20"/>
                <w:shd w:fill="FFFFFF" w:val="clear"/>
              </w:rPr>
              <w:t>Concessão Onerosa de Uso de bem público imóvel, referente ao espaço cantina/restaurante, Área total: 63,82 m² (sessenta e três metros e oitenta e dois centímetros quadrados)</w:t>
            </w:r>
          </w:p>
        </w:tc>
        <w:tc>
          <w:tcPr>
            <w:tcW w:w="31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6"/>
              <w:jc w:val="center"/>
              <w:rPr>
                <w:rFonts w:ascii="Arial" w:hAnsi="Arial"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R$ 210,94</w:t>
            </w:r>
          </w:p>
        </w:tc>
      </w:tr>
    </w:tbl>
    <w:p>
      <w:pPr>
        <w:pStyle w:val="Normal"/>
        <w:spacing w:lineRule="auto" w:line="276" w:before="120" w:after="120"/>
        <w:jc w:val="both"/>
        <w:rPr>
          <w:rFonts w:cs="Arial"/>
          <w:color w:val="000000"/>
          <w:sz w:val="20"/>
          <w:szCs w:val="20"/>
          <w:shd w:fill="FFFFFF" w:val="clear"/>
        </w:rPr>
      </w:pPr>
      <w:r>
        <w:rPr>
          <w:rFonts w:cs="Arial"/>
          <w:color w:val="000000"/>
          <w:sz w:val="20"/>
          <w:szCs w:val="20"/>
          <w:shd w:fill="FFFFFF" w:val="clear"/>
        </w:rPr>
      </w:r>
    </w:p>
    <w:p>
      <w:pPr>
        <w:pStyle w:val="Normal"/>
        <w:numPr>
          <w:ilvl w:val="1"/>
          <w:numId w:val="29"/>
        </w:numPr>
        <w:spacing w:lineRule="auto" w:line="276" w:before="120" w:after="120"/>
        <w:ind w:left="0" w:hanging="454"/>
        <w:jc w:val="both"/>
        <w:rPr>
          <w:sz w:val="20"/>
          <w:szCs w:val="20"/>
        </w:rPr>
      </w:pPr>
      <w:r>
        <w:rPr>
          <w:rFonts w:cs="Arial"/>
          <w:color w:val="000000"/>
          <w:sz w:val="20"/>
          <w:szCs w:val="20"/>
          <w:shd w:fill="FFFFFF" w:val="clear"/>
        </w:rPr>
        <w:t>O objeto da licitação tem a natureza de serviço comum de caráter continuado sem fornecimento de mão de obra em regime de dedicação exclusiva.</w:t>
      </w:r>
    </w:p>
    <w:p>
      <w:pPr>
        <w:pStyle w:val="Normal"/>
        <w:numPr>
          <w:ilvl w:val="1"/>
          <w:numId w:val="30"/>
        </w:numPr>
        <w:spacing w:lineRule="auto" w:line="276" w:before="120" w:after="120"/>
        <w:ind w:left="0" w:hanging="454"/>
        <w:jc w:val="both"/>
        <w:rPr>
          <w:sz w:val="20"/>
          <w:szCs w:val="20"/>
        </w:rPr>
      </w:pPr>
      <w:r>
        <w:rPr>
          <w:rFonts w:cs="Arial"/>
          <w:color w:val="000000"/>
          <w:sz w:val="20"/>
          <w:szCs w:val="20"/>
          <w:shd w:fill="FFFFFF" w:val="clear"/>
        </w:rPr>
        <w:t>Os quantitativos e respectivos códigos dos itens são os discriminados na tabela acima.</w:t>
      </w:r>
    </w:p>
    <w:p>
      <w:pPr>
        <w:pStyle w:val="Normal"/>
        <w:numPr>
          <w:ilvl w:val="1"/>
          <w:numId w:val="31"/>
        </w:numPr>
        <w:spacing w:lineRule="auto" w:line="276" w:before="120" w:after="120"/>
        <w:ind w:left="0" w:hanging="454"/>
        <w:jc w:val="both"/>
        <w:rPr>
          <w:sz w:val="20"/>
          <w:szCs w:val="20"/>
        </w:rPr>
      </w:pPr>
      <w:r>
        <w:rPr>
          <w:rFonts w:cs="Times New Roman"/>
          <w:color w:val="C9211E"/>
          <w:sz w:val="20"/>
          <w:szCs w:val="20"/>
        </w:rPr>
        <w:t xml:space="preserve"> </w:t>
      </w:r>
      <w:r>
        <w:rPr>
          <w:rFonts w:cs="Arial"/>
          <w:color w:val="000000"/>
          <w:sz w:val="20"/>
          <w:szCs w:val="20"/>
        </w:rPr>
        <w:t xml:space="preserve">A licitação será realizada em único item, presente no subitem 1.1.1 na tabela acima, que tem como valor de referência o somatório dos valores médios dos itens do cardápio básico na planilha presente no </w:t>
      </w:r>
      <w:r>
        <w:rPr>
          <w:rFonts w:cs="Arial"/>
          <w:b/>
          <w:bCs/>
          <w:color w:val="000000"/>
          <w:sz w:val="20"/>
          <w:szCs w:val="20"/>
        </w:rPr>
        <w:t>subitem 1.7.3</w:t>
      </w:r>
    </w:p>
    <w:p>
      <w:pPr>
        <w:pStyle w:val="Normal"/>
        <w:numPr>
          <w:ilvl w:val="1"/>
          <w:numId w:val="32"/>
        </w:numPr>
        <w:spacing w:lineRule="auto" w:line="276" w:before="120" w:after="120"/>
        <w:ind w:left="0" w:hanging="454"/>
        <w:jc w:val="both"/>
        <w:rPr>
          <w:sz w:val="20"/>
          <w:szCs w:val="20"/>
        </w:rPr>
      </w:pPr>
      <w:r>
        <w:rPr>
          <w:rFonts w:cs="Arial"/>
          <w:color w:val="000000"/>
          <w:sz w:val="20"/>
          <w:szCs w:val="20"/>
        </w:rPr>
        <w:t>O critério de julgamento</w:t>
      </w:r>
      <w:r>
        <w:rPr>
          <w:rFonts w:cs="Arial"/>
          <w:sz w:val="20"/>
          <w:szCs w:val="20"/>
        </w:rPr>
        <w:t xml:space="preserve"> da proposta será o </w:t>
      </w:r>
      <w:r>
        <w:rPr>
          <w:rFonts w:cs="Arial"/>
          <w:color w:val="000000"/>
          <w:sz w:val="20"/>
          <w:szCs w:val="20"/>
        </w:rPr>
        <w:t>Menor Preço do Item obtido a partir da aplicação do</w:t>
      </w:r>
      <w:r>
        <w:rPr>
          <w:rFonts w:cs="Arial"/>
          <w:sz w:val="20"/>
          <w:szCs w:val="20"/>
        </w:rPr>
        <w:t xml:space="preserve"> </w:t>
      </w:r>
      <w:r>
        <w:rPr>
          <w:rFonts w:cs="Arial"/>
          <w:b/>
          <w:sz w:val="20"/>
          <w:szCs w:val="20"/>
        </w:rPr>
        <w:t xml:space="preserve">Maior Desconto Global sobre </w:t>
      </w:r>
      <w:r>
        <w:rPr>
          <w:rFonts w:cs="Arial"/>
          <w:color w:val="000000"/>
          <w:sz w:val="20"/>
          <w:szCs w:val="20"/>
        </w:rPr>
        <w:t xml:space="preserve">o valor presente no </w:t>
      </w:r>
      <w:r>
        <w:rPr>
          <w:rFonts w:cs="Arial"/>
          <w:color w:val="000000"/>
          <w:sz w:val="20"/>
          <w:szCs w:val="20"/>
        </w:rPr>
        <w:t>subitem 1.1.1</w:t>
      </w:r>
      <w:r>
        <w:rPr>
          <w:rFonts w:cs="Arial"/>
          <w:color w:val="000000"/>
          <w:sz w:val="20"/>
          <w:szCs w:val="20"/>
        </w:rPr>
        <w:t xml:space="preserve"> do Termo de Referência(</w:t>
      </w:r>
      <w:r>
        <w:rPr>
          <w:rFonts w:cs="Arial"/>
          <w:b/>
          <w:color w:val="000000"/>
          <w:sz w:val="20"/>
          <w:szCs w:val="20"/>
        </w:rPr>
        <w:t>Valor geral estimado do cardápio básico)</w:t>
      </w:r>
      <w:r>
        <w:rPr>
          <w:rFonts w:cs="Arial"/>
          <w:sz w:val="20"/>
          <w:szCs w:val="20"/>
        </w:rPr>
        <w:t>.</w:t>
      </w:r>
    </w:p>
    <w:p>
      <w:pPr>
        <w:pStyle w:val="Normal"/>
        <w:spacing w:lineRule="auto" w:line="276" w:before="120" w:after="120"/>
        <w:jc w:val="both"/>
        <w:rPr>
          <w:b/>
          <w:b/>
          <w:bCs/>
          <w:color w:val="000000"/>
          <w:u w:val="single"/>
        </w:rPr>
      </w:pPr>
      <w:r>
        <w:rPr>
          <w:rFonts w:cs="Arial"/>
          <w:b/>
          <w:bCs/>
          <w:color w:val="000000"/>
          <w:sz w:val="20"/>
          <w:szCs w:val="20"/>
          <w:u w:val="single"/>
        </w:rPr>
        <w:t>1.5.1 O vencedor do certame deverá aplicar o desconto linear e proporcional nos itens pertencentes ao cardápio básico situado no</w:t>
      </w:r>
      <w:r>
        <w:rPr>
          <w:rFonts w:cs="Arial"/>
          <w:b/>
          <w:bCs/>
          <w:color w:val="000000"/>
          <w:sz w:val="20"/>
          <w:szCs w:val="20"/>
          <w:u w:val="single"/>
        </w:rPr>
        <w:t xml:space="preserve"> subitem 1.7.3. </w:t>
      </w:r>
    </w:p>
    <w:p>
      <w:pPr>
        <w:pStyle w:val="Normal"/>
        <w:spacing w:lineRule="auto" w:line="276" w:before="120" w:after="120"/>
        <w:ind w:left="737" w:hanging="0"/>
        <w:jc w:val="both"/>
        <w:rPr>
          <w:b/>
          <w:b/>
          <w:bCs/>
          <w:color w:val="000000"/>
          <w:u w:val="single"/>
        </w:rPr>
      </w:pPr>
      <w:r>
        <w:rPr>
          <w:rFonts w:cs="Arial"/>
          <w:b/>
          <w:bCs/>
          <w:color w:val="000000"/>
          <w:sz w:val="20"/>
          <w:szCs w:val="20"/>
          <w:u w:val="single"/>
        </w:rPr>
        <w:t xml:space="preserve">1.5.1.1 O desconto ofertado pela licitante vencedora será aplicado no valor unitário de cada lanche e kit refeição </w:t>
      </w:r>
      <w:r>
        <w:rPr>
          <w:rFonts w:cs="Arial"/>
          <w:b/>
          <w:bCs/>
          <w:color w:val="000000"/>
          <w:sz w:val="20"/>
          <w:szCs w:val="20"/>
          <w:u w:val="single"/>
        </w:rPr>
        <w:t>do cardápio básico</w:t>
      </w:r>
      <w:r>
        <w:rPr>
          <w:rFonts w:cs="Arial"/>
          <w:b/>
          <w:bCs/>
          <w:color w:val="000000"/>
          <w:sz w:val="20"/>
          <w:szCs w:val="20"/>
          <w:u w:val="single"/>
        </w:rPr>
        <w:t>.</w:t>
      </w:r>
    </w:p>
    <w:p>
      <w:pPr>
        <w:pStyle w:val="Normal"/>
        <w:spacing w:lineRule="auto" w:line="276" w:before="120" w:after="120"/>
        <w:ind w:left="284" w:hanging="0"/>
        <w:jc w:val="both"/>
        <w:rPr>
          <w:sz w:val="20"/>
          <w:szCs w:val="20"/>
        </w:rPr>
      </w:pPr>
      <w:r>
        <w:rPr>
          <w:color w:val="000000"/>
          <w:sz w:val="20"/>
          <w:szCs w:val="20"/>
        </w:rPr>
        <w:t xml:space="preserve">1.6 Será considerado </w:t>
      </w:r>
      <w:r>
        <w:rPr>
          <w:rFonts w:cs="Arial"/>
          <w:color w:val="000000"/>
          <w:sz w:val="20"/>
          <w:szCs w:val="20"/>
        </w:rPr>
        <w:t xml:space="preserve">vencedora, a licitante que ofertar o menor valor para o item objeto desta licitação, </w:t>
      </w:r>
      <w:r>
        <w:rPr>
          <w:rFonts w:cs="Arial"/>
          <w:color w:val="000000"/>
          <w:sz w:val="20"/>
          <w:szCs w:val="20"/>
        </w:rPr>
        <w:t>obtido a partir do percentual de desconto ofertado n</w:t>
      </w:r>
      <w:r>
        <w:rPr>
          <w:rFonts w:cs="Arial"/>
          <w:color w:val="000000"/>
          <w:sz w:val="20"/>
          <w:szCs w:val="20"/>
        </w:rPr>
        <w:t xml:space="preserve">o </w:t>
      </w:r>
      <w:r>
        <w:rPr>
          <w:rFonts w:cs="Arial"/>
          <w:color w:val="000000"/>
          <w:sz w:val="20"/>
          <w:szCs w:val="20"/>
        </w:rPr>
        <w:t>valor r</w:t>
      </w:r>
      <w:r>
        <w:rPr>
          <w:rFonts w:cs="Arial"/>
          <w:color w:val="000000"/>
          <w:sz w:val="20"/>
          <w:szCs w:val="20"/>
        </w:rPr>
        <w:t>eferencial presente no subitem 1.1.1 do Termo de Referência.</w:t>
      </w:r>
    </w:p>
    <w:p>
      <w:pPr>
        <w:pStyle w:val="Normal"/>
        <w:widowControl w:val="false"/>
        <w:tabs>
          <w:tab w:val="clear" w:pos="708"/>
          <w:tab w:val="left" w:pos="720" w:leader="none"/>
          <w:tab w:val="left" w:pos="1418" w:leader="none"/>
        </w:tabs>
        <w:spacing w:lineRule="auto" w:line="276"/>
        <w:ind w:left="1134" w:hanging="0"/>
        <w:jc w:val="both"/>
        <w:rPr>
          <w:rFonts w:cs="Arial"/>
          <w:sz w:val="20"/>
          <w:szCs w:val="20"/>
        </w:rPr>
      </w:pPr>
      <w:r>
        <w:rPr>
          <w:rFonts w:cs="Arial"/>
          <w:sz w:val="20"/>
          <w:szCs w:val="20"/>
        </w:rPr>
      </w:r>
    </w:p>
    <w:p>
      <w:pPr>
        <w:pStyle w:val="Normal"/>
        <w:widowControl w:val="false"/>
        <w:tabs>
          <w:tab w:val="clear" w:pos="708"/>
          <w:tab w:val="left" w:pos="720" w:leader="none"/>
          <w:tab w:val="left" w:pos="1418" w:leader="none"/>
        </w:tabs>
        <w:spacing w:lineRule="auto" w:line="276"/>
        <w:ind w:left="-227" w:hanging="0"/>
        <w:jc w:val="both"/>
        <w:rPr>
          <w:sz w:val="20"/>
          <w:szCs w:val="20"/>
        </w:rPr>
      </w:pPr>
      <w:r>
        <w:rPr>
          <w:color w:val="000000"/>
          <w:sz w:val="20"/>
          <w:szCs w:val="20"/>
        </w:rPr>
        <w:t>1.7. Segue o cálculo para atualização dos valores do cardápio básico após o resultado da licitação:</w:t>
      </w:r>
    </w:p>
    <w:p>
      <w:pPr>
        <w:pStyle w:val="Normal"/>
        <w:widowControl w:val="false"/>
        <w:tabs>
          <w:tab w:val="clear" w:pos="708"/>
          <w:tab w:val="left" w:pos="720" w:leader="none"/>
          <w:tab w:val="left" w:pos="1418" w:leader="none"/>
        </w:tabs>
        <w:spacing w:lineRule="auto" w:line="276"/>
        <w:ind w:left="644" w:hanging="0"/>
        <w:jc w:val="both"/>
        <w:rPr>
          <w:rFonts w:eastAsia="Liberation Serif" w:cs="Liberation Serif"/>
          <w:color w:val="000000"/>
          <w:sz w:val="20"/>
          <w:szCs w:val="20"/>
        </w:rPr>
      </w:pPr>
      <w:r>
        <w:rPr>
          <w:rFonts w:eastAsia="Liberation Serif" w:cs="Liberation Serif"/>
          <w:color w:val="000000"/>
          <w:sz w:val="20"/>
          <w:szCs w:val="20"/>
        </w:rPr>
      </w:r>
    </w:p>
    <w:p>
      <w:pPr>
        <w:pStyle w:val="Normal"/>
        <w:widowControl w:val="false"/>
        <w:tabs>
          <w:tab w:val="clear" w:pos="708"/>
          <w:tab w:val="left" w:pos="720" w:leader="none"/>
          <w:tab w:val="left" w:pos="1418" w:leader="none"/>
        </w:tabs>
        <w:spacing w:lineRule="auto" w:line="360"/>
        <w:ind w:left="644" w:hanging="0"/>
        <w:jc w:val="both"/>
        <w:rPr>
          <w:sz w:val="20"/>
          <w:szCs w:val="20"/>
        </w:rPr>
      </w:pPr>
      <w:r>
        <w:rPr>
          <w:b/>
          <w:bCs/>
          <w:color w:val="000000"/>
          <w:sz w:val="20"/>
          <w:szCs w:val="20"/>
          <w:u w:val="single"/>
        </w:rPr>
        <w:t>VGCB: Valor geral estimado do cardápio básico.</w:t>
      </w:r>
    </w:p>
    <w:p>
      <w:pPr>
        <w:pStyle w:val="Normal"/>
        <w:widowControl w:val="false"/>
        <w:tabs>
          <w:tab w:val="clear" w:pos="708"/>
          <w:tab w:val="left" w:pos="720" w:leader="none"/>
          <w:tab w:val="left" w:pos="1418" w:leader="none"/>
        </w:tabs>
        <w:spacing w:lineRule="auto" w:line="360"/>
        <w:ind w:left="644" w:hanging="0"/>
        <w:jc w:val="both"/>
        <w:rPr>
          <w:sz w:val="20"/>
          <w:szCs w:val="20"/>
        </w:rPr>
      </w:pPr>
      <w:r>
        <w:rPr>
          <w:b/>
          <w:bCs/>
          <w:color w:val="000000"/>
          <w:sz w:val="20"/>
          <w:szCs w:val="20"/>
          <w:u w:val="single"/>
        </w:rPr>
        <w:t>VF: Valor final da licitação.</w:t>
      </w:r>
    </w:p>
    <w:p>
      <w:pPr>
        <w:pStyle w:val="Normal"/>
        <w:widowControl w:val="false"/>
        <w:tabs>
          <w:tab w:val="clear" w:pos="708"/>
          <w:tab w:val="left" w:pos="720" w:leader="none"/>
          <w:tab w:val="left" w:pos="1418" w:leader="none"/>
        </w:tabs>
        <w:spacing w:lineRule="auto" w:line="360"/>
        <w:ind w:left="644" w:hanging="0"/>
        <w:jc w:val="both"/>
        <w:rPr>
          <w:sz w:val="20"/>
          <w:szCs w:val="20"/>
        </w:rPr>
      </w:pPr>
      <w:r>
        <w:rPr>
          <w:b/>
          <w:bCs/>
          <w:color w:val="000000"/>
          <w:sz w:val="20"/>
          <w:szCs w:val="20"/>
          <w:u w:val="single"/>
        </w:rPr>
        <w:t>PD: Percentual de desconto da licitação.</w:t>
      </w:r>
    </w:p>
    <w:p>
      <w:pPr>
        <w:pStyle w:val="Normal"/>
        <w:widowControl w:val="false"/>
        <w:tabs>
          <w:tab w:val="clear" w:pos="708"/>
          <w:tab w:val="left" w:pos="720" w:leader="none"/>
          <w:tab w:val="left" w:pos="1418" w:leader="none"/>
        </w:tabs>
        <w:spacing w:lineRule="auto" w:line="360"/>
        <w:ind w:left="644" w:hanging="0"/>
        <w:jc w:val="both"/>
        <w:rPr>
          <w:b/>
          <w:b/>
          <w:bCs/>
          <w:color w:val="000000"/>
          <w:szCs w:val="20"/>
          <w:u w:val="single"/>
        </w:rPr>
      </w:pPr>
      <w:r>
        <w:rPr>
          <w:b/>
          <w:bCs/>
          <w:color w:val="000000"/>
          <w:szCs w:val="20"/>
          <w:u w:val="single"/>
        </w:rPr>
        <w:t>PDD: Percentual de desconto em número decimal</w:t>
      </w:r>
    </w:p>
    <w:p>
      <w:pPr>
        <w:pStyle w:val="Normal"/>
        <w:widowControl w:val="false"/>
        <w:tabs>
          <w:tab w:val="clear" w:pos="708"/>
          <w:tab w:val="left" w:pos="720" w:leader="none"/>
          <w:tab w:val="left" w:pos="1418" w:leader="none"/>
        </w:tabs>
        <w:spacing w:lineRule="auto" w:line="360"/>
        <w:ind w:left="644" w:hanging="0"/>
        <w:jc w:val="both"/>
        <w:rPr>
          <w:b/>
          <w:b/>
          <w:bCs/>
          <w:color w:val="000000"/>
          <w:szCs w:val="20"/>
          <w:u w:val="single"/>
        </w:rPr>
      </w:pPr>
      <w:r>
        <w:rPr>
          <w:b/>
          <w:bCs/>
          <w:color w:val="000000"/>
          <w:szCs w:val="20"/>
          <w:u w:val="single"/>
        </w:rPr>
        <w:t xml:space="preserve">VIC: Valor do item do cardápio básico </w:t>
      </w:r>
    </w:p>
    <w:p>
      <w:pPr>
        <w:pStyle w:val="Normal"/>
        <w:widowControl w:val="false"/>
        <w:tabs>
          <w:tab w:val="clear" w:pos="708"/>
          <w:tab w:val="left" w:pos="720" w:leader="none"/>
          <w:tab w:val="left" w:pos="1418" w:leader="none"/>
        </w:tabs>
        <w:spacing w:lineRule="auto" w:line="360"/>
        <w:ind w:left="644" w:hanging="0"/>
        <w:jc w:val="both"/>
        <w:rPr>
          <w:b/>
          <w:b/>
          <w:bCs/>
          <w:color w:val="000000"/>
          <w:szCs w:val="20"/>
          <w:u w:val="single"/>
        </w:rPr>
      </w:pPr>
      <w:r>
        <w:rPr>
          <w:b/>
          <w:bCs/>
          <w:color w:val="000000"/>
          <w:szCs w:val="20"/>
          <w:u w:val="single"/>
        </w:rPr>
        <w:t>VD: Valor descontado</w:t>
      </w:r>
    </w:p>
    <w:p>
      <w:pPr>
        <w:pStyle w:val="Normal"/>
        <w:widowControl w:val="false"/>
        <w:tabs>
          <w:tab w:val="clear" w:pos="708"/>
          <w:tab w:val="left" w:pos="720" w:leader="none"/>
          <w:tab w:val="left" w:pos="1418" w:leader="none"/>
        </w:tabs>
        <w:spacing w:lineRule="auto" w:line="360"/>
        <w:ind w:left="644" w:hanging="0"/>
        <w:jc w:val="both"/>
        <w:rPr>
          <w:b/>
          <w:b/>
          <w:bCs/>
          <w:color w:val="000000"/>
          <w:szCs w:val="20"/>
          <w:u w:val="single"/>
        </w:rPr>
      </w:pPr>
      <w:r>
        <w:rPr>
          <w:b/>
          <w:bCs/>
          <w:color w:val="000000"/>
          <w:szCs w:val="20"/>
          <w:u w:val="single"/>
        </w:rPr>
        <w:t>VFID: Valor final do item descontado (incluso)</w:t>
      </w:r>
    </w:p>
    <w:p>
      <w:pPr>
        <w:pStyle w:val="Normal"/>
        <w:widowControl w:val="false"/>
        <w:tabs>
          <w:tab w:val="clear" w:pos="708"/>
          <w:tab w:val="left" w:pos="720" w:leader="none"/>
          <w:tab w:val="left" w:pos="1418" w:leader="none"/>
        </w:tabs>
        <w:spacing w:lineRule="auto" w:line="276"/>
        <w:ind w:left="644" w:hanging="0"/>
        <w:jc w:val="both"/>
        <w:rPr>
          <w:rFonts w:eastAsia="Liberation Serif" w:cs="Liberation Serif"/>
          <w:color w:val="000000"/>
          <w:szCs w:val="20"/>
        </w:rPr>
      </w:pPr>
      <w:r>
        <w:rPr>
          <w:rFonts w:eastAsia="Liberation Serif" w:cs="Liberation Serif"/>
          <w:color w:val="000000"/>
          <w:szCs w:val="20"/>
        </w:rPr>
      </w:r>
    </w:p>
    <w:p>
      <w:pPr>
        <w:pStyle w:val="Normal"/>
        <w:widowControl w:val="false"/>
        <w:tabs>
          <w:tab w:val="clear" w:pos="708"/>
          <w:tab w:val="left" w:pos="720" w:leader="none"/>
          <w:tab w:val="left" w:pos="1418" w:leader="none"/>
        </w:tabs>
        <w:spacing w:lineRule="auto" w:line="276"/>
        <w:ind w:left="1361" w:hanging="0"/>
        <w:jc w:val="both"/>
        <w:rPr>
          <w:rFonts w:ascii="Arial" w:hAnsi="Arial"/>
          <w:sz w:val="20"/>
          <w:szCs w:val="20"/>
        </w:rPr>
      </w:pPr>
      <w:r>
        <w:rPr>
          <w:b/>
          <w:bCs/>
          <w:color w:val="000000"/>
          <w:sz w:val="20"/>
          <w:szCs w:val="20"/>
          <w:u w:val="single"/>
        </w:rPr>
        <w:t>1.7.1. Cálculo 1: transformar o desconto da licitação em percentual, para aplicar posteriormente no cardápio básico. (incluso)</w:t>
      </w:r>
    </w:p>
    <w:p>
      <w:pPr>
        <w:pStyle w:val="Normal"/>
        <w:widowControl w:val="false"/>
        <w:tabs>
          <w:tab w:val="clear" w:pos="708"/>
          <w:tab w:val="left" w:pos="720" w:leader="none"/>
          <w:tab w:val="left" w:pos="1418" w:leader="none"/>
        </w:tabs>
        <w:spacing w:lineRule="auto" w:line="276"/>
        <w:ind w:left="2268" w:hanging="0"/>
        <w:jc w:val="both"/>
        <w:rPr>
          <w:rFonts w:ascii="Arial" w:hAnsi="Arial"/>
          <w:b/>
          <w:b/>
          <w:bCs/>
          <w:color w:val="000000"/>
          <w:sz w:val="20"/>
          <w:szCs w:val="20"/>
          <w:u w:val="single"/>
        </w:rPr>
      </w:pPr>
      <w:r>
        <w:rPr>
          <w:b/>
          <w:bCs/>
          <w:color w:val="000000"/>
          <w:sz w:val="20"/>
          <w:szCs w:val="20"/>
          <w:u w:val="single"/>
        </w:rPr>
      </w:r>
    </w:p>
    <w:p>
      <w:pPr>
        <w:pStyle w:val="Normal"/>
        <w:widowControl w:val="false"/>
        <w:tabs>
          <w:tab w:val="clear" w:pos="708"/>
          <w:tab w:val="left" w:pos="720" w:leader="none"/>
          <w:tab w:val="left" w:pos="1418" w:leader="none"/>
        </w:tabs>
        <w:spacing w:lineRule="auto" w:line="276"/>
        <w:ind w:left="1417" w:hanging="0"/>
        <w:jc w:val="both"/>
        <w:rPr>
          <w:rFonts w:ascii="Arial" w:hAnsi="Arial"/>
          <w:sz w:val="20"/>
          <w:szCs w:val="20"/>
        </w:rPr>
      </w:pPr>
      <w:r>
        <w:rPr>
          <w:b/>
          <w:bCs/>
          <w:color w:val="000000"/>
          <w:sz w:val="20"/>
          <w:szCs w:val="20"/>
          <w:u w:val="single"/>
        </w:rPr>
        <w:t xml:space="preserve">VGCB -VF. 100 = PD </w:t>
      </w:r>
      <w:bookmarkStart w:id="0" w:name="30j0zll"/>
      <w:bookmarkEnd w:id="0"/>
    </w:p>
    <w:p>
      <w:pPr>
        <w:pStyle w:val="Normal"/>
        <w:widowControl w:val="false"/>
        <w:tabs>
          <w:tab w:val="clear" w:pos="708"/>
          <w:tab w:val="left" w:pos="720" w:leader="none"/>
          <w:tab w:val="left" w:pos="1418" w:leader="none"/>
        </w:tabs>
        <w:spacing w:lineRule="auto" w:line="360"/>
        <w:ind w:left="1417" w:hanging="0"/>
        <w:jc w:val="both"/>
        <w:rPr>
          <w:rFonts w:ascii="Arial" w:hAnsi="Arial"/>
          <w:sz w:val="20"/>
          <w:szCs w:val="20"/>
        </w:rPr>
      </w:pPr>
      <w:r>
        <w:rPr>
          <w:b/>
          <w:bCs/>
          <w:color w:val="000000"/>
          <w:sz w:val="20"/>
          <w:szCs w:val="20"/>
          <w:u w:val="single"/>
        </w:rPr>
        <w:t>VGCB</w:t>
      </w:r>
    </w:p>
    <w:p>
      <w:pPr>
        <w:pStyle w:val="Normal"/>
        <w:widowControl w:val="false"/>
        <w:tabs>
          <w:tab w:val="clear" w:pos="708"/>
          <w:tab w:val="left" w:pos="720" w:leader="none"/>
          <w:tab w:val="left" w:pos="1418" w:leader="none"/>
        </w:tabs>
        <w:spacing w:lineRule="auto" w:line="360"/>
        <w:ind w:left="2268" w:hanging="0"/>
        <w:jc w:val="both"/>
        <w:rPr>
          <w:rFonts w:ascii="Arial" w:hAnsi="Arial"/>
          <w:b/>
          <w:b/>
          <w:bCs/>
          <w:color w:val="000000"/>
          <w:sz w:val="20"/>
          <w:szCs w:val="20"/>
          <w:u w:val="single"/>
        </w:rPr>
      </w:pPr>
      <w:r>
        <w:rPr>
          <w:b/>
          <w:bCs/>
          <w:color w:val="000000"/>
          <w:sz w:val="20"/>
          <w:szCs w:val="20"/>
          <w:u w:val="single"/>
        </w:rPr>
      </w:r>
    </w:p>
    <w:p>
      <w:pPr>
        <w:pStyle w:val="Normal"/>
        <w:widowControl w:val="false"/>
        <w:tabs>
          <w:tab w:val="clear" w:pos="708"/>
          <w:tab w:val="left" w:pos="720" w:leader="none"/>
          <w:tab w:val="left" w:pos="1418" w:leader="none"/>
        </w:tabs>
        <w:spacing w:lineRule="auto" w:line="360"/>
        <w:ind w:left="1417" w:hanging="0"/>
        <w:jc w:val="both"/>
        <w:rPr>
          <w:rFonts w:ascii="Arial" w:hAnsi="Arial"/>
          <w:sz w:val="20"/>
          <w:szCs w:val="20"/>
        </w:rPr>
      </w:pPr>
      <w:r>
        <w:rPr>
          <w:b/>
          <w:bCs/>
          <w:color w:val="000000"/>
          <w:sz w:val="20"/>
          <w:szCs w:val="20"/>
          <w:u w:val="single"/>
        </w:rPr>
        <w:t>1.7.2. Cálculo 2, aplicar o percentual nos itens do cardápio.(incluso)</w:t>
      </w:r>
    </w:p>
    <w:p>
      <w:pPr>
        <w:pStyle w:val="Normal"/>
        <w:widowControl w:val="false"/>
        <w:tabs>
          <w:tab w:val="clear" w:pos="708"/>
          <w:tab w:val="left" w:pos="720" w:leader="none"/>
          <w:tab w:val="left" w:pos="1418" w:leader="none"/>
        </w:tabs>
        <w:spacing w:lineRule="auto" w:line="360"/>
        <w:ind w:left="2268" w:hanging="0"/>
        <w:jc w:val="both"/>
        <w:rPr>
          <w:rFonts w:ascii="Arial" w:hAnsi="Arial"/>
          <w:b/>
          <w:b/>
          <w:bCs/>
          <w:color w:val="000000"/>
          <w:sz w:val="20"/>
          <w:szCs w:val="20"/>
          <w:u w:val="single"/>
        </w:rPr>
      </w:pPr>
      <w:r>
        <w:rPr>
          <w:b/>
          <w:bCs/>
          <w:color w:val="000000"/>
          <w:sz w:val="20"/>
          <w:szCs w:val="20"/>
          <w:u w:val="single"/>
        </w:rPr>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 xml:space="preserve">1º passo </w:t>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VD/100= PDD</w:t>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2º passo</w:t>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VIC x PDD = VD</w:t>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3º passo</w:t>
      </w:r>
    </w:p>
    <w:p>
      <w:pPr>
        <w:pStyle w:val="Normal"/>
        <w:widowControl w:val="false"/>
        <w:tabs>
          <w:tab w:val="clear" w:pos="708"/>
          <w:tab w:val="left" w:pos="720" w:leader="none"/>
          <w:tab w:val="left" w:pos="1418" w:leader="none"/>
        </w:tabs>
        <w:spacing w:lineRule="auto" w:line="360"/>
        <w:ind w:left="2268" w:hanging="0"/>
        <w:jc w:val="both"/>
        <w:rPr>
          <w:rFonts w:ascii="Arial" w:hAnsi="Arial"/>
          <w:sz w:val="20"/>
          <w:szCs w:val="20"/>
        </w:rPr>
      </w:pPr>
      <w:r>
        <w:rPr>
          <w:b/>
          <w:bCs/>
          <w:color w:val="000000"/>
          <w:sz w:val="20"/>
          <w:szCs w:val="20"/>
          <w:u w:val="single"/>
        </w:rPr>
        <w:t>VIC – VD = VFID</w:t>
      </w:r>
    </w:p>
    <w:p>
      <w:pPr>
        <w:pStyle w:val="Normal"/>
        <w:widowControl w:val="false"/>
        <w:tabs>
          <w:tab w:val="clear" w:pos="708"/>
          <w:tab w:val="left" w:pos="720" w:leader="none"/>
          <w:tab w:val="left" w:pos="1418" w:leader="none"/>
        </w:tabs>
        <w:spacing w:lineRule="auto" w:line="360"/>
        <w:ind w:left="644" w:hanging="0"/>
        <w:jc w:val="both"/>
        <w:rPr>
          <w:rFonts w:ascii="Arial" w:hAnsi="Arial"/>
          <w:color w:val="000000"/>
          <w:sz w:val="20"/>
          <w:szCs w:val="20"/>
        </w:rPr>
      </w:pPr>
      <w:r>
        <w:rPr>
          <w:color w:val="000000"/>
          <w:sz w:val="20"/>
          <w:szCs w:val="20"/>
        </w:rPr>
      </w:r>
    </w:p>
    <w:p>
      <w:pPr>
        <w:pStyle w:val="Normal"/>
        <w:widowControl w:val="false"/>
        <w:tabs>
          <w:tab w:val="clear" w:pos="708"/>
          <w:tab w:val="left" w:pos="720" w:leader="none"/>
          <w:tab w:val="left" w:pos="1418" w:leader="none"/>
        </w:tabs>
        <w:suppressAutoHyphens w:val="true"/>
        <w:bidi w:val="0"/>
        <w:spacing w:lineRule="auto" w:line="360" w:before="0" w:after="0"/>
        <w:ind w:left="2211" w:right="0" w:hanging="0"/>
        <w:jc w:val="both"/>
        <w:rPr>
          <w:rFonts w:ascii="Arial" w:hAnsi="Arial"/>
          <w:sz w:val="20"/>
          <w:szCs w:val="20"/>
        </w:rPr>
      </w:pPr>
      <w:r>
        <w:rPr>
          <w:color w:val="000000"/>
          <w:sz w:val="20"/>
          <w:szCs w:val="20"/>
        </w:rPr>
        <w:t xml:space="preserve">1.7.2.1 </w:t>
      </w:r>
      <w:r>
        <w:rPr>
          <w:rFonts w:eastAsia="Roboto" w:cs="Roboto"/>
          <w:color w:val="000000"/>
          <w:sz w:val="20"/>
          <w:szCs w:val="20"/>
        </w:rPr>
        <w:t xml:space="preserve">O percentual de desconto encontrado após os cálculos demonstrados nas fórmulas acima, deverá ser aplicado, de forma linear </w:t>
      </w:r>
      <w:r>
        <w:rPr>
          <w:rFonts w:eastAsia="Roboto" w:cs="Roboto"/>
          <w:color w:val="000000"/>
          <w:sz w:val="20"/>
          <w:szCs w:val="20"/>
        </w:rPr>
        <w:t>na execução contratual,</w:t>
      </w:r>
      <w:r>
        <w:rPr>
          <w:rFonts w:eastAsia="Roboto" w:cs="Roboto"/>
          <w:color w:val="000000"/>
          <w:sz w:val="20"/>
          <w:szCs w:val="20"/>
        </w:rPr>
        <w:t xml:space="preserve"> em todos os itens que compõem o cardápio básico.</w:t>
      </w:r>
      <w:r>
        <w:rPr>
          <w:color w:val="000000"/>
          <w:sz w:val="20"/>
          <w:szCs w:val="20"/>
        </w:rPr>
        <w:t xml:space="preserve"> </w:t>
      </w:r>
    </w:p>
    <w:p>
      <w:pPr>
        <w:pStyle w:val="Normal"/>
        <w:widowControl w:val="false"/>
        <w:tabs>
          <w:tab w:val="clear" w:pos="708"/>
          <w:tab w:val="left" w:pos="720" w:leader="none"/>
          <w:tab w:val="left" w:pos="1418" w:leader="none"/>
        </w:tabs>
        <w:spacing w:lineRule="auto" w:line="360"/>
        <w:ind w:left="644" w:hanging="0"/>
        <w:jc w:val="both"/>
        <w:rPr>
          <w:rFonts w:ascii="Arial" w:hAnsi="Arial"/>
          <w:sz w:val="20"/>
          <w:szCs w:val="20"/>
        </w:rPr>
      </w:pPr>
      <w:r>
        <w:rPr>
          <w:sz w:val="20"/>
          <w:szCs w:val="20"/>
        </w:rPr>
      </w:r>
    </w:p>
    <w:p>
      <w:pPr>
        <w:pStyle w:val="Normal"/>
        <w:widowControl w:val="false"/>
        <w:tabs>
          <w:tab w:val="clear" w:pos="708"/>
          <w:tab w:val="left" w:pos="720" w:leader="none"/>
          <w:tab w:val="left" w:pos="1418" w:leader="none"/>
        </w:tabs>
        <w:spacing w:lineRule="auto" w:line="288"/>
        <w:ind w:right="34" w:hanging="0"/>
        <w:rPr>
          <w:rFonts w:eastAsia="Roboto" w:cs="Roboto"/>
          <w:b/>
          <w:b/>
          <w:bCs/>
          <w:color w:val="000000"/>
          <w:szCs w:val="20"/>
        </w:rPr>
      </w:pPr>
      <w:r>
        <w:rPr>
          <w:rFonts w:eastAsia="Roboto" w:cs="Roboto"/>
          <w:b/>
          <w:bCs/>
          <w:color w:val="000000"/>
          <w:szCs w:val="20"/>
        </w:rPr>
        <w:t>1.7.3 CARDÁPIO BÁSICO</w:t>
      </w:r>
    </w:p>
    <w:p>
      <w:pPr>
        <w:pStyle w:val="Normal"/>
        <w:widowControl w:val="false"/>
        <w:tabs>
          <w:tab w:val="clear" w:pos="708"/>
          <w:tab w:val="left" w:pos="720" w:leader="none"/>
          <w:tab w:val="left" w:pos="1418" w:leader="none"/>
        </w:tabs>
        <w:spacing w:lineRule="auto" w:line="288"/>
        <w:ind w:left="284" w:right="34" w:hanging="0"/>
        <w:rPr>
          <w:rFonts w:ascii="Times New Roman" w:hAnsi="Times New Roman" w:cs="Times New Roman"/>
          <w:b/>
          <w:b/>
          <w:color w:val="000000"/>
          <w:szCs w:val="20"/>
          <w:shd w:fill="FFFF6D" w:val="clear"/>
        </w:rPr>
      </w:pPr>
      <w:r>
        <w:rPr>
          <w:rFonts w:cs="Times New Roman" w:ascii="Times New Roman" w:hAnsi="Times New Roman"/>
          <w:b/>
          <w:color w:val="000000"/>
          <w:szCs w:val="20"/>
          <w:shd w:fill="FFFF6D" w:val="clear"/>
        </w:rPr>
      </w:r>
    </w:p>
    <w:tbl>
      <w:tblPr>
        <w:tblW w:w="988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139"/>
        <w:gridCol w:w="945"/>
        <w:gridCol w:w="991"/>
        <w:gridCol w:w="3839"/>
        <w:gridCol w:w="991"/>
        <w:gridCol w:w="855"/>
        <w:gridCol w:w="1124"/>
      </w:tblGrid>
      <w:tr>
        <w:trPr/>
        <w:tc>
          <w:tcPr>
            <w:tcW w:w="11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left="-120" w:right="34" w:hanging="0"/>
              <w:jc w:val="center"/>
              <w:rPr>
                <w:rFonts w:eastAsia="Times New Roman"/>
                <w:b/>
                <w:b/>
                <w:color w:val="000000"/>
              </w:rPr>
            </w:pPr>
            <w:r>
              <w:rPr>
                <w:rFonts w:eastAsia="Times New Roman"/>
                <w:b/>
                <w:color w:val="000000"/>
              </w:rPr>
              <w:t>Categoria</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 w:val="left" w:pos="233" w:leader="none"/>
              </w:tabs>
              <w:spacing w:lineRule="auto" w:line="288"/>
              <w:ind w:left="-110" w:right="-113" w:hanging="0"/>
              <w:jc w:val="center"/>
              <w:rPr>
                <w:b/>
                <w:b/>
                <w:color w:val="000000"/>
                <w:sz w:val="18"/>
                <w:szCs w:val="18"/>
              </w:rPr>
            </w:pPr>
            <w:r>
              <w:rPr>
                <w:b/>
                <w:color w:val="000000"/>
                <w:sz w:val="18"/>
                <w:szCs w:val="18"/>
              </w:rPr>
              <w:t>CATMAT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Calibri"/>
                <w:b/>
                <w:b/>
                <w:color w:val="000000"/>
                <w:sz w:val="18"/>
                <w:szCs w:val="18"/>
              </w:rPr>
            </w:pPr>
            <w:r>
              <w:rPr>
                <w:rFonts w:eastAsia="Calibri"/>
                <w:b/>
                <w:color w:val="000000"/>
                <w:sz w:val="18"/>
                <w:szCs w:val="18"/>
              </w:rPr>
              <w:t>Item</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18"/>
                <w:szCs w:val="18"/>
              </w:rPr>
            </w:pPr>
            <w:r>
              <w:rPr>
                <w:rFonts w:eastAsia="Times New Roman"/>
                <w:b/>
                <w:color w:val="000000"/>
                <w:sz w:val="18"/>
                <w:szCs w:val="18"/>
              </w:rPr>
              <w:t>Descrição</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18"/>
                <w:szCs w:val="18"/>
              </w:rPr>
            </w:pPr>
            <w:r>
              <w:rPr>
                <w:rFonts w:eastAsia="Times New Roman"/>
                <w:b/>
                <w:color w:val="000000"/>
                <w:sz w:val="18"/>
                <w:szCs w:val="18"/>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127" w:hanging="0"/>
              <w:jc w:val="center"/>
              <w:rPr>
                <w:rFonts w:eastAsia="Times New Roman"/>
                <w:b/>
                <w:b/>
                <w:color w:val="000000"/>
              </w:rPr>
            </w:pPr>
            <w:r>
              <w:rPr>
                <w:rFonts w:eastAsia="Times New Roman"/>
                <w:b/>
                <w:color w:val="000000"/>
              </w:rPr>
              <w:t>Quant.</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rPr>
            </w:pPr>
            <w:r>
              <w:rPr>
                <w:rFonts w:eastAsia="Times New Roman"/>
                <w:b/>
                <w:color w:val="000000"/>
              </w:rPr>
              <w:t>Vlr. Médio Total  R$</w:t>
            </w:r>
          </w:p>
        </w:tc>
      </w:tr>
      <w:tr>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 w:val="left" w:pos="1185" w:leader="none"/>
              </w:tabs>
              <w:spacing w:lineRule="auto" w:line="288"/>
              <w:ind w:left="-2665" w:right="-10205" w:hanging="0"/>
              <w:jc w:val="center"/>
              <w:rPr/>
            </w:pPr>
            <w:r>
              <w:rPr>
                <w:rFonts w:eastAsia="Times New Roman"/>
                <w:color w:val="000000"/>
              </w:rPr>
              <w:t>Refeição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left="-110" w:hanging="0"/>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01</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rPr>
            </w:pPr>
            <w:r>
              <w:rPr>
                <w:rFonts w:eastAsia="Times New Roman"/>
                <w:b/>
                <w:color w:val="000000"/>
              </w:rPr>
              <w:t xml:space="preserve">Refeição tipo </w:t>
            </w:r>
            <w:r>
              <w:rPr>
                <w:rFonts w:eastAsia="Times New Roman"/>
                <w:b/>
                <w:i/>
                <w:color w:val="000000"/>
              </w:rPr>
              <w:t xml:space="preserve">self-service </w:t>
            </w:r>
            <w:r>
              <w:rPr>
                <w:rFonts w:eastAsia="Times New Roman"/>
                <w:b/>
                <w:color w:val="000000"/>
              </w:rPr>
              <w:t>sem balança com uma proteína:</w:t>
            </w:r>
            <w:r>
              <w:rPr>
                <w:rFonts w:eastAsia="Times New Roman"/>
                <w:color w:val="000000"/>
              </w:rPr>
              <w:t xml:space="preserve"> (Salada crua diariamente e Salada cozida feijão, arroz, macarrão, prato principal a base de proteína como carne bovina, pescado ou frango, guarnição variável, como macaxeira, jerimum/abóbora cozido e/ou batata doce, e fruta</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16,06</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02</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rPr>
            </w:pPr>
            <w:bookmarkStart w:id="1" w:name="_gjdgxs"/>
            <w:bookmarkEnd w:id="1"/>
            <w:r>
              <w:rPr>
                <w:rFonts w:eastAsia="Times New Roman"/>
                <w:b/>
                <w:color w:val="000000"/>
              </w:rPr>
              <w:t xml:space="preserve">Refeição tipo </w:t>
            </w:r>
            <w:r>
              <w:rPr>
                <w:rFonts w:eastAsia="Times New Roman"/>
                <w:b/>
                <w:i/>
                <w:color w:val="000000"/>
              </w:rPr>
              <w:t xml:space="preserve">self-service </w:t>
            </w:r>
            <w:r>
              <w:rPr>
                <w:rFonts w:eastAsia="Times New Roman"/>
                <w:b/>
                <w:color w:val="000000"/>
              </w:rPr>
              <w:t>sem balança com duas proteínas</w:t>
            </w:r>
            <w:r>
              <w:rPr>
                <w:rFonts w:eastAsia="Times New Roman"/>
                <w:color w:val="000000"/>
              </w:rPr>
              <w:t>: Salada crua diariamente e Salada cozida, feijão, arroz, macarrão, prato principal a base de proteína como carne bovina, pescado e/ou frango, guarnição variável, como macaxeira, jerimum/abóbora cozido e/ou batata doce e fruta</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19,54</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03</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Cuscuz de milho com manteiga - 120g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highlight w:val="none"/>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7,00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04</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Cuscuz de milho com ovo e outros recheios - 250g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highlight w:val="none"/>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9,75</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05</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Panqueca recheada, exemplo: frango desfiado, carne moída, queijo de coalho assado etc- 300g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hd w:fill="FFFF00" w:val="clea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10,68</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06</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Tapioca simples – 100g (com manteiga e/ou coco ralado)</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6,02</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07</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Tapioca recheada: mínimo 2 recheios 150g (queijo assado e frango desfiado, ovo e queijo assado, carne de sol na nata entre outros)</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9,97</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08</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rPr>
            </w:pPr>
            <w:r>
              <w:rPr>
                <w:rFonts w:eastAsia="Times New Roman"/>
                <w:color w:val="000000"/>
              </w:rPr>
              <w:t>Batata-doce com mínimo de 2 recheios:</w:t>
            </w:r>
            <w:r>
              <w:rPr>
                <w:rFonts w:eastAsia="Liberation Serif"/>
                <w:color w:val="000000"/>
              </w:rPr>
              <w:t xml:space="preserve"> </w:t>
            </w:r>
            <w:r>
              <w:rPr>
                <w:rFonts w:eastAsia="Times New Roman"/>
                <w:color w:val="000000"/>
              </w:rPr>
              <w:t>frango cozido e queijo de coalho assado, ovo e queijo de coalho assado etc. 300g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hd w:fill="FFFF00" w:val="clea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10,00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09</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Macaxeira com carne cozida ou outras opções de recheio: carne moída, queijo assado. 300g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hd w:fill="FFFF00" w:val="clea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highlight w:val="none"/>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9,48</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15210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rPr>
            </w:pPr>
            <w:r>
              <w:rPr>
                <w:rFonts w:eastAsia="Calibri"/>
                <w:color w:val="000000"/>
              </w:rPr>
              <w:t>10</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Sopa - 300ml/500ml (Prepara com e proteína como carne bovina, frango ou peixe, leguminosa como feijão, lentilha etc, cereal como arroz etc, legumes e acompanhada de um produto de panificação)</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hd w:fill="FFFF00" w:val="clea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11,29</w:t>
            </w:r>
          </w:p>
        </w:tc>
      </w:tr>
      <w:tr>
        <w:trPr/>
        <w:tc>
          <w:tcPr>
            <w:tcW w:w="8760" w:type="dxa"/>
            <w:gridSpan w:val="6"/>
            <w:tcBorders>
              <w:top w:val="single" w:sz="4" w:space="0" w:color="000000"/>
              <w:left w:val="single" w:sz="4" w:space="0" w:color="000000"/>
              <w:bottom w:val="single" w:sz="4" w:space="0" w:color="000000"/>
            </w:tcBorders>
            <w:shd w:color="auto" w:fill="92D050" w:val="clear"/>
            <w:vAlign w:val="center"/>
          </w:tcPr>
          <w:p>
            <w:pPr>
              <w:pStyle w:val="LOnormal"/>
              <w:widowControl w:val="false"/>
              <w:spacing w:lineRule="auto" w:line="288"/>
              <w:jc w:val="center"/>
              <w:rPr>
                <w:rFonts w:eastAsia="Times New Roman"/>
                <w:b/>
                <w:b/>
                <w:color w:val="000000"/>
              </w:rPr>
            </w:pPr>
            <w:r>
              <w:rPr>
                <w:rFonts w:eastAsia="Times New Roman"/>
                <w:b/>
                <w:bCs/>
                <w:color w:val="000000"/>
                <w:sz w:val="18"/>
                <w:szCs w:val="18"/>
              </w:rPr>
              <w:t>Subtotal Categoria Refeição R$</w:t>
            </w:r>
          </w:p>
        </w:tc>
        <w:tc>
          <w:tcPr>
            <w:tcW w:w="112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pBdr/>
              <w:spacing w:lineRule="auto" w:line="288" w:before="0" w:after="0"/>
              <w:ind w:left="0" w:right="37" w:hanging="0"/>
              <w:jc w:val="center"/>
              <w:rPr>
                <w:b/>
                <w:b/>
                <w:highlight w:val="none"/>
                <w:shd w:fill="auto" w:val="clear"/>
              </w:rPr>
            </w:pPr>
            <w:r>
              <w:rPr>
                <w:b/>
                <w:shd w:fill="auto" w:val="clear"/>
              </w:rPr>
              <w:t>10</w:t>
            </w:r>
            <w:r>
              <w:rPr>
                <w:b/>
                <w:shd w:fill="auto" w:val="clear"/>
              </w:rPr>
              <w:t>9</w:t>
            </w:r>
            <w:r>
              <w:rPr>
                <w:b/>
                <w:shd w:fill="auto" w:val="clear"/>
              </w:rPr>
              <w:t>,</w:t>
            </w:r>
            <w:r>
              <w:rPr>
                <w:b/>
                <w:shd w:fill="auto" w:val="clear"/>
              </w:rPr>
              <w:t>79</w:t>
            </w:r>
          </w:p>
        </w:tc>
      </w:tr>
      <w:tr>
        <w:trPr/>
        <w:tc>
          <w:tcPr>
            <w:tcW w:w="1139"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18"/>
                <w:szCs w:val="18"/>
              </w:rPr>
            </w:pPr>
            <w:r>
              <w:rPr>
                <w:rFonts w:eastAsia="Times New Roman"/>
                <w:b/>
                <w:color w:val="000000"/>
                <w:sz w:val="18"/>
                <w:szCs w:val="18"/>
              </w:rPr>
              <w:t>Categoria</w:t>
            </w:r>
          </w:p>
        </w:tc>
        <w:tc>
          <w:tcPr>
            <w:tcW w:w="94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left="-110" w:right="-57" w:hanging="0"/>
              <w:jc w:val="center"/>
              <w:rPr>
                <w:rFonts w:eastAsia="Times New Roman"/>
                <w:b/>
                <w:b/>
                <w:color w:val="000000"/>
                <w:sz w:val="18"/>
                <w:szCs w:val="18"/>
              </w:rPr>
            </w:pPr>
            <w:r>
              <w:rPr>
                <w:rFonts w:eastAsia="Times New Roman"/>
                <w:b/>
                <w:color w:val="000000"/>
                <w:sz w:val="18"/>
                <w:szCs w:val="18"/>
              </w:rPr>
              <w:t>CATMAT</w:t>
            </w:r>
          </w:p>
        </w:tc>
        <w:tc>
          <w:tcPr>
            <w:tcW w:w="991"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18"/>
                <w:szCs w:val="18"/>
              </w:rPr>
            </w:pPr>
            <w:r>
              <w:rPr>
                <w:rFonts w:eastAsia="Calibri"/>
                <w:b/>
                <w:color w:val="000000"/>
                <w:sz w:val="18"/>
                <w:szCs w:val="18"/>
              </w:rPr>
              <w:t>Item</w:t>
            </w:r>
          </w:p>
        </w:tc>
        <w:tc>
          <w:tcPr>
            <w:tcW w:w="3839"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18"/>
                <w:szCs w:val="18"/>
              </w:rPr>
            </w:pPr>
            <w:r>
              <w:rPr>
                <w:rFonts w:eastAsia="Times New Roman"/>
                <w:b/>
                <w:color w:val="000000"/>
                <w:sz w:val="18"/>
                <w:szCs w:val="18"/>
              </w:rPr>
              <w:t>Descrição</w:t>
            </w:r>
          </w:p>
        </w:tc>
        <w:tc>
          <w:tcPr>
            <w:tcW w:w="991"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18"/>
                <w:szCs w:val="18"/>
              </w:rPr>
            </w:pPr>
            <w:r>
              <w:rPr>
                <w:rFonts w:eastAsia="Times New Roman"/>
                <w:b/>
                <w:color w:val="000000"/>
                <w:sz w:val="18"/>
                <w:szCs w:val="18"/>
              </w:rPr>
              <w:t>Unid.</w:t>
            </w:r>
          </w:p>
        </w:tc>
        <w:tc>
          <w:tcPr>
            <w:tcW w:w="855"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rPr>
            </w:pPr>
            <w:r>
              <w:rPr>
                <w:rFonts w:eastAsia="Times New Roman"/>
                <w:b/>
                <w:color w:val="000000"/>
              </w:rPr>
              <w:t>Quant.</w:t>
            </w:r>
          </w:p>
        </w:tc>
        <w:tc>
          <w:tcPr>
            <w:tcW w:w="112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rPr>
            </w:pPr>
            <w:r>
              <w:rPr>
                <w:rFonts w:eastAsia="Times New Roman"/>
                <w:b/>
                <w:color w:val="000000"/>
              </w:rPr>
              <w:t>Vlr médio Total R$</w:t>
            </w:r>
          </w:p>
        </w:tc>
      </w:tr>
      <w:tr>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rPr>
            </w:pPr>
            <w:r>
              <w:rPr>
                <w:rFonts w:eastAsia="Times New Roman"/>
                <w:b/>
                <w:color w:val="000000"/>
              </w:rPr>
              <w:t>Bebida</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44548</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11</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Água mineral sem gás (garrafa 500 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highlight w:val="none"/>
                <w:shd w:fill="auto" w:val="clear"/>
              </w:rPr>
            </w:pPr>
            <w:r>
              <w:rPr>
                <w:shd w:fill="auto" w:val="clear"/>
              </w:rPr>
              <w:t>2</w:t>
            </w:r>
            <w:r>
              <w:rPr>
                <w:shd w:fill="auto" w:val="clear"/>
              </w:rPr>
              <w:t>,</w:t>
            </w:r>
            <w:r>
              <w:rPr>
                <w:shd w:fill="auto" w:val="clear"/>
              </w:rPr>
              <w:t>94</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445481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12</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Água mineral com gás (garrafa 500 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3,68</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color w:val="000000"/>
              </w:rPr>
            </w:pPr>
            <w:r>
              <w:rPr>
                <w:rFonts w:eastAsia="Times New Roman"/>
                <w:color w:val="000000"/>
              </w:rPr>
              <w:t>463565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13</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rPr>
            </w:pPr>
            <w:r>
              <w:rPr>
                <w:rFonts w:eastAsia="Times New Roman"/>
                <w:color w:val="000000"/>
              </w:rPr>
              <w:t>Café com leite (com e sem açúcar) - 200ml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3,6</w:t>
            </w:r>
            <w:r>
              <w:rPr>
                <w:shd w:fill="auto" w:val="clear"/>
              </w:rPr>
              <w:t>6</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color w:val="000000"/>
              </w:rPr>
            </w:pPr>
            <w:r>
              <w:rPr>
                <w:rFonts w:eastAsia="Calibri"/>
                <w:color w:val="000000"/>
              </w:rPr>
              <w:t>463592</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14</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Café simples (com e sem açúcar) - 200ml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pPr>
            <w:r>
              <w:rPr/>
              <w:t>2,52</w:t>
            </w:r>
          </w:p>
        </w:tc>
      </w:tr>
      <w:tr>
        <w:trPr>
          <w:trHeight w:val="366" w:hRule="atLeast"/>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before="240" w:after="0"/>
              <w:jc w:val="center"/>
              <w:rPr>
                <w:rFonts w:eastAsia="Calibri"/>
                <w:color w:val="000000"/>
              </w:rPr>
            </w:pPr>
            <w:r>
              <w:rPr>
                <w:rFonts w:eastAsia="Calibri"/>
                <w:color w:val="000000"/>
              </w:rPr>
              <w:t>245189</w:t>
            </w:r>
          </w:p>
          <w:p>
            <w:pPr>
              <w:pStyle w:val="LOnormal"/>
              <w:widowControl w:val="false"/>
              <w:rPr>
                <w:rFonts w:eastAsia="Liberation Serif"/>
                <w:color w:val="000000"/>
              </w:rPr>
            </w:pPr>
            <w:r>
              <w:rPr>
                <w:rFonts w:eastAsia="Liberation Serif"/>
                <w:color w:val="000000"/>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15</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Chá: erva cidreira- camomila, hortelã-200ml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vertAlign w:val="baseline"/>
              </w:rPr>
              <w:t>3,40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color w:val="000000"/>
              </w:rPr>
            </w:pPr>
            <w:r>
              <w:rPr>
                <w:rFonts w:eastAsia="Times New Roman"/>
                <w:color w:val="000000"/>
              </w:rPr>
              <w:t>464759</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16</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rPr>
            </w:pPr>
            <w:r>
              <w:rPr>
                <w:rFonts w:eastAsia="Times New Roman"/>
                <w:color w:val="000000"/>
              </w:rPr>
              <w:t>Suco de fruta natural (diversos</w:t>
            </w:r>
            <w:r>
              <w:rPr>
                <w:b/>
                <w:color w:val="000000"/>
              </w:rPr>
              <w:t xml:space="preserve">: </w:t>
            </w:r>
            <w:r>
              <w:rPr>
                <w:rFonts w:eastAsia="Times New Roman"/>
                <w:color w:val="000000"/>
              </w:rPr>
              <w:t>laranja, laranja com mamão, abacaxi, abacaxi com hortelã, maracujá, limão, acerola, manga, etc. com e sem açúcar, feitos na hora de servir</w:t>
            </w:r>
            <w:r>
              <w:rPr>
                <w:rFonts w:eastAsia="Times New Roman"/>
                <w:b/>
                <w:color w:val="000000"/>
              </w:rPr>
              <w:t>)</w:t>
            </w:r>
            <w:r>
              <w:rPr>
                <w:rFonts w:eastAsia="Liberation Serif"/>
                <w:color w:val="000000"/>
              </w:rPr>
              <w:t xml:space="preserve"> </w:t>
            </w:r>
            <w:r>
              <w:rPr>
                <w:rFonts w:eastAsia="Times New Roman"/>
                <w:color w:val="000000"/>
              </w:rPr>
              <w:t>- 300ml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pPr>
            <w:r>
              <w:rPr/>
              <w:t>6,78</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before="240" w:after="240"/>
              <w:jc w:val="center"/>
              <w:rPr>
                <w:rFonts w:eastAsia="Times New Roman"/>
                <w:color w:val="000000"/>
              </w:rPr>
            </w:pPr>
            <w:r>
              <w:rPr>
                <w:rFonts w:eastAsia="Times New Roman"/>
                <w:color w:val="000000"/>
              </w:rPr>
              <w:t>464759</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17</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color w:val="000000"/>
              </w:rPr>
            </w:pPr>
            <w:r>
              <w:rPr>
                <w:rFonts w:eastAsia="Times New Roman"/>
                <w:color w:val="000000"/>
              </w:rPr>
              <w:t>Suco de fruta com polpa (diversos</w:t>
            </w:r>
            <w:r>
              <w:rPr>
                <w:b/>
                <w:color w:val="000000"/>
              </w:rPr>
              <w:t>:</w:t>
            </w:r>
            <w:r>
              <w:rPr>
                <w:rFonts w:eastAsia="Liberation Serif"/>
                <w:color w:val="000000"/>
              </w:rPr>
              <w:t xml:space="preserve"> </w:t>
            </w:r>
            <w:r>
              <w:rPr>
                <w:rFonts w:eastAsia="Times New Roman"/>
                <w:color w:val="000000"/>
              </w:rPr>
              <w:t>abacaxi, abacaxi com hortelã, maracujá, acerola, manga, etc. com e sem açúcar, feitos na hora de servir</w:t>
            </w:r>
            <w:r>
              <w:rPr>
                <w:rFonts w:eastAsia="Times New Roman"/>
                <w:b/>
                <w:color w:val="000000"/>
              </w:rPr>
              <w:t>)</w:t>
            </w:r>
            <w:r>
              <w:rPr>
                <w:rFonts w:eastAsia="Liberation Serif"/>
                <w:color w:val="000000"/>
              </w:rPr>
              <w:t xml:space="preserve"> </w:t>
            </w:r>
            <w:r>
              <w:rPr>
                <w:rFonts w:eastAsia="Times New Roman"/>
                <w:color w:val="000000"/>
              </w:rPr>
              <w:t>- 300ml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pPr>
            <w:r>
              <w:rPr/>
              <w:t>5,44</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color w:val="000000"/>
              </w:rPr>
            </w:pPr>
            <w:r>
              <w:rPr>
                <w:rFonts w:eastAsia="Times New Roman"/>
                <w:color w:val="000000"/>
              </w:rPr>
              <w:t>217795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18</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rFonts w:eastAsia="Times New Roman"/>
                <w:color w:val="000000"/>
              </w:rPr>
            </w:pPr>
            <w:r>
              <w:rPr>
                <w:rFonts w:eastAsia="Times New Roman"/>
                <w:color w:val="000000"/>
              </w:rPr>
              <w:t>Refrigerante - 350ml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pPr>
            <w:r>
              <w:rPr/>
              <w:t>5,02</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56154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19</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rPr>
            </w:pPr>
            <w:r>
              <w:rPr>
                <w:rFonts w:eastAsia="Times New Roman"/>
                <w:color w:val="000000"/>
              </w:rPr>
              <w:t>Vitamina de fruta - 300 ml</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81" w:hanging="0"/>
              <w:jc w:val="center"/>
              <w:rPr>
                <w:highlight w:val="none"/>
                <w:shd w:fill="auto" w:val="clear"/>
              </w:rPr>
            </w:pPr>
            <w:r>
              <w:rPr>
                <w:shd w:fill="auto" w:val="clear"/>
              </w:rPr>
              <w:t>7,35</w:t>
            </w:r>
          </w:p>
        </w:tc>
      </w:tr>
      <w:tr>
        <w:trPr/>
        <w:tc>
          <w:tcPr>
            <w:tcW w:w="8760" w:type="dxa"/>
            <w:gridSpan w:val="6"/>
            <w:tcBorders>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rPr>
            </w:pPr>
            <w:r>
              <w:rPr>
                <w:rFonts w:eastAsia="Times New Roman"/>
                <w:b/>
                <w:bCs/>
                <w:color w:val="000000"/>
                <w:sz w:val="18"/>
                <w:szCs w:val="18"/>
              </w:rPr>
              <w:t>Subtotal Categoria bebida R$</w:t>
            </w:r>
          </w:p>
        </w:tc>
        <w:tc>
          <w:tcPr>
            <w:tcW w:w="1124" w:type="dxa"/>
            <w:tcBorders>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pBdr/>
              <w:spacing w:lineRule="auto" w:line="288" w:before="0" w:after="0"/>
              <w:ind w:left="0" w:right="37" w:hanging="0"/>
              <w:jc w:val="center"/>
              <w:rPr>
                <w:b/>
                <w:b/>
              </w:rPr>
            </w:pPr>
            <w:r>
              <w:rPr>
                <w:b/>
              </w:rPr>
              <w:t>40,79</w:t>
            </w:r>
          </w:p>
        </w:tc>
      </w:tr>
      <w:tr>
        <w:trPr/>
        <w:tc>
          <w:tcPr>
            <w:tcW w:w="1139"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18"/>
                <w:szCs w:val="18"/>
              </w:rPr>
            </w:pPr>
            <w:r>
              <w:rPr>
                <w:rFonts w:eastAsia="Times New Roman"/>
                <w:b/>
                <w:color w:val="000000"/>
                <w:sz w:val="18"/>
                <w:szCs w:val="18"/>
              </w:rPr>
              <w:t>Categoria</w:t>
            </w:r>
          </w:p>
        </w:tc>
        <w:tc>
          <w:tcPr>
            <w:tcW w:w="94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170" w:hanging="0"/>
              <w:jc w:val="center"/>
              <w:rPr>
                <w:rFonts w:eastAsia="Times New Roman"/>
                <w:b/>
                <w:b/>
                <w:color w:val="000000"/>
                <w:sz w:val="18"/>
                <w:szCs w:val="18"/>
              </w:rPr>
            </w:pPr>
            <w:r>
              <w:rPr>
                <w:rFonts w:eastAsia="Times New Roman"/>
                <w:b/>
                <w:color w:val="000000"/>
                <w:sz w:val="18"/>
                <w:szCs w:val="18"/>
              </w:rPr>
              <w:t>CATMAT</w:t>
            </w:r>
          </w:p>
        </w:tc>
        <w:tc>
          <w:tcPr>
            <w:tcW w:w="991"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18"/>
                <w:szCs w:val="18"/>
              </w:rPr>
            </w:pPr>
            <w:r>
              <w:rPr>
                <w:rFonts w:eastAsia="Calibri"/>
                <w:b/>
                <w:color w:val="000000"/>
                <w:sz w:val="18"/>
                <w:szCs w:val="18"/>
              </w:rPr>
              <w:t>Item</w:t>
            </w:r>
          </w:p>
        </w:tc>
        <w:tc>
          <w:tcPr>
            <w:tcW w:w="3839"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18"/>
                <w:szCs w:val="18"/>
              </w:rPr>
            </w:pPr>
            <w:r>
              <w:rPr>
                <w:rFonts w:eastAsia="Times New Roman"/>
                <w:b/>
                <w:color w:val="000000"/>
                <w:sz w:val="18"/>
                <w:szCs w:val="18"/>
              </w:rPr>
              <w:t>Descrição</w:t>
            </w:r>
          </w:p>
        </w:tc>
        <w:tc>
          <w:tcPr>
            <w:tcW w:w="991"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18"/>
                <w:szCs w:val="18"/>
              </w:rPr>
            </w:pPr>
            <w:r>
              <w:rPr>
                <w:rFonts w:eastAsia="Times New Roman"/>
                <w:b/>
                <w:color w:val="000000"/>
                <w:sz w:val="18"/>
                <w:szCs w:val="18"/>
              </w:rPr>
              <w:t>Unid.</w:t>
            </w:r>
          </w:p>
        </w:tc>
        <w:tc>
          <w:tcPr>
            <w:tcW w:w="855"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rPr>
            </w:pPr>
            <w:r>
              <w:rPr>
                <w:rFonts w:eastAsia="Times New Roman"/>
                <w:b/>
                <w:color w:val="000000"/>
              </w:rPr>
              <w:t>Quant.</w:t>
            </w:r>
          </w:p>
        </w:tc>
        <w:tc>
          <w:tcPr>
            <w:tcW w:w="112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rPr>
            </w:pPr>
            <w:r>
              <w:rPr>
                <w:rFonts w:eastAsia="Times New Roman"/>
                <w:b/>
                <w:color w:val="000000"/>
              </w:rPr>
              <w:t>Vlr médio Total  R$</w:t>
            </w:r>
          </w:p>
        </w:tc>
      </w:tr>
      <w:tr>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Panificação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color w:val="000000"/>
              </w:rPr>
            </w:pPr>
            <w:r>
              <w:rPr>
                <w:rFonts w:eastAsia="Times New Roman"/>
                <w:color w:val="000000"/>
              </w:rPr>
              <w:t>252444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20</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rPr>
            </w:pPr>
            <w:r>
              <w:rPr>
                <w:rFonts w:eastAsia="Times New Roman"/>
                <w:color w:val="000000"/>
              </w:rPr>
              <w:t>Misto quente (pão de forma) - 100g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pPr>
            <w:r>
              <w:rPr/>
              <w:t>6,55</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color w:val="000000"/>
              </w:rPr>
            </w:pPr>
            <w:r>
              <w:rPr>
                <w:rFonts w:eastAsia="Times New Roman"/>
                <w:color w:val="000000"/>
              </w:rPr>
              <w:t>332434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21</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rPr>
            </w:pPr>
            <w:r>
              <w:rPr>
                <w:rFonts w:eastAsia="Times New Roman"/>
                <w:color w:val="000000"/>
              </w:rPr>
              <w:t>Pão com queijo de coalho assado - 80g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vertAlign w:val="baseline"/>
              </w:rPr>
              <w:t>5,30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color w:val="000000"/>
              </w:rPr>
            </w:pPr>
            <w:r>
              <w:rPr>
                <w:rFonts w:eastAsia="Times New Roman"/>
                <w:color w:val="000000"/>
              </w:rPr>
              <w:t>332434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22</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rPr>
            </w:pPr>
            <w:r>
              <w:rPr>
                <w:rFonts w:eastAsia="Times New Roman"/>
                <w:color w:val="000000"/>
              </w:rPr>
              <w:t>Pão com ovo - 100g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highlight w:val="none"/>
                <w:shd w:fill="auto" w:val="clear"/>
              </w:rPr>
            </w:pPr>
            <w:r>
              <w:rPr>
                <w:shd w:fill="auto" w:val="clear"/>
              </w:rPr>
              <w:t>4,92</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color w:val="000000"/>
              </w:rPr>
            </w:pPr>
            <w:r>
              <w:rPr>
                <w:rFonts w:eastAsia="Times New Roman"/>
                <w:color w:val="000000"/>
              </w:rPr>
              <w:t>332434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23</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rPr>
            </w:pPr>
            <w:r>
              <w:rPr>
                <w:rFonts w:eastAsia="Times New Roman"/>
                <w:color w:val="000000"/>
              </w:rPr>
              <w:t>Pão francês com manteiga - 60g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pPr>
            <w:r>
              <w:rPr/>
              <w:t>2,31</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color w:val="000000"/>
              </w:rPr>
            </w:pPr>
            <w:r>
              <w:rPr>
                <w:rFonts w:eastAsia="Times New Roman"/>
                <w:color w:val="000000"/>
              </w:rPr>
              <w:t>332434</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24</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rPr>
            </w:pPr>
            <w:r>
              <w:rPr>
                <w:rFonts w:eastAsia="Times New Roman"/>
                <w:color w:val="000000"/>
              </w:rPr>
              <w:t>Sanduíche natural- 160g (pão de forma, frango desfiado, cenoura ralada, alface, tomate)</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pPr>
            <w:r>
              <w:rPr/>
              <w:t>8,65</w:t>
            </w:r>
          </w:p>
        </w:tc>
      </w:tr>
      <w:tr>
        <w:trPr>
          <w:trHeight w:val="540" w:hRule="atLeast"/>
        </w:trPr>
        <w:tc>
          <w:tcPr>
            <w:tcW w:w="8760" w:type="dxa"/>
            <w:gridSpan w:val="6"/>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rPr>
            </w:pPr>
            <w:r>
              <w:rPr>
                <w:rFonts w:eastAsia="Times New Roman"/>
                <w:b/>
                <w:bCs/>
                <w:color w:val="000000"/>
              </w:rPr>
              <w:t>Subtotal Categoria Panificação R$</w:t>
            </w:r>
          </w:p>
        </w:tc>
        <w:tc>
          <w:tcPr>
            <w:tcW w:w="112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pBdr/>
              <w:spacing w:lineRule="auto" w:line="288" w:before="0" w:after="0"/>
              <w:ind w:left="0" w:right="223" w:hanging="0"/>
              <w:jc w:val="center"/>
              <w:rPr>
                <w:b/>
                <w:b/>
              </w:rPr>
            </w:pPr>
            <w:r>
              <w:rPr>
                <w:b/>
              </w:rPr>
              <w:t>27,</w:t>
            </w:r>
            <w:r>
              <w:rPr>
                <w:b/>
              </w:rPr>
              <w:t>73</w:t>
            </w:r>
          </w:p>
        </w:tc>
      </w:tr>
      <w:tr>
        <w:trPr>
          <w:trHeight w:val="540" w:hRule="atLeast"/>
        </w:trPr>
        <w:tc>
          <w:tcPr>
            <w:tcW w:w="11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18"/>
                <w:szCs w:val="18"/>
              </w:rPr>
            </w:pPr>
            <w:r>
              <w:rPr>
                <w:rFonts w:eastAsia="Times New Roman"/>
                <w:b/>
                <w:color w:val="000000"/>
                <w:sz w:val="18"/>
                <w:szCs w:val="18"/>
              </w:rPr>
              <w:t>Categoria</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b/>
                <w:b/>
                <w:color w:val="000000"/>
                <w:sz w:val="18"/>
                <w:szCs w:val="18"/>
              </w:rPr>
            </w:pPr>
            <w:r>
              <w:rPr>
                <w:rFonts w:eastAsia="Times New Roman"/>
                <w:b/>
                <w:color w:val="000000"/>
                <w:sz w:val="18"/>
                <w:szCs w:val="18"/>
              </w:rPr>
              <w:t>CATMAT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18"/>
                <w:szCs w:val="18"/>
              </w:rPr>
            </w:pPr>
            <w:r>
              <w:rPr>
                <w:rFonts w:eastAsia="Calibri"/>
                <w:b/>
                <w:color w:val="000000"/>
                <w:sz w:val="18"/>
                <w:szCs w:val="18"/>
              </w:rPr>
              <w:t>Item</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sz w:val="18"/>
                <w:szCs w:val="18"/>
              </w:rPr>
            </w:pPr>
            <w:r>
              <w:rPr>
                <w:rFonts w:eastAsia="Times New Roman"/>
                <w:b/>
                <w:color w:val="000000"/>
                <w:sz w:val="18"/>
                <w:szCs w:val="18"/>
              </w:rPr>
              <w:t>Descrição</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sz w:val="18"/>
                <w:szCs w:val="18"/>
              </w:rPr>
            </w:pPr>
            <w:r>
              <w:rPr>
                <w:rFonts w:eastAsia="Times New Roman"/>
                <w:b/>
                <w:color w:val="000000"/>
                <w:sz w:val="18"/>
                <w:szCs w:val="18"/>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rPr>
            </w:pPr>
            <w:r>
              <w:rPr>
                <w:rFonts w:eastAsia="Times New Roman"/>
                <w:b/>
                <w:color w:val="000000"/>
              </w:rPr>
              <w:t>Quant.</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rPr>
            </w:pPr>
            <w:r>
              <w:rPr>
                <w:rFonts w:eastAsia="Times New Roman"/>
                <w:b/>
                <w:color w:val="000000"/>
              </w:rPr>
              <w:t>Vlr médio Total  R$</w:t>
            </w:r>
          </w:p>
        </w:tc>
      </w:tr>
      <w:tr>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Salgado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color w:val="000000"/>
              </w:rPr>
            </w:pPr>
            <w:r>
              <w:rPr>
                <w:rFonts w:eastAsia="Times New Roman"/>
                <w:color w:val="000000"/>
              </w:rPr>
              <w:t>270025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25</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rPr>
                <w:rFonts w:eastAsia="Times New Roman"/>
                <w:color w:val="000000"/>
              </w:rPr>
            </w:pPr>
            <w:r>
              <w:rPr>
                <w:rFonts w:eastAsia="Times New Roman"/>
                <w:color w:val="000000"/>
              </w:rPr>
              <w:t>Coxinha de frango - 100g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vertAlign w:val="baseline"/>
              </w:rPr>
              <w:t>5,60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374646</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26</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rPr>
            </w:pPr>
            <w:r>
              <w:rPr>
                <w:rFonts w:eastAsia="Times New Roman"/>
                <w:color w:val="000000"/>
              </w:rPr>
              <w:t>Empada de frango - 100g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pPr>
            <w:r>
              <w:rPr/>
              <w:t>5,92</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374646</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rPr>
            </w:pPr>
            <w:r>
              <w:rPr>
                <w:rFonts w:eastAsia="Calibri"/>
                <w:color w:val="000000"/>
              </w:rPr>
              <w:t>27</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rPr>
            </w:pPr>
            <w:r>
              <w:rPr>
                <w:rFonts w:eastAsia="Times New Roman"/>
                <w:color w:val="000000"/>
              </w:rPr>
              <w:t>Pastel assado impreterivelmente de carne, queijo e/ou frango -100g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highlight w:val="none"/>
                <w:shd w:fill="auto" w:val="clear"/>
              </w:rPr>
            </w:pPr>
            <w:r>
              <w:rPr>
                <w:shd w:fill="auto" w:val="clear"/>
              </w:rPr>
              <w:t>6,58</w:t>
            </w:r>
          </w:p>
        </w:tc>
      </w:tr>
      <w:tr>
        <w:trPr/>
        <w:tc>
          <w:tcPr>
            <w:tcW w:w="8760" w:type="dxa"/>
            <w:gridSpan w:val="6"/>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rPr>
            </w:pPr>
            <w:r>
              <w:rPr>
                <w:rFonts w:eastAsia="Times New Roman"/>
                <w:b/>
                <w:bCs/>
                <w:color w:val="000000"/>
              </w:rPr>
              <w:t>Subtotal Categoria Salgado R$</w:t>
            </w:r>
          </w:p>
        </w:tc>
        <w:tc>
          <w:tcPr>
            <w:tcW w:w="112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pBdr/>
              <w:spacing w:lineRule="auto" w:line="288" w:before="0" w:after="0"/>
              <w:ind w:left="0" w:right="223" w:hanging="0"/>
              <w:jc w:val="center"/>
              <w:rPr/>
            </w:pPr>
            <w:r>
              <w:rPr>
                <w:b/>
              </w:rPr>
              <w:t>18,10</w:t>
            </w:r>
          </w:p>
        </w:tc>
      </w:tr>
      <w:tr>
        <w:trPr/>
        <w:tc>
          <w:tcPr>
            <w:tcW w:w="11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18"/>
                <w:szCs w:val="18"/>
              </w:rPr>
            </w:pPr>
            <w:r>
              <w:rPr>
                <w:rFonts w:eastAsia="Times New Roman"/>
                <w:b/>
                <w:color w:val="000000"/>
                <w:sz w:val="18"/>
                <w:szCs w:val="18"/>
              </w:rPr>
              <w:t>Categoria</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113" w:hanging="0"/>
              <w:jc w:val="center"/>
              <w:rPr>
                <w:rFonts w:eastAsia="Times New Roman"/>
                <w:b/>
                <w:b/>
                <w:color w:val="000000"/>
                <w:sz w:val="18"/>
                <w:szCs w:val="18"/>
              </w:rPr>
            </w:pPr>
            <w:r>
              <w:rPr>
                <w:rFonts w:eastAsia="Times New Roman"/>
                <w:b/>
                <w:color w:val="000000"/>
                <w:sz w:val="18"/>
                <w:szCs w:val="18"/>
              </w:rPr>
              <w:t>CATMAT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18"/>
                <w:szCs w:val="18"/>
              </w:rPr>
            </w:pPr>
            <w:r>
              <w:rPr>
                <w:rFonts w:eastAsia="Calibri"/>
                <w:b/>
                <w:color w:val="000000"/>
                <w:sz w:val="18"/>
                <w:szCs w:val="18"/>
              </w:rPr>
              <w:t>Item</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18"/>
                <w:szCs w:val="18"/>
              </w:rPr>
            </w:pPr>
            <w:r>
              <w:rPr>
                <w:rFonts w:eastAsia="Times New Roman"/>
                <w:b/>
                <w:color w:val="000000"/>
                <w:sz w:val="18"/>
                <w:szCs w:val="18"/>
              </w:rPr>
              <w:t>Descrição</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18"/>
                <w:szCs w:val="18"/>
              </w:rPr>
            </w:pPr>
            <w:r>
              <w:rPr>
                <w:rFonts w:eastAsia="Times New Roman"/>
                <w:b/>
                <w:color w:val="000000"/>
                <w:sz w:val="18"/>
                <w:szCs w:val="18"/>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rPr>
            </w:pPr>
            <w:r>
              <w:rPr>
                <w:rFonts w:eastAsia="Times New Roman"/>
                <w:b/>
                <w:color w:val="000000"/>
              </w:rPr>
              <w:t>Quant.</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rPr>
            </w:pPr>
            <w:r>
              <w:rPr>
                <w:rFonts w:eastAsia="Times New Roman"/>
                <w:b/>
                <w:color w:val="000000"/>
              </w:rPr>
              <w:t>Vlr médio Total  R$</w:t>
            </w:r>
          </w:p>
        </w:tc>
      </w:tr>
      <w:tr>
        <w:trPr>
          <w:trHeight w:val="541" w:hRule="atLeast"/>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Diverso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before="240" w:after="240"/>
              <w:jc w:val="center"/>
              <w:rPr>
                <w:rFonts w:eastAsia="Times New Roman"/>
                <w:color w:val="000000"/>
              </w:rPr>
            </w:pPr>
            <w:r>
              <w:rPr>
                <w:rFonts w:eastAsia="Times New Roman"/>
                <w:color w:val="000000"/>
              </w:rPr>
              <w:t>461692</w:t>
            </w:r>
          </w:p>
        </w:tc>
        <w:tc>
          <w:tcPr>
            <w:tcW w:w="991"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28</w:t>
            </w:r>
          </w:p>
        </w:tc>
        <w:tc>
          <w:tcPr>
            <w:tcW w:w="3839"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ind w:right="80" w:hanging="0"/>
              <w:jc w:val="both"/>
              <w:rPr>
                <w:rFonts w:eastAsia="Times New Roman"/>
                <w:color w:val="000000"/>
              </w:rPr>
            </w:pPr>
            <w:r>
              <w:rPr>
                <w:rFonts w:eastAsia="Times New Roman"/>
                <w:color w:val="000000"/>
              </w:rPr>
              <w:t>Bolo com cobertura de chocolate/banana com canela/maçã 120 gramas.</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rPr>
            </w:pPr>
            <w:r>
              <w:rPr>
                <w:rFonts w:eastAsia="Times New Roman"/>
                <w:color w:val="000000"/>
              </w:rPr>
              <w:t>Fatia</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vertAlign w:val="baseline"/>
              </w:rPr>
              <w:t>5,30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pPr>
            <w:r>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before="240" w:after="240"/>
              <w:jc w:val="center"/>
              <w:rPr>
                <w:rFonts w:eastAsia="Times New Roman"/>
                <w:color w:val="000000"/>
              </w:rPr>
            </w:pPr>
            <w:r>
              <w:rPr>
                <w:rFonts w:eastAsia="Times New Roman"/>
                <w:color w:val="000000"/>
              </w:rPr>
              <w:t>461692</w:t>
            </w:r>
          </w:p>
        </w:tc>
        <w:tc>
          <w:tcPr>
            <w:tcW w:w="991"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29</w:t>
            </w:r>
          </w:p>
        </w:tc>
        <w:tc>
          <w:tcPr>
            <w:tcW w:w="3839"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jc w:val="both"/>
              <w:rPr>
                <w:rFonts w:eastAsia="Times New Roman"/>
                <w:color w:val="000000"/>
              </w:rPr>
            </w:pPr>
            <w:r>
              <w:rPr>
                <w:rFonts w:eastAsia="Times New Roman"/>
                <w:color w:val="000000"/>
              </w:rPr>
              <w:t>Bolo simples caseiro sem cobertura – 100g (coco, laranja, macaxeira, milho, banana, cenoura)</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Fatia</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rFonts w:eastAsia="Times New Roman"/>
                <w:color w:val="000000"/>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highlight w:val="none"/>
                <w:shd w:fill="auto" w:val="clear"/>
              </w:rPr>
            </w:pPr>
            <w:r>
              <w:rPr>
                <w:shd w:fill="auto" w:val="clear"/>
              </w:rPr>
              <w:t>4,30</w:t>
            </w:r>
          </w:p>
        </w:tc>
      </w:tr>
      <w:tr>
        <w:trPr/>
        <w:tc>
          <w:tcPr>
            <w:tcW w:w="113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eastAsia="Times New Roman"/>
                <w:color w:val="000000"/>
              </w:rPr>
            </w:pPr>
            <w:r>
              <w:rPr>
                <w:rFonts w:eastAsia="Times New Roman"/>
                <w:color w:val="000000"/>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223048</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rPr>
            </w:pPr>
            <w:r>
              <w:rPr>
                <w:rFonts w:eastAsia="Calibri"/>
                <w:color w:val="000000"/>
              </w:rPr>
              <w:t>30</w:t>
            </w:r>
          </w:p>
        </w:tc>
        <w:tc>
          <w:tcPr>
            <w:tcW w:w="3839" w:type="dxa"/>
            <w:tcBorders>
              <w:top w:val="single" w:sz="8"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color w:val="000000"/>
              </w:rPr>
            </w:pPr>
            <w:r>
              <w:rPr>
                <w:rFonts w:eastAsia="Times New Roman"/>
                <w:color w:val="000000"/>
              </w:rPr>
              <w:t>Salada de frutas (banana, maçã, melão, laranja, uva e et</w:t>
            </w:r>
            <w:r>
              <w:rPr>
                <w:b/>
                <w:color w:val="000000"/>
              </w:rPr>
              <w:t>c.)</w:t>
            </w:r>
            <w:r>
              <w:rPr>
                <w:rFonts w:eastAsia="Liberation Serif"/>
                <w:color w:val="000000"/>
              </w:rPr>
              <w:t xml:space="preserve"> </w:t>
            </w:r>
            <w:r>
              <w:rPr>
                <w:rFonts w:eastAsia="Times New Roman"/>
                <w:color w:val="000000"/>
              </w:rPr>
              <w:t>- 180 g</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rPr>
            </w:pPr>
            <w:r>
              <w:rPr>
                <w:rFonts w:eastAsia="Times New Roman"/>
                <w:color w:val="000000"/>
              </w:rPr>
              <w:t>Unid.</w:t>
            </w:r>
          </w:p>
        </w:tc>
        <w:tc>
          <w:tcPr>
            <w:tcW w:w="8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rFonts w:eastAsia="Times New Roman"/>
                <w:color w:val="000000"/>
              </w:rPr>
            </w:pPr>
            <w:r>
              <w:rPr/>
              <w:t>01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pBdr/>
              <w:spacing w:lineRule="auto" w:line="288" w:before="0" w:after="0"/>
              <w:ind w:left="0" w:right="223" w:hanging="0"/>
              <w:jc w:val="center"/>
              <w:rPr>
                <w:highlight w:val="none"/>
                <w:shd w:fill="auto" w:val="clear"/>
              </w:rPr>
            </w:pPr>
            <w:r>
              <w:rPr>
                <w:shd w:fill="auto" w:val="clear"/>
              </w:rPr>
              <w:t>4,9</w:t>
            </w:r>
            <w:r>
              <w:rPr>
                <w:shd w:fill="auto" w:val="clear"/>
              </w:rPr>
              <w:t>3</w:t>
            </w:r>
          </w:p>
        </w:tc>
      </w:tr>
      <w:tr>
        <w:trPr/>
        <w:tc>
          <w:tcPr>
            <w:tcW w:w="8760" w:type="dxa"/>
            <w:gridSpan w:val="6"/>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ind w:right="223" w:hanging="0"/>
              <w:jc w:val="center"/>
              <w:rPr/>
            </w:pPr>
            <w:r>
              <w:rPr>
                <w:rFonts w:eastAsia="Times New Roman"/>
                <w:b/>
                <w:bCs/>
                <w:color w:val="000000"/>
              </w:rPr>
              <w:t>Subtotal Categoria Diverso R$</w:t>
            </w:r>
          </w:p>
        </w:tc>
        <w:tc>
          <w:tcPr>
            <w:tcW w:w="112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pBdr/>
              <w:spacing w:lineRule="auto" w:line="288" w:before="0" w:after="0"/>
              <w:ind w:left="0" w:right="223" w:hanging="0"/>
              <w:jc w:val="center"/>
              <w:rPr>
                <w:b/>
                <w:b/>
              </w:rPr>
            </w:pPr>
            <w:r>
              <w:rPr>
                <w:b/>
              </w:rPr>
              <w:t>14,53</w:t>
            </w:r>
          </w:p>
        </w:tc>
      </w:tr>
      <w:tr>
        <w:trPr/>
        <w:tc>
          <w:tcPr>
            <w:tcW w:w="8760" w:type="dxa"/>
            <w:gridSpan w:val="6"/>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LOnormal"/>
              <w:widowControl w:val="false"/>
              <w:spacing w:lineRule="auto" w:line="288"/>
              <w:ind w:right="223" w:hanging="0"/>
              <w:jc w:val="center"/>
              <w:rPr/>
            </w:pPr>
            <w:r>
              <w:rPr>
                <w:rFonts w:eastAsia="Times New Roman"/>
                <w:b/>
                <w:bCs/>
                <w:color w:val="000000"/>
              </w:rPr>
              <w:t xml:space="preserve">Total do Kit </w:t>
            </w:r>
            <w:bookmarkStart w:id="2" w:name="_GoBack1"/>
            <w:bookmarkEnd w:id="2"/>
            <w:r>
              <w:rPr>
                <w:rFonts w:eastAsia="Times New Roman"/>
                <w:b/>
                <w:bCs/>
                <w:color w:val="000000"/>
              </w:rPr>
              <w:t>R$</w:t>
            </w:r>
          </w:p>
        </w:tc>
        <w:tc>
          <w:tcPr>
            <w:tcW w:w="1124"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keepNext w:val="false"/>
              <w:keepLines w:val="false"/>
              <w:widowControl w:val="false"/>
              <w:pBdr/>
              <w:spacing w:lineRule="auto" w:line="288" w:before="0" w:after="0"/>
              <w:ind w:left="0" w:right="223" w:hanging="0"/>
              <w:jc w:val="center"/>
              <w:rPr>
                <w:rFonts w:eastAsia="Times New Roman"/>
                <w:color w:val="000000"/>
              </w:rPr>
            </w:pPr>
            <w:r>
              <w:rPr>
                <w:rFonts w:eastAsia="Times New Roman"/>
                <w:b/>
                <w:bCs/>
                <w:color w:val="000000"/>
              </w:rPr>
              <w:t>210,94</w:t>
            </w:r>
          </w:p>
        </w:tc>
      </w:tr>
    </w:tbl>
    <w:p>
      <w:pPr>
        <w:pStyle w:val="Normal"/>
        <w:spacing w:lineRule="auto" w:line="276" w:before="171" w:after="171"/>
        <w:ind w:left="227" w:hanging="0"/>
        <w:jc w:val="both"/>
        <w:rPr>
          <w:color w:val="000000"/>
          <w:szCs w:val="20"/>
        </w:rPr>
      </w:pPr>
      <w:r>
        <w:rPr>
          <w:color w:val="000000"/>
          <w:szCs w:val="20"/>
        </w:rPr>
        <w:t>1.8 A tabela acima compreende os itens obrigatórios do cardápio que deve ser oferecido pela empresa vencedora do certame, sendo necessário, portanto, que a licitação seja realizada com base no somatório dos valores dos itens do cardápio previsto na tabela do subitem 1.1.1, propondo que somente uma empresa sairá vencedora da licitação, inviabilizando, dessa forma, que os itens sejam licitados separadamente.</w:t>
      </w:r>
    </w:p>
    <w:p>
      <w:pPr>
        <w:pStyle w:val="Normal"/>
        <w:spacing w:lineRule="auto" w:line="276" w:before="171" w:after="171"/>
        <w:ind w:left="283" w:hanging="0"/>
        <w:jc w:val="both"/>
        <w:rPr>
          <w:color w:val="000000"/>
          <w:szCs w:val="20"/>
        </w:rPr>
      </w:pPr>
      <w:r>
        <w:rPr>
          <w:color w:val="000000"/>
          <w:szCs w:val="20"/>
        </w:rPr>
        <w:t xml:space="preserve">1.9. </w:t>
      </w:r>
      <w:r>
        <w:rPr>
          <w:rFonts w:eastAsia="Arial" w:cs="Arial"/>
          <w:color w:val="000000"/>
          <w:szCs w:val="20"/>
        </w:rPr>
        <w:t>O contrato terá vigência pelo período de</w:t>
      </w:r>
      <w:r>
        <w:rPr>
          <w:color w:val="000000"/>
          <w:szCs w:val="20"/>
          <w:shd w:fill="FFFFFF" w:val="clear"/>
        </w:rPr>
        <w:t xml:space="preserve"> 12 (doze) meses, contados a partir da assinatura, podendo ser prorrogado por iguais períodos ou inferiores, desde que não ultrapasse o limite de 120 (cento e vinte) meses, a critério das partes, através de correspondente Termo Aditivo ao respectivo contrato. Trata-</w:t>
      </w:r>
      <w:bookmarkStart w:id="3" w:name="_GoBack"/>
      <w:bookmarkEnd w:id="3"/>
      <w:r>
        <w:rPr>
          <w:color w:val="000000"/>
          <w:szCs w:val="20"/>
          <w:shd w:fill="FFFFFF" w:val="clear"/>
        </w:rPr>
        <w:t>se de concessão onerosa, portanto, não necessariamente seguirá os termos do artigo 57 da Lei 8.666/93.</w:t>
      </w:r>
    </w:p>
    <w:p>
      <w:pPr>
        <w:pStyle w:val="Normal"/>
        <w:spacing w:lineRule="auto" w:line="276" w:before="171" w:after="171"/>
        <w:ind w:left="283" w:hanging="0"/>
        <w:jc w:val="both"/>
        <w:rPr>
          <w:color w:val="000000"/>
          <w:szCs w:val="20"/>
          <w:shd w:fill="FFFFFF" w:val="clear"/>
        </w:rPr>
      </w:pPr>
      <w:r>
        <w:rPr>
          <w:color w:val="000000"/>
          <w:szCs w:val="20"/>
          <w:shd w:fill="FFFFFF" w:val="clear"/>
        </w:rPr>
        <w:t xml:space="preserve">1.10 </w:t>
      </w:r>
      <w:r>
        <w:rPr>
          <w:b/>
          <w:bCs/>
          <w:color w:val="000000"/>
          <w:szCs w:val="20"/>
          <w:u w:val="single"/>
          <w:shd w:fill="FFFFFF" w:val="clear"/>
        </w:rPr>
        <w:t xml:space="preserve">A CONCESSIONÁRIA pagará ao IFSertãoPE / </w:t>
      </w:r>
      <w:r>
        <w:rPr>
          <w:b/>
          <w:bCs/>
          <w:i/>
          <w:color w:val="000000"/>
          <w:szCs w:val="20"/>
          <w:u w:val="single"/>
          <w:shd w:fill="FFFFFF" w:val="clear"/>
        </w:rPr>
        <w:t>campus</w:t>
      </w:r>
      <w:r>
        <w:rPr>
          <w:b/>
          <w:bCs/>
          <w:color w:val="000000"/>
          <w:szCs w:val="20"/>
          <w:u w:val="single"/>
          <w:shd w:fill="FFFFFF" w:val="clear"/>
        </w:rPr>
        <w:t xml:space="preserve"> Petrolina uma compensação mensal de R$ 2.048,70(dois mil quarenta e oito reais e setenta centavos) pela concessão de uso da área da cantina, conforme laudo técnico emitido pelo setor competente, estando incluído as despesas com água e energia elétrica</w:t>
      </w:r>
      <w:r>
        <w:rPr>
          <w:color w:val="000000"/>
          <w:szCs w:val="20"/>
          <w:shd w:fill="FFFFFF" w:val="clear"/>
        </w:rPr>
        <w:t>.</w:t>
      </w:r>
    </w:p>
    <w:p>
      <w:pPr>
        <w:pStyle w:val="Normal"/>
        <w:spacing w:lineRule="auto" w:line="276" w:before="171" w:after="171"/>
        <w:ind w:left="794" w:hanging="0"/>
        <w:jc w:val="both"/>
        <w:rPr>
          <w:color w:val="000000"/>
          <w:szCs w:val="20"/>
        </w:rPr>
      </w:pPr>
      <w:r>
        <w:rPr>
          <w:color w:val="000000"/>
          <w:szCs w:val="20"/>
          <w:shd w:fill="FFFFFF" w:val="clear"/>
        </w:rPr>
        <w:t xml:space="preserve">1.10.1 </w:t>
      </w:r>
      <w:r>
        <w:rPr>
          <w:b/>
          <w:color w:val="000000"/>
          <w:szCs w:val="20"/>
          <w:shd w:fill="FFFFFF" w:val="clear"/>
        </w:rPr>
        <w:t xml:space="preserve">O valor do aluguel será reajustado anualmente, na hipótese de prorrogação da vigência do contrato, com base no IGP-M (ÍNDICE GERAL DE PREÇOS DE MERCADO), apurado pela Fundação Getúlio Vargas, ou daquele </w:t>
      </w:r>
      <w:r>
        <w:rPr>
          <w:b/>
          <w:bCs/>
          <w:color w:val="000000"/>
          <w:szCs w:val="20"/>
          <w:u w:val="single"/>
          <w:shd w:fill="FFFFFF" w:val="clear"/>
        </w:rPr>
        <w:t>que vier a substituí-lo.</w:t>
      </w:r>
    </w:p>
    <w:p>
      <w:pPr>
        <w:pStyle w:val="Nivel1"/>
        <w:ind w:left="227" w:hanging="0"/>
        <w:rPr>
          <w:rFonts w:cs="Arial"/>
        </w:rPr>
      </w:pPr>
      <w:r>
        <w:rPr>
          <w:rFonts w:cs="Arial"/>
        </w:rPr>
        <w:t>2. J</w:t>
      </w:r>
      <w:r>
        <w:rPr>
          <w:rFonts w:cs="Arial"/>
          <w:sz w:val="20"/>
          <w:szCs w:val="20"/>
        </w:rPr>
        <w:t>USTIFICATIVA E OBJETIVO DA CONTRATAÇÃO</w:t>
      </w:r>
    </w:p>
    <w:p>
      <w:pPr>
        <w:pStyle w:val="Normal"/>
        <w:spacing w:lineRule="auto" w:line="276" w:before="120" w:after="120"/>
        <w:ind w:left="432" w:hanging="0"/>
        <w:jc w:val="both"/>
        <w:rPr>
          <w:rFonts w:ascii="Arial" w:hAnsi="Arial"/>
          <w:sz w:val="20"/>
          <w:szCs w:val="20"/>
        </w:rPr>
      </w:pPr>
      <w:r>
        <w:rPr>
          <w:sz w:val="20"/>
          <w:szCs w:val="20"/>
        </w:rPr>
        <w:t xml:space="preserve">2.1 A Justificativa e objetivo da contratação encontram-se pormenorizados em Tópico específico dos Estudos Técnicos Preliminares, apêndice deste Termo de Referência. </w:t>
      </w:r>
    </w:p>
    <w:p>
      <w:pPr>
        <w:pStyle w:val="Nivel1"/>
        <w:tabs>
          <w:tab w:val="clear" w:pos="708"/>
          <w:tab w:val="left" w:pos="345" w:leader="none"/>
        </w:tabs>
        <w:ind w:left="283" w:hanging="0"/>
        <w:rPr>
          <w:rFonts w:ascii="Arial" w:hAnsi="Arial"/>
          <w:sz w:val="20"/>
          <w:szCs w:val="20"/>
        </w:rPr>
      </w:pPr>
      <w:r>
        <w:rPr>
          <w:rFonts w:cs="Arial"/>
          <w:sz w:val="20"/>
          <w:szCs w:val="20"/>
        </w:rPr>
        <w:t>3. DESCRIÇÃO</w:t>
      </w:r>
      <w:r>
        <w:rPr>
          <w:sz w:val="20"/>
          <w:szCs w:val="20"/>
        </w:rPr>
        <w:t xml:space="preserve"> DA SOLUÇÃO:</w:t>
      </w:r>
    </w:p>
    <w:p>
      <w:pPr>
        <w:pStyle w:val="Normal"/>
        <w:spacing w:lineRule="auto" w:line="276" w:before="120" w:after="120"/>
        <w:ind w:left="425" w:hanging="0"/>
        <w:jc w:val="both"/>
        <w:rPr>
          <w:rFonts w:ascii="Arial" w:hAnsi="Arial"/>
          <w:sz w:val="20"/>
          <w:szCs w:val="20"/>
        </w:rPr>
      </w:pPr>
      <w:r>
        <w:rPr>
          <w:sz w:val="20"/>
          <w:szCs w:val="20"/>
        </w:rPr>
        <w:t xml:space="preserve">3.1 A descrição da solução como um todo encontra-se pormenorizada em Tópico específico </w:t>
      </w:r>
      <w:r>
        <w:rPr>
          <w:rFonts w:cs="Arial"/>
          <w:sz w:val="20"/>
          <w:szCs w:val="20"/>
        </w:rPr>
        <w:t>dos</w:t>
      </w:r>
      <w:r>
        <w:rPr>
          <w:sz w:val="20"/>
          <w:szCs w:val="20"/>
        </w:rPr>
        <w:t xml:space="preserve"> Estudos Técnicos Preliminares, apêndice deste Termo de Referência.</w:t>
      </w:r>
    </w:p>
    <w:p>
      <w:pPr>
        <w:pStyle w:val="Nivel1"/>
        <w:ind w:left="227" w:hanging="0"/>
        <w:rPr>
          <w:rFonts w:ascii="Arial" w:hAnsi="Arial"/>
          <w:sz w:val="20"/>
          <w:szCs w:val="20"/>
        </w:rPr>
      </w:pPr>
      <w:r>
        <w:rPr>
          <w:rFonts w:cs="Arial"/>
          <w:sz w:val="20"/>
          <w:szCs w:val="20"/>
        </w:rPr>
        <w:t xml:space="preserve">4. DA CLASSIFICAÇÃO DOS SERVIÇOS </w:t>
      </w:r>
      <w:r>
        <w:rPr>
          <w:rFonts w:cs="Arial"/>
          <w:bCs/>
          <w:sz w:val="20"/>
          <w:szCs w:val="20"/>
        </w:rPr>
        <w:t>E FORMA DE SELEÇÃO DO FORNECEDOR</w:t>
      </w:r>
    </w:p>
    <w:p>
      <w:pPr>
        <w:pStyle w:val="Normal"/>
        <w:spacing w:lineRule="auto" w:line="276" w:before="120" w:after="120"/>
        <w:ind w:left="283" w:hanging="0"/>
        <w:jc w:val="both"/>
        <w:rPr>
          <w:rFonts w:ascii="Arial" w:hAnsi="Arial"/>
          <w:sz w:val="20"/>
          <w:szCs w:val="20"/>
        </w:rPr>
      </w:pPr>
      <w:r>
        <w:rPr>
          <w:rFonts w:cs="Arial"/>
          <w:iCs/>
          <w:sz w:val="20"/>
          <w:szCs w:val="20"/>
        </w:rPr>
        <w:t>4.1 Trata-se de serviço comum, de caráter continuado e sem fornecimento de mão de obra em regime de dedicação exclusiva, a ser contratado mediante licitação, na modalidade pregão, em sua forma eletrônica.</w:t>
      </w:r>
    </w:p>
    <w:p>
      <w:pPr>
        <w:pStyle w:val="Normal"/>
        <w:spacing w:lineRule="auto" w:line="276" w:before="120" w:after="120"/>
        <w:ind w:left="425" w:hanging="0"/>
        <w:jc w:val="both"/>
        <w:rPr>
          <w:rFonts w:ascii="Arial" w:hAnsi="Arial"/>
          <w:sz w:val="20"/>
          <w:szCs w:val="20"/>
        </w:rPr>
      </w:pPr>
      <w:r>
        <w:rPr>
          <w:rFonts w:cs="Arial"/>
          <w:color w:val="000000"/>
          <w:sz w:val="20"/>
          <w:szCs w:val="20"/>
        </w:rPr>
        <w:t>4.2 Os serviços a serem contratados enquadram-se nos pressupostos do Decreto n° 9.507, de 21 de setembro de 2018, não se constituindo em quaisquer das atividades, previstas no art. 3º do aludido decreto, cuja execução indireta é vedada.</w:t>
      </w:r>
    </w:p>
    <w:p>
      <w:pPr>
        <w:pStyle w:val="Normal"/>
        <w:spacing w:lineRule="auto" w:line="276" w:before="120" w:after="120"/>
        <w:ind w:left="425" w:hanging="0"/>
        <w:jc w:val="both"/>
        <w:rPr>
          <w:rFonts w:ascii="Arial" w:hAnsi="Arial"/>
          <w:sz w:val="20"/>
          <w:szCs w:val="20"/>
        </w:rPr>
      </w:pPr>
      <w:r>
        <w:rPr>
          <w:rFonts w:cs="Arial"/>
          <w:color w:val="000000"/>
          <w:sz w:val="20"/>
          <w:szCs w:val="20"/>
        </w:rPr>
        <w:t>4.3 A prestação dos serviços não gera vínculo empregatício entre os empregados da CONCESSIONÁRIA e a Administração CONCEDENTE, vedando-se qualquer relação entre estes que caracterize pessoalidade e subordinação direta.</w:t>
      </w:r>
    </w:p>
    <w:p>
      <w:pPr>
        <w:pStyle w:val="Normal"/>
        <w:spacing w:lineRule="auto" w:line="276" w:before="120" w:after="120"/>
        <w:ind w:left="425" w:hanging="0"/>
        <w:jc w:val="both"/>
        <w:rPr>
          <w:rFonts w:ascii="Arial" w:hAnsi="Arial"/>
          <w:sz w:val="20"/>
          <w:szCs w:val="20"/>
        </w:rPr>
      </w:pPr>
      <w:r>
        <w:rPr>
          <w:rFonts w:cs="Arial"/>
          <w:b/>
          <w:bCs/>
          <w:color w:val="000000"/>
          <w:sz w:val="20"/>
          <w:szCs w:val="20"/>
          <w:u w:val="single"/>
        </w:rPr>
        <w:t>4.4 Os serviços a serem contratados enquadram-se nos pressupostos do Decreto n.º 3725/2001 que dispõe sobre a utilização dos bens imóveis de domínio da União.</w:t>
      </w:r>
    </w:p>
    <w:p>
      <w:pPr>
        <w:pStyle w:val="Nivel1"/>
        <w:ind w:left="397" w:hanging="0"/>
        <w:rPr>
          <w:rFonts w:ascii="Arial" w:hAnsi="Arial"/>
          <w:sz w:val="20"/>
          <w:szCs w:val="20"/>
        </w:rPr>
      </w:pPr>
      <w:r>
        <w:rPr>
          <w:rFonts w:cs="Arial"/>
          <w:sz w:val="20"/>
          <w:szCs w:val="20"/>
        </w:rPr>
        <w:t>5. REQUISITOS DA CONTRATAÇÃO</w:t>
      </w:r>
    </w:p>
    <w:p>
      <w:pPr>
        <w:pStyle w:val="Normal"/>
        <w:spacing w:before="0" w:after="120"/>
        <w:ind w:left="716" w:hanging="0"/>
        <w:jc w:val="both"/>
        <w:rPr>
          <w:rFonts w:ascii="Arial" w:hAnsi="Arial" w:cs="Arial"/>
          <w:sz w:val="20"/>
          <w:szCs w:val="20"/>
        </w:rPr>
      </w:pPr>
      <w:r>
        <w:rPr>
          <w:rFonts w:cs="Arial"/>
          <w:sz w:val="20"/>
          <w:szCs w:val="20"/>
        </w:rPr>
      </w:r>
    </w:p>
    <w:p>
      <w:pPr>
        <w:pStyle w:val="Normal"/>
        <w:ind w:left="716" w:hanging="0"/>
        <w:jc w:val="both"/>
        <w:rPr>
          <w:rFonts w:ascii="Arial" w:hAnsi="Arial"/>
          <w:sz w:val="20"/>
          <w:szCs w:val="20"/>
        </w:rPr>
      </w:pPr>
      <w:r>
        <w:rPr>
          <w:rFonts w:cs="Arial"/>
          <w:sz w:val="20"/>
          <w:szCs w:val="20"/>
        </w:rPr>
        <w:t>5.1 Conforme Estudos Preliminares, os requisitos da contratação abrangem o seguinte:</w:t>
      </w:r>
    </w:p>
    <w:p>
      <w:pPr>
        <w:pStyle w:val="Normal"/>
        <w:spacing w:before="0" w:after="120"/>
        <w:ind w:left="1922" w:hanging="0"/>
        <w:jc w:val="both"/>
        <w:rPr>
          <w:rFonts w:ascii="Arial" w:hAnsi="Arial" w:cs="Arial"/>
          <w:i/>
          <w:i/>
          <w:iCs/>
          <w:sz w:val="20"/>
          <w:szCs w:val="20"/>
        </w:rPr>
      </w:pPr>
      <w:r>
        <w:rPr>
          <w:rFonts w:cs="Arial"/>
          <w:i/>
          <w:iCs/>
          <w:sz w:val="20"/>
          <w:szCs w:val="20"/>
        </w:rPr>
      </w:r>
    </w:p>
    <w:p>
      <w:pPr>
        <w:pStyle w:val="Normal"/>
        <w:spacing w:lineRule="auto" w:line="276" w:before="119" w:after="119"/>
        <w:ind w:left="964" w:hanging="0"/>
        <w:jc w:val="both"/>
        <w:rPr>
          <w:rFonts w:ascii="Arial" w:hAnsi="Arial"/>
          <w:sz w:val="20"/>
          <w:szCs w:val="20"/>
        </w:rPr>
      </w:pPr>
      <w:r>
        <w:rPr>
          <w:rFonts w:cs="Arial"/>
          <w:b/>
          <w:bCs/>
          <w:sz w:val="20"/>
          <w:szCs w:val="20"/>
          <w:u w:val="single"/>
        </w:rPr>
        <w:t>5.1.1  Requisitos de qualificação: Em razão da demanda, da especialidade da supracitada atividade comercial e, sobretudo, da necessidade de contratação de mão de obra, em que a Concessionária deverá observar o cumprimento dos encargos de natureza trabalhista, previdenciária e tributária, faz-se necessário que a licitante apresente atestado de capacidade técnica, a fim de comprovar um mínimo de especialidade no ramo.</w:t>
      </w:r>
    </w:p>
    <w:p>
      <w:pPr>
        <w:pStyle w:val="Normal"/>
        <w:spacing w:lineRule="auto" w:line="276" w:before="119" w:after="119"/>
        <w:ind w:left="964" w:hanging="0"/>
        <w:jc w:val="both"/>
        <w:rPr>
          <w:rFonts w:ascii="Arial" w:hAnsi="Arial"/>
          <w:sz w:val="20"/>
          <w:szCs w:val="20"/>
        </w:rPr>
      </w:pPr>
      <w:r>
        <w:rPr>
          <w:rFonts w:cs="Arial"/>
          <w:b/>
          <w:bCs/>
          <w:sz w:val="20"/>
          <w:szCs w:val="20"/>
          <w:u w:val="single"/>
        </w:rPr>
        <w:t>5.1.2 Requisito temporal: O prazo de vigência da Concessão de Uso será de 12 (doze) meses, podendo ser prorrogado por interesse das partes até o limite de 120 (cento e vinte meses) meses.</w:t>
      </w:r>
    </w:p>
    <w:p>
      <w:pPr>
        <w:pStyle w:val="Normal"/>
        <w:spacing w:lineRule="auto" w:line="276" w:before="119" w:after="119"/>
        <w:ind w:left="964" w:hanging="0"/>
        <w:jc w:val="both"/>
        <w:rPr>
          <w:rFonts w:ascii="Arial" w:hAnsi="Arial"/>
          <w:sz w:val="20"/>
          <w:szCs w:val="20"/>
        </w:rPr>
      </w:pPr>
      <w:r>
        <w:rPr>
          <w:rFonts w:cs="Arial"/>
          <w:b/>
          <w:bCs/>
          <w:sz w:val="20"/>
          <w:szCs w:val="20"/>
          <w:u w:val="single"/>
        </w:rPr>
        <w:t>5.1.3 Requisito da disponibilidade de horário: Tendo em vista que as atividades do campus Petrolina ocorrem nos períodos matutino, vespertino e noturno, o horário de funcionamento da lanchonete/cantina será de 07h às 21h.</w:t>
      </w:r>
    </w:p>
    <w:p>
      <w:pPr>
        <w:pStyle w:val="Normal"/>
        <w:spacing w:lineRule="auto" w:line="276" w:before="119" w:after="119"/>
        <w:ind w:left="964" w:hanging="0"/>
        <w:jc w:val="both"/>
        <w:rPr>
          <w:rFonts w:ascii="Arial" w:hAnsi="Arial"/>
          <w:sz w:val="20"/>
          <w:szCs w:val="20"/>
        </w:rPr>
      </w:pPr>
      <w:r>
        <w:rPr>
          <w:rFonts w:cs="Arial"/>
          <w:b/>
          <w:bCs/>
          <w:sz w:val="20"/>
          <w:szCs w:val="20"/>
          <w:u w:val="single"/>
        </w:rPr>
        <w:t>5.1.4 A concessionária deverá afixar em local visível painel com os preços dos produtos que compõem o cardápio disponível no estabelecimento durante toda a vigência do contrato.</w:t>
      </w:r>
    </w:p>
    <w:p>
      <w:pPr>
        <w:pStyle w:val="Normal"/>
        <w:spacing w:lineRule="auto" w:line="276" w:before="119" w:after="119"/>
        <w:ind w:left="964" w:hanging="0"/>
        <w:jc w:val="both"/>
        <w:rPr>
          <w:rFonts w:ascii="Arial" w:hAnsi="Arial"/>
          <w:sz w:val="20"/>
          <w:szCs w:val="20"/>
        </w:rPr>
      </w:pPr>
      <w:r>
        <w:rPr>
          <w:rFonts w:cs="Arial"/>
          <w:b/>
          <w:bCs/>
          <w:sz w:val="20"/>
          <w:szCs w:val="20"/>
          <w:u w:val="single"/>
        </w:rPr>
        <w:t>5.1.5 Os lanches e refeições deverão ser preparados, observando-se as normas de higiene e conservação dos alimentos, bem como, as normatizações dos órgãos de controle oficias, tais como: ANVISA, APEVISA e SECRETARIA MUNICIPAL DE VIGILÂNCIA SANITÁRIA, entre outros.</w:t>
      </w:r>
    </w:p>
    <w:p>
      <w:pPr>
        <w:pStyle w:val="Normal"/>
        <w:spacing w:lineRule="auto" w:line="276" w:before="119" w:after="119"/>
        <w:ind w:left="964" w:hanging="0"/>
        <w:jc w:val="both"/>
        <w:rPr>
          <w:rFonts w:ascii="Arial" w:hAnsi="Arial"/>
          <w:sz w:val="20"/>
          <w:szCs w:val="20"/>
        </w:rPr>
      </w:pPr>
      <w:r>
        <w:rPr>
          <w:rFonts w:cs="Arial"/>
          <w:b/>
          <w:bCs/>
          <w:sz w:val="20"/>
          <w:szCs w:val="20"/>
          <w:u w:val="single"/>
        </w:rPr>
        <w:t>5.1.6 Os funcionários colocados à disposição da concessionária deverão ser formalmente registrados pelas concessionárias, observando-se o piso salarial da categoria, e os benefícios estabelecidos em convenção coletiva de trabalho, respeitando integralmente a legislação trabalhista aplicável.</w:t>
      </w:r>
    </w:p>
    <w:p>
      <w:pPr>
        <w:pStyle w:val="Normal"/>
        <w:spacing w:lineRule="auto" w:line="276" w:before="114" w:after="114"/>
        <w:ind w:left="1020" w:hanging="0"/>
        <w:jc w:val="both"/>
        <w:rPr>
          <w:rFonts w:ascii="Arial" w:hAnsi="Arial"/>
          <w:sz w:val="20"/>
          <w:szCs w:val="20"/>
        </w:rPr>
      </w:pPr>
      <w:r>
        <w:rPr>
          <w:rFonts w:cs="Arial"/>
          <w:b/>
          <w:bCs/>
          <w:i/>
          <w:iCs/>
          <w:sz w:val="20"/>
          <w:szCs w:val="20"/>
          <w:u w:val="single"/>
        </w:rPr>
        <w:t>5.1.7 Além dos pontos acima, o adjudicatário deverá apresentar declaração de que tem pleno conhecimento das condições necessárias para a prestação do serviço como requisito para celebração do contrato.</w:t>
      </w:r>
    </w:p>
    <w:p>
      <w:pPr>
        <w:pStyle w:val="ListParagraph"/>
        <w:ind w:left="907" w:hanging="0"/>
        <w:jc w:val="both"/>
        <w:rPr>
          <w:rFonts w:ascii="Arial" w:hAnsi="Arial"/>
          <w:sz w:val="20"/>
          <w:szCs w:val="20"/>
        </w:rPr>
      </w:pPr>
      <w:r>
        <w:rPr>
          <w:rFonts w:cs="Arial"/>
          <w:sz w:val="20"/>
          <w:szCs w:val="20"/>
        </w:rPr>
        <w:t>5.1.8 Além dos pontos acima, o adjudicatário deverá apresentar declaração de que tem pleno conhecimento das condições necessárias para a prestação do serviço como requisito para celebração do contrato.</w:t>
      </w:r>
    </w:p>
    <w:p>
      <w:pPr>
        <w:pStyle w:val="Nivel1"/>
        <w:spacing w:before="480" w:after="120"/>
        <w:ind w:left="360" w:hanging="360"/>
        <w:rPr>
          <w:rFonts w:ascii="Arial" w:hAnsi="Arial"/>
          <w:sz w:val="20"/>
          <w:szCs w:val="20"/>
        </w:rPr>
      </w:pPr>
      <w:r>
        <w:rPr>
          <w:rFonts w:eastAsia="Times New Roman" w:cs="Tahoma"/>
          <w:bCs/>
          <w:sz w:val="20"/>
          <w:szCs w:val="20"/>
          <w:u w:val="single"/>
        </w:rPr>
        <w:t>6. CRITÉRIOS DE SUSTENTABILIDADE</w:t>
      </w:r>
    </w:p>
    <w:p>
      <w:pPr>
        <w:pStyle w:val="Normal"/>
        <w:widowControl w:val="false"/>
        <w:tabs>
          <w:tab w:val="clear" w:pos="708"/>
          <w:tab w:val="left" w:pos="0" w:leader="none"/>
        </w:tabs>
        <w:spacing w:lineRule="auto" w:line="276" w:before="0" w:after="120"/>
        <w:jc w:val="both"/>
        <w:rPr>
          <w:rFonts w:ascii="Arial" w:hAnsi="Arial"/>
          <w:sz w:val="20"/>
          <w:szCs w:val="20"/>
        </w:rPr>
      </w:pPr>
      <w:r>
        <w:rPr>
          <w:color w:val="000000"/>
          <w:sz w:val="20"/>
          <w:szCs w:val="20"/>
        </w:rPr>
        <w:t>6.1. Os critérios de sustentabilidade são aqueles previstos nas especificações do objeto e/ou obrigações da CONCESSIONÁRIA e/ou no edital como requisito previsto em lei especial.</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6.1.1. Estabelecer medidas favoráveis ao consumo consciente da energia elétrica, será recomendado que os refrigeradores, fornos micro-ondas e/ou elétricos, sanduicheiras e demais equipamentos elétricos devam ser classificados em A ou B quanto ao consumo de energia elétrica pelo selo padrão Inmetro.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6.1.2. Será exigido que as Garrafas PETs e latas de alumínio sejam separadas do resíduo orgânico/lixo e, sempre que possível, encaminhado para cooperativas de catadores de material reciclável.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6.1.3. </w:t>
      </w:r>
      <w:bookmarkStart w:id="4" w:name="2p2csry"/>
      <w:bookmarkEnd w:id="4"/>
      <w:r>
        <w:rPr>
          <w:b/>
          <w:bCs/>
          <w:color w:val="000000"/>
          <w:sz w:val="20"/>
          <w:szCs w:val="20"/>
          <w:u w:val="single"/>
        </w:rPr>
        <w:t xml:space="preserve">A empresa deverá instalar lixeiras seletivas em locais previamente estabelecidos pela Concedente, bem como a limpeza diária das mesmas. A destinação do lixo coletado deverá obedecer as normas sustentáveis a depender da característica do descarte.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rFonts w:cs="Arial"/>
          <w:b/>
          <w:bCs/>
          <w:color w:val="000000"/>
          <w:sz w:val="20"/>
          <w:szCs w:val="20"/>
          <w:u w:val="single"/>
        </w:rPr>
        <w:t xml:space="preserve">6.1.4. </w:t>
      </w:r>
      <w:bookmarkStart w:id="5" w:name="147n2zr"/>
      <w:bookmarkEnd w:id="5"/>
      <w:r>
        <w:rPr>
          <w:rFonts w:cs="Arial"/>
          <w:b/>
          <w:bCs/>
          <w:color w:val="000000"/>
          <w:sz w:val="20"/>
          <w:szCs w:val="20"/>
          <w:u w:val="single"/>
        </w:rPr>
        <w:t xml:space="preserve">Os resíduos orgânicos deverão ser encaminhados para composteira sempre que possível e/ou disponibilizados para projetos que possam ser desenvolvidos na Instituição de ensino para preservação do Meio Ambiente. </w:t>
      </w:r>
    </w:p>
    <w:p>
      <w:pPr>
        <w:pStyle w:val="Nivel1"/>
        <w:rPr>
          <w:rFonts w:ascii="Arial" w:hAnsi="Arial"/>
          <w:sz w:val="20"/>
          <w:szCs w:val="20"/>
        </w:rPr>
      </w:pPr>
      <w:r>
        <w:rPr>
          <w:rFonts w:cs="Arial"/>
          <w:bCs/>
          <w:sz w:val="20"/>
          <w:szCs w:val="20"/>
        </w:rPr>
        <w:t>7. VISTORIA PARA A LICITAÇÃO</w:t>
      </w:r>
    </w:p>
    <w:p>
      <w:pPr>
        <w:pStyle w:val="Normal"/>
        <w:spacing w:before="0" w:after="120"/>
        <w:jc w:val="both"/>
        <w:rPr>
          <w:rFonts w:ascii="Arial" w:hAnsi="Arial" w:cs="Arial"/>
          <w:b/>
          <w:b/>
          <w:i/>
          <w:i/>
          <w:iCs/>
          <w:sz w:val="20"/>
          <w:szCs w:val="20"/>
        </w:rPr>
      </w:pPr>
      <w:r>
        <w:rPr>
          <w:rFonts w:cs="Arial"/>
          <w:b/>
          <w:i/>
          <w:iCs/>
          <w:sz w:val="20"/>
          <w:szCs w:val="20"/>
        </w:rPr>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7.1 Para o correto dimensionamento e elaboração de sua proposta, o licitante </w:t>
      </w:r>
      <w:r>
        <w:rPr>
          <w:rFonts w:cs="Arial"/>
          <w:b/>
          <w:color w:val="000000"/>
          <w:sz w:val="20"/>
          <w:szCs w:val="20"/>
        </w:rPr>
        <w:t>poderá</w:t>
      </w:r>
      <w:r>
        <w:rPr>
          <w:rFonts w:cs="Arial"/>
          <w:color w:val="000000"/>
          <w:sz w:val="20"/>
          <w:szCs w:val="20"/>
        </w:rPr>
        <w:t xml:space="preserve"> realizar vistoria nas instalações do local de execução dos serviços, acompanhado por servidor designado para esse fim, de segunda a sexta-feira, das 09 horas às 15 horas.</w:t>
      </w:r>
    </w:p>
    <w:p>
      <w:pPr>
        <w:pStyle w:val="Normal"/>
        <w:spacing w:lineRule="auto" w:line="276" w:before="119" w:after="119"/>
        <w:ind w:left="567" w:hanging="0"/>
        <w:jc w:val="both"/>
        <w:rPr>
          <w:rFonts w:ascii="Arial" w:hAnsi="Arial"/>
          <w:sz w:val="20"/>
          <w:szCs w:val="20"/>
        </w:rPr>
      </w:pPr>
      <w:r>
        <w:rPr>
          <w:rFonts w:cs="Arial"/>
          <w:color w:val="000000"/>
          <w:sz w:val="20"/>
          <w:szCs w:val="20"/>
        </w:rPr>
        <w:t>7.2 O prazo para vistoria iniciar-se-á no dia útil seguinte ao da publicação do Edital, estendendo-se até o dia útil anterior à data prevista para a abertura da sessão pública.</w:t>
      </w:r>
    </w:p>
    <w:p>
      <w:pPr>
        <w:pStyle w:val="Normal"/>
        <w:spacing w:lineRule="auto" w:line="276" w:before="119" w:after="119"/>
        <w:ind w:left="1020" w:hanging="0"/>
        <w:jc w:val="both"/>
        <w:rPr>
          <w:rFonts w:ascii="Arial" w:hAnsi="Arial"/>
          <w:sz w:val="20"/>
          <w:szCs w:val="20"/>
        </w:rPr>
      </w:pPr>
      <w:r>
        <w:rPr>
          <w:rFonts w:cs="Arial"/>
          <w:color w:val="000000"/>
          <w:sz w:val="20"/>
          <w:szCs w:val="20"/>
        </w:rPr>
        <w:t>7.2.1 Para a vistoria o licitante, ou o seu representante legal, deverá estar devidamente identificado, apresentando documento de identidade civil e documento expedido pela empresa comprovando sua habilitação para a realização da vistoria.</w:t>
      </w:r>
    </w:p>
    <w:p>
      <w:pPr>
        <w:pStyle w:val="Normal"/>
        <w:spacing w:lineRule="auto" w:line="276" w:before="119" w:after="119"/>
        <w:ind w:left="567" w:hanging="0"/>
        <w:jc w:val="both"/>
        <w:rPr>
          <w:rFonts w:ascii="Arial" w:hAnsi="Arial"/>
          <w:sz w:val="20"/>
          <w:szCs w:val="20"/>
        </w:rPr>
      </w:pPr>
      <w:r>
        <w:rPr>
          <w:rFonts w:cs="Arial"/>
          <w:color w:val="000000"/>
          <w:sz w:val="20"/>
          <w:szCs w:val="20"/>
        </w:rPr>
        <w:t>7.3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spacing w:lineRule="auto" w:line="276" w:before="119" w:after="119"/>
        <w:ind w:left="567" w:hanging="0"/>
        <w:jc w:val="both"/>
        <w:rPr>
          <w:rFonts w:ascii="Arial" w:hAnsi="Arial"/>
          <w:sz w:val="20"/>
          <w:szCs w:val="20"/>
        </w:rPr>
      </w:pPr>
      <w:r>
        <w:rPr>
          <w:rFonts w:cs="Arial"/>
          <w:color w:val="000000"/>
          <w:sz w:val="20"/>
          <w:szCs w:val="20"/>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7.5 A licitante deverá declarar que tomou conhecimento de todas as informações e das condições locais para o cumprimento das obrigações objeto da licitação, utilizando o </w:t>
      </w:r>
      <w:r>
        <w:rPr>
          <w:rFonts w:cs="Arial"/>
          <w:b/>
          <w:color w:val="000000"/>
          <w:sz w:val="20"/>
          <w:szCs w:val="20"/>
          <w:u w:val="single"/>
        </w:rPr>
        <w:t>Modelo do Anexo do Edital</w:t>
      </w:r>
      <w:r>
        <w:rPr>
          <w:rFonts w:cs="Arial"/>
          <w:color w:val="000000"/>
          <w:sz w:val="20"/>
          <w:szCs w:val="20"/>
        </w:rPr>
        <w:t>.</w:t>
      </w:r>
    </w:p>
    <w:p>
      <w:pPr>
        <w:pStyle w:val="LOnormal"/>
        <w:spacing w:lineRule="auto" w:line="276" w:before="0" w:after="120"/>
        <w:ind w:left="574" w:hanging="0"/>
        <w:jc w:val="both"/>
        <w:rPr>
          <w:rFonts w:ascii="Arial" w:hAnsi="Arial"/>
          <w:sz w:val="20"/>
          <w:szCs w:val="20"/>
        </w:rPr>
      </w:pPr>
      <w:r>
        <w:rPr>
          <w:b/>
          <w:bCs/>
          <w:color w:val="000000"/>
          <w:sz w:val="20"/>
          <w:szCs w:val="20"/>
          <w:u w:val="single"/>
        </w:rPr>
        <w:t>7.6 No caso de NÃO VISTORIA a licitante deverá declarar, utilizando o Modelo do Anexo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Nivel1"/>
        <w:ind w:left="340" w:hanging="0"/>
        <w:rPr>
          <w:rFonts w:ascii="Arial" w:hAnsi="Arial"/>
          <w:sz w:val="20"/>
          <w:szCs w:val="20"/>
        </w:rPr>
      </w:pPr>
      <w:r>
        <w:rPr>
          <w:rFonts w:cs="Arial"/>
          <w:sz w:val="20"/>
          <w:szCs w:val="20"/>
        </w:rPr>
        <w:t>8. MODELO DE EXECUÇÃO DO OBJETO</w:t>
      </w:r>
    </w:p>
    <w:p>
      <w:pPr>
        <w:pStyle w:val="Normal"/>
        <w:spacing w:before="0" w:after="120"/>
        <w:ind w:left="716" w:hanging="0"/>
        <w:jc w:val="both"/>
        <w:rPr>
          <w:rFonts w:ascii="Arial" w:hAnsi="Arial" w:cs="Arial"/>
          <w:sz w:val="20"/>
          <w:szCs w:val="20"/>
        </w:rPr>
      </w:pPr>
      <w:r>
        <w:rPr>
          <w:rFonts w:cs="Arial"/>
          <w:sz w:val="20"/>
          <w:szCs w:val="20"/>
        </w:rPr>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 O atendimento aos usuários deverá ser realizado de segunda a sexta-feira, das 07h às 21h, estendendo-se aos horários dos eventuais sábados letivos, sob comunicação expressa da Direção de Ensino do IFSertãoPE - Campus Petrolina com antecedência;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 A critério das Administrações do Campus Petrolina, os horários de atendimento poderão ser alterados a fim de atenderem aos casos excepcionais;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8.1.3 As sugestões para o lanche e refeição poderão sofrer alterações levando-se em conta o comportamento dos usuários frente a alimentação servida;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8.1.4 A Concessionária da cantina deverá manter um cardápio mínimo obrigatório, conforme composição na tabela prescrita no subitem 1.7.3 deste Termo de Referência.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8.1.5 Os alimentos devem ser servidos em condições sadias, preparadas com gêneros de primeira qualidade, com ótima apresentação e sabor agradável, dentro das exigências de higiene e técnicas culinárias;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8.1.6 As refeições devem ser servidas em equipamentos adequados (estufas, balcões térmicos e bufês), devendo esses equipamentos estarem regulados para que a temperatura dos alimentos quentes permaneça acima de 60°C. Conforme Resolução-RDC ANVISA nº 216/04 que estabelece as Boas Práticas para Serviços de Alimentação;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8.1.7 Os balcões térmicos e/ou bufês devem ser protegidos para que os clientes não contaminem os alimentos enquanto se servem;</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8.1.8 Os variados tipos de sobremesas e/ou lanches frios, devem ser colocados em balcão frigorífico refrigerado, para que a temperatura dos alimentos frios permaneça abaixo de 5°C;</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8.1.9 A Concessionária poderá oferecer qualquer outro serviço, relacionado com a atividade-fim, desde que seja comunicado previamente à Administração do Campus;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8.1.10 O IFSertãoPE - Campus Petrolina poderá cancelar a venda de toda e qualquer mercadoria ou produto, quando julgar inconveniente ao interesse público e a sua imagem;</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8.1.11 A Concessionária deve utilizar as instalações cedidas pelo Campus exclusivamente no cumprimento do objeto pactuado, correndo às suas expensas a conservação, guarda e manutenção;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8.1.12 A cantina se destinará, unicamente, de forma contínua e ininterrupta, ao desempenho das atividades previstas no Contrato de Concessão Onerosa de Uso, sendo que qualquer outra atividade deverá ser autorizada pelo IFSertãoPE – Campus Petrolina;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8.1.13 Na cantina é expressamente vedada: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a) A utilização de alto-falante e/ou congênere que produzam som ou ruídos, prejudicial ao andamento das aulas;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b) A guarda ou depósito de produtos inflamáveis, explosivos, corrosivos, tóxicos ou de forte odor;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c) A comercialização de bebidas alcoólicas;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d) A comercialização de cigarros e quaisquer produtos tóxicos;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e) A comercialização de produtos relacionados a quaisquer tipos de jogos de azar;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f) comercialização de produtos ricos em gorduras trans, açúcares e sal e alimentos ultraprocessados.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8.1.14 Os preços cobrados pelos serviços e produtos vendidos na cantina serão definidos pela Concessionária, com aprovação prévia do IFSertãoPE - Campus Petrolina, ou por tabelamento estipulado por órgão competente, se houver;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8.1.15 Os preços dos alimentos e bebidas deverão estar devidamente afixados em quadro em local visível;</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8.1.16 Os valores dos produtos a serem comercializados não poderão exceder aos de mesmo peso, tamanho e qualidade, aos praticados nos estabelecimentos similares das proximidades do Campus Petrolina, bem como aqueles praticados pelo mercado;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8.1.17 Se houver interesse da Concessionária, poderão ocorrer vendas a crédito, sob seu controle, eximindo-se a Concedente de qualquer responsabilidade por inadimplência dos credores;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8.1.18 Não será permitida a inclusão de taxas, tais como comissões e gorjetas, nos preços da tabela, nem a sua cobrança à parte;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 xml:space="preserve">8.1.19 Todos os funcionários da cantina deverão ser credenciados junto ao IFSertãoPE - Campus Petrolina, o qual só permitirá a entrada de funcionários devidamente credenciados, fardados e no exercício do trabalho com os equipamentos de </w:t>
      </w:r>
      <w:r>
        <w:rPr>
          <w:b/>
          <w:bCs/>
          <w:sz w:val="20"/>
          <w:szCs w:val="20"/>
          <w:u w:val="single"/>
        </w:rPr>
        <w:t>higiene e segurança</w:t>
      </w:r>
      <w:r>
        <w:rPr>
          <w:rFonts w:cs="Arial"/>
          <w:b/>
          <w:bCs/>
          <w:color w:val="000000"/>
          <w:sz w:val="20"/>
          <w:szCs w:val="20"/>
          <w:u w:val="single"/>
        </w:rPr>
        <w:t xml:space="preserve"> no trabalho;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8.1.20 Deverão ser mantidos nos locais de trabalho somente empregados que tenham a idade permitida por lei para o exercício da atividade e que gozem de boa saúde física e mental;</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8.1.21 O pessoal necessário à execução dos serviços, objeto da presente concessão, será de exclusiva responsabilidade da Concessionária, observando-se a legislação trabalhista e as normas de Segurança e Higiene do Trabalho;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8.1.22 Não será permitida, sob qualquer regime ou alegação, a contratação de pessoas que mantenham vínculo empregatício com o IFSertãoPE;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8.1.23 O empregado que trabalhar no caixa não poderá servir ou manipular alimentos;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8.1.24 A concessionária não poderá usar as instalações e equipamentos da cantina para produzir alimentos e serviços para outros estabelecimentos que não seja o da Concedente;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8.1.25 Durante o período de recesso escolar (férias, greve ou outro tipo de paralisação das atividades da Instituição), será obrigatório o funcionamento da cantina, por período mínimo de 2 (duas) horas, em cada expediente, podendo esta condição ser modificada em acordo com as Administrações dos Campi Petrolina, se houver necessidade;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8.1.26 Caberá à Concessionária proporcionar atendimento compatível com a demanda.</w:t>
      </w:r>
    </w:p>
    <w:p>
      <w:pPr>
        <w:pStyle w:val="Normal"/>
        <w:spacing w:lineRule="auto" w:line="276" w:before="119" w:after="119"/>
        <w:ind w:left="964" w:hanging="0"/>
        <w:jc w:val="both"/>
        <w:rPr>
          <w:rFonts w:ascii="Arial" w:hAnsi="Arial"/>
          <w:sz w:val="20"/>
          <w:szCs w:val="20"/>
        </w:rPr>
      </w:pPr>
      <w:r>
        <w:rPr>
          <w:rFonts w:eastAsia="Arial" w:cs="Arial"/>
          <w:b/>
          <w:bCs/>
          <w:color w:val="000000"/>
          <w:sz w:val="20"/>
          <w:szCs w:val="20"/>
          <w:u w:val="single"/>
          <w:lang w:eastAsia="zh-CN" w:bidi="hi-IN"/>
        </w:rPr>
        <w:t>8.1.27 A Cessionária deverá disponibilizar os materiais, equipamentos, ferramentas e utensílios necessários, nas quantidades necessárias.</w:t>
      </w:r>
    </w:p>
    <w:p>
      <w:pPr>
        <w:pStyle w:val="Normal"/>
        <w:spacing w:lineRule="auto" w:line="276" w:before="119" w:after="119"/>
        <w:ind w:left="567" w:hanging="0"/>
        <w:jc w:val="both"/>
        <w:rPr>
          <w:rFonts w:ascii="Arial" w:hAnsi="Arial"/>
          <w:sz w:val="20"/>
          <w:szCs w:val="20"/>
        </w:rPr>
      </w:pPr>
      <w:r>
        <w:rPr>
          <w:rFonts w:cs="Arial"/>
          <w:b/>
          <w:bCs/>
          <w:color w:val="000000"/>
          <w:sz w:val="20"/>
          <w:szCs w:val="20"/>
          <w:u w:val="single"/>
        </w:rPr>
        <w:t>8.2 A execução dos serviços será iniciada a partir da assinatura do contrato,</w:t>
      </w:r>
      <w:r>
        <w:rPr>
          <w:rFonts w:cs="Arial"/>
          <w:b/>
          <w:bCs/>
          <w:color w:val="FF0000"/>
          <w:sz w:val="20"/>
          <w:szCs w:val="20"/>
          <w:u w:val="single"/>
        </w:rPr>
        <w:t xml:space="preserve"> </w:t>
      </w:r>
      <w:r>
        <w:rPr>
          <w:rFonts w:cs="Arial"/>
          <w:b/>
          <w:bCs/>
          <w:color w:val="000000"/>
          <w:sz w:val="20"/>
          <w:szCs w:val="20"/>
          <w:u w:val="single"/>
        </w:rPr>
        <w:t>na forma que segue:</w:t>
      </w:r>
    </w:p>
    <w:p>
      <w:pPr>
        <w:pStyle w:val="Normal"/>
        <w:tabs>
          <w:tab w:val="clear" w:pos="708"/>
          <w:tab w:val="left" w:pos="306" w:leader="none"/>
        </w:tabs>
        <w:spacing w:lineRule="auto" w:line="276" w:before="119" w:after="119"/>
        <w:ind w:left="1020" w:hanging="0"/>
        <w:jc w:val="both"/>
        <w:rPr>
          <w:rFonts w:ascii="Arial" w:hAnsi="Arial"/>
          <w:sz w:val="20"/>
          <w:szCs w:val="20"/>
        </w:rPr>
      </w:pPr>
      <w:r>
        <w:rPr>
          <w:b/>
          <w:bCs/>
          <w:sz w:val="20"/>
          <w:szCs w:val="20"/>
          <w:u w:val="single"/>
        </w:rPr>
        <w:t>8.2.1 A CONCESSIONÁRIA deverá, obrigatoriamente, elaborar os cardápios de acordo com as opções que seguem abaixo.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19" w:after="119"/>
        <w:ind w:left="567" w:hanging="0"/>
        <w:jc w:val="both"/>
        <w:rPr>
          <w:rFonts w:ascii="Arial" w:hAnsi="Arial"/>
          <w:sz w:val="20"/>
          <w:szCs w:val="20"/>
        </w:rPr>
      </w:pPr>
      <w:r>
        <w:rPr>
          <w:b/>
          <w:color w:val="000000"/>
          <w:sz w:val="20"/>
          <w:szCs w:val="20"/>
        </w:rPr>
        <w:t>A – OPÇÕES PARA O CARDÁPIO DOS LANCHES – LIVRE PARA A CONCEDENTE DE ACORDO COM A PREFERÊNCIA DOS CONSUMIDORES.</w:t>
      </w:r>
    </w:p>
    <w:tbl>
      <w:tblPr>
        <w:tblW w:w="9075"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795"/>
        <w:gridCol w:w="5279"/>
      </w:tblGrid>
      <w:tr>
        <w:trPr/>
        <w:tc>
          <w:tcPr>
            <w:tcW w:w="9074" w:type="dxa"/>
            <w:gridSpan w:val="2"/>
            <w:tcBorders>
              <w:top w:val="single" w:sz="2" w:space="0" w:color="000000"/>
              <w:left w:val="single" w:sz="2" w:space="0" w:color="000000"/>
              <w:bottom w:val="single" w:sz="2" w:space="0" w:color="000000"/>
              <w:right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LANCHES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Salgados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rPr>
                <w:rFonts w:ascii="Arial" w:hAnsi="Arial"/>
                <w:sz w:val="20"/>
                <w:szCs w:val="20"/>
              </w:rPr>
            </w:pPr>
            <w:r>
              <w:rPr>
                <w:sz w:val="20"/>
                <w:szCs w:val="20"/>
              </w:rPr>
              <w:t>-Americano</w:t>
            </w:r>
          </w:p>
          <w:p>
            <w:pPr>
              <w:pStyle w:val="Normal"/>
              <w:widowControl w:val="false"/>
              <w:tabs>
                <w:tab w:val="clear" w:pos="708"/>
                <w:tab w:val="left" w:pos="0" w:leader="none"/>
                <w:tab w:val="left" w:pos="3195" w:leader="none"/>
              </w:tabs>
              <w:rPr>
                <w:rFonts w:ascii="Arial" w:hAnsi="Arial"/>
                <w:sz w:val="20"/>
                <w:szCs w:val="20"/>
              </w:rPr>
            </w:pPr>
            <w:r>
              <w:rPr>
                <w:sz w:val="20"/>
                <w:szCs w:val="20"/>
              </w:rPr>
              <w:t>-Hamburgueses (em suas diversas versões com carne artesanal, pão de padaria)</w:t>
            </w:r>
          </w:p>
          <w:p>
            <w:pPr>
              <w:pStyle w:val="Normal"/>
              <w:widowControl w:val="false"/>
              <w:tabs>
                <w:tab w:val="clear" w:pos="708"/>
                <w:tab w:val="left" w:pos="0" w:leader="none"/>
                <w:tab w:val="left" w:pos="3195" w:leader="none"/>
              </w:tabs>
              <w:rPr>
                <w:rFonts w:ascii="Arial" w:hAnsi="Arial"/>
                <w:sz w:val="20"/>
                <w:szCs w:val="20"/>
              </w:rPr>
            </w:pPr>
            <w:r>
              <w:rPr>
                <w:sz w:val="20"/>
                <w:szCs w:val="20"/>
              </w:rPr>
              <w:t>-Misto quente</w:t>
            </w:r>
          </w:p>
          <w:p>
            <w:pPr>
              <w:pStyle w:val="Normal"/>
              <w:widowControl w:val="false"/>
              <w:tabs>
                <w:tab w:val="clear" w:pos="708"/>
                <w:tab w:val="left" w:pos="0" w:leader="none"/>
                <w:tab w:val="left" w:pos="3195" w:leader="none"/>
              </w:tabs>
              <w:rPr>
                <w:rFonts w:ascii="Arial" w:hAnsi="Arial"/>
                <w:sz w:val="20"/>
                <w:szCs w:val="20"/>
              </w:rPr>
            </w:pPr>
            <w:r>
              <w:rPr>
                <w:sz w:val="20"/>
                <w:szCs w:val="20"/>
              </w:rPr>
              <w:t>-Torrada (de pão dormido)</w:t>
            </w:r>
          </w:p>
          <w:p>
            <w:pPr>
              <w:pStyle w:val="Normal"/>
              <w:widowControl w:val="false"/>
              <w:tabs>
                <w:tab w:val="clear" w:pos="708"/>
                <w:tab w:val="left" w:pos="0" w:leader="none"/>
                <w:tab w:val="left" w:pos="3195" w:leader="none"/>
              </w:tabs>
              <w:rPr>
                <w:rFonts w:ascii="Arial" w:hAnsi="Arial"/>
                <w:sz w:val="20"/>
                <w:szCs w:val="20"/>
              </w:rPr>
            </w:pPr>
            <w:r>
              <w:rPr>
                <w:sz w:val="20"/>
                <w:szCs w:val="20"/>
              </w:rPr>
              <w:t>-Pipoca (feita de milho na hora)</w:t>
            </w:r>
          </w:p>
          <w:p>
            <w:pPr>
              <w:pStyle w:val="Normal"/>
              <w:widowControl w:val="false"/>
              <w:tabs>
                <w:tab w:val="clear" w:pos="708"/>
                <w:tab w:val="left" w:pos="0" w:leader="none"/>
                <w:tab w:val="left" w:pos="3195" w:leader="none"/>
              </w:tabs>
              <w:rPr>
                <w:rFonts w:ascii="Arial" w:hAnsi="Arial"/>
                <w:sz w:val="20"/>
                <w:szCs w:val="20"/>
              </w:rPr>
            </w:pPr>
            <w:r>
              <w:rPr>
                <w:sz w:val="20"/>
                <w:szCs w:val="20"/>
              </w:rPr>
              <w:t>-Espetinho de frango e carne</w:t>
            </w:r>
          </w:p>
          <w:p>
            <w:pPr>
              <w:pStyle w:val="Normal"/>
              <w:widowControl w:val="false"/>
              <w:tabs>
                <w:tab w:val="clear" w:pos="708"/>
                <w:tab w:val="left" w:pos="0" w:leader="none"/>
                <w:tab w:val="left" w:pos="3195" w:leader="none"/>
              </w:tabs>
              <w:rPr>
                <w:rFonts w:ascii="Arial" w:hAnsi="Arial"/>
                <w:sz w:val="20"/>
                <w:szCs w:val="20"/>
              </w:rPr>
            </w:pPr>
            <w:r>
              <w:rPr>
                <w:sz w:val="20"/>
                <w:szCs w:val="20"/>
              </w:rPr>
              <w:t>-Cachorro Quente (simples e completo)</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simples</w:t>
            </w:r>
          </w:p>
          <w:p>
            <w:pPr>
              <w:pStyle w:val="Normal"/>
              <w:widowControl w:val="false"/>
              <w:tabs>
                <w:tab w:val="clear" w:pos="708"/>
                <w:tab w:val="left" w:pos="0" w:leader="none"/>
                <w:tab w:val="left" w:pos="3195" w:leader="none"/>
              </w:tabs>
              <w:rPr>
                <w:rFonts w:ascii="Arial" w:hAnsi="Arial"/>
                <w:sz w:val="20"/>
                <w:szCs w:val="20"/>
              </w:rPr>
            </w:pPr>
            <w:r>
              <w:rPr>
                <w:sz w:val="20"/>
                <w:szCs w:val="20"/>
              </w:rPr>
              <w:t>-Pão com manteiga</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Natural – pão integral</w:t>
            </w:r>
          </w:p>
          <w:p>
            <w:pPr>
              <w:pStyle w:val="Normal"/>
              <w:widowControl w:val="false"/>
              <w:tabs>
                <w:tab w:val="clear" w:pos="708"/>
                <w:tab w:val="left" w:pos="0" w:leader="none"/>
                <w:tab w:val="left" w:pos="3195" w:leader="none"/>
              </w:tabs>
              <w:rPr>
                <w:rFonts w:ascii="Arial" w:hAnsi="Arial"/>
                <w:sz w:val="20"/>
                <w:szCs w:val="20"/>
              </w:rPr>
            </w:pPr>
            <w:r>
              <w:rPr>
                <w:sz w:val="20"/>
                <w:szCs w:val="20"/>
              </w:rPr>
              <w:t>-Salgados de fornos</w:t>
            </w:r>
          </w:p>
          <w:p>
            <w:pPr>
              <w:pStyle w:val="Normal"/>
              <w:widowControl w:val="false"/>
              <w:tabs>
                <w:tab w:val="clear" w:pos="708"/>
                <w:tab w:val="left" w:pos="0" w:leader="none"/>
                <w:tab w:val="left" w:pos="3195" w:leader="none"/>
              </w:tabs>
              <w:rPr>
                <w:rFonts w:ascii="Arial" w:hAnsi="Arial"/>
                <w:sz w:val="20"/>
                <w:szCs w:val="20"/>
              </w:rPr>
            </w:pPr>
            <w:r>
              <w:rPr>
                <w:sz w:val="20"/>
                <w:szCs w:val="20"/>
              </w:rPr>
              <w:t>-Pão de queijo</w:t>
            </w:r>
          </w:p>
          <w:p>
            <w:pPr>
              <w:pStyle w:val="Normal"/>
              <w:widowControl w:val="false"/>
              <w:tabs>
                <w:tab w:val="clear" w:pos="708"/>
                <w:tab w:val="left" w:pos="0" w:leader="none"/>
                <w:tab w:val="left" w:pos="3195" w:leader="none"/>
              </w:tabs>
              <w:rPr>
                <w:rFonts w:ascii="Arial" w:hAnsi="Arial"/>
                <w:sz w:val="20"/>
                <w:szCs w:val="20"/>
              </w:rPr>
            </w:pPr>
            <w:r>
              <w:rPr>
                <w:sz w:val="20"/>
                <w:szCs w:val="20"/>
              </w:rPr>
              <w:t>-Omelete</w:t>
            </w:r>
          </w:p>
          <w:p>
            <w:pPr>
              <w:pStyle w:val="Normal"/>
              <w:widowControl w:val="false"/>
              <w:tabs>
                <w:tab w:val="clear" w:pos="708"/>
                <w:tab w:val="left" w:pos="0" w:leader="none"/>
                <w:tab w:val="left" w:pos="3195" w:leader="none"/>
              </w:tabs>
              <w:rPr>
                <w:rFonts w:ascii="Arial" w:hAnsi="Arial"/>
                <w:sz w:val="20"/>
                <w:szCs w:val="20"/>
              </w:rPr>
            </w:pPr>
            <w:r>
              <w:rPr>
                <w:sz w:val="20"/>
                <w:szCs w:val="20"/>
              </w:rPr>
              <w:t>-Tapioca</w:t>
            </w:r>
          </w:p>
          <w:p>
            <w:pPr>
              <w:pStyle w:val="Normal"/>
              <w:widowControl w:val="false"/>
              <w:tabs>
                <w:tab w:val="clear" w:pos="708"/>
                <w:tab w:val="left" w:pos="0" w:leader="none"/>
                <w:tab w:val="left" w:pos="3195" w:leader="none"/>
              </w:tabs>
              <w:rPr>
                <w:rFonts w:ascii="Arial" w:hAnsi="Arial"/>
                <w:sz w:val="20"/>
                <w:szCs w:val="20"/>
              </w:rPr>
            </w:pPr>
            <w:r>
              <w:rPr>
                <w:sz w:val="20"/>
                <w:szCs w:val="20"/>
              </w:rPr>
              <w:t>-Crepioca</w:t>
            </w:r>
          </w:p>
          <w:p>
            <w:pPr>
              <w:pStyle w:val="Normal"/>
              <w:widowControl w:val="false"/>
              <w:tabs>
                <w:tab w:val="clear" w:pos="708"/>
                <w:tab w:val="left" w:pos="0" w:leader="none"/>
                <w:tab w:val="left" w:pos="3195" w:leader="none"/>
              </w:tabs>
              <w:rPr>
                <w:rFonts w:ascii="Arial" w:hAnsi="Arial"/>
                <w:sz w:val="20"/>
                <w:szCs w:val="20"/>
              </w:rPr>
            </w:pPr>
            <w:r>
              <w:rPr>
                <w:sz w:val="20"/>
                <w:szCs w:val="20"/>
              </w:rPr>
              <w:t>-Torta salgada em fatia (palmito, queijo, verduras, atum)</w:t>
            </w:r>
          </w:p>
          <w:p>
            <w:pPr>
              <w:pStyle w:val="Normal"/>
              <w:widowControl w:val="false"/>
              <w:tabs>
                <w:tab w:val="clear" w:pos="708"/>
                <w:tab w:val="left" w:pos="0" w:leader="none"/>
                <w:tab w:val="left" w:pos="3195" w:leader="none"/>
              </w:tabs>
              <w:rPr>
                <w:rFonts w:ascii="Arial" w:hAnsi="Arial"/>
                <w:sz w:val="20"/>
                <w:szCs w:val="20"/>
              </w:rPr>
            </w:pPr>
            <w:r>
              <w:rPr>
                <w:sz w:val="20"/>
                <w:szCs w:val="20"/>
              </w:rPr>
              <w:t>-Empadão em fatias</w:t>
            </w:r>
          </w:p>
          <w:p>
            <w:pPr>
              <w:pStyle w:val="Normal"/>
              <w:widowControl w:val="false"/>
              <w:tabs>
                <w:tab w:val="clear" w:pos="708"/>
                <w:tab w:val="left" w:pos="0" w:leader="none"/>
                <w:tab w:val="left" w:pos="3195" w:leader="none"/>
              </w:tabs>
              <w:rPr>
                <w:rFonts w:ascii="Arial" w:hAnsi="Arial"/>
                <w:sz w:val="20"/>
                <w:szCs w:val="20"/>
              </w:rPr>
            </w:pPr>
            <w:r>
              <w:rPr>
                <w:sz w:val="20"/>
                <w:szCs w:val="20"/>
              </w:rPr>
              <w:t>-(opções de pão de hambúrguer, integral, francês e de forma de padaria)</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Sobremesas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jc w:val="both"/>
              <w:rPr>
                <w:rFonts w:ascii="Arial" w:hAnsi="Arial"/>
                <w:sz w:val="20"/>
                <w:szCs w:val="20"/>
              </w:rPr>
            </w:pPr>
            <w:r>
              <w:rPr>
                <w:sz w:val="20"/>
                <w:szCs w:val="20"/>
              </w:rPr>
              <w:t>-Bolo simples em fatias sem recheios e/ou coberturas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-Salada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-Sorvetes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-Cartolas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-Sobremesas que utilizem frutas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Bebidas</w:t>
            </w:r>
          </w:p>
        </w:tc>
        <w:tc>
          <w:tcPr>
            <w:tcW w:w="5279" w:type="dxa"/>
            <w:tcBorders>
              <w:left w:val="single" w:sz="2" w:space="0" w:color="000000"/>
              <w:bottom w:val="single" w:sz="2" w:space="0" w:color="000000"/>
              <w:right w:val="single" w:sz="2" w:space="0" w:color="000000"/>
            </w:tcBorders>
          </w:tcPr>
          <w:p>
            <w:pPr>
              <w:pStyle w:val="Normal"/>
              <w:widowControl w:val="false"/>
              <w:ind w:left="213" w:hanging="218"/>
              <w:jc w:val="both"/>
              <w:rPr>
                <w:rFonts w:ascii="Arial" w:hAnsi="Arial"/>
                <w:sz w:val="20"/>
                <w:szCs w:val="20"/>
              </w:rPr>
            </w:pPr>
            <w:r>
              <w:rPr>
                <w:sz w:val="20"/>
                <w:szCs w:val="20"/>
              </w:rPr>
              <w:t>-Água Mineral sem gás copo de 200 ml</w:t>
            </w:r>
          </w:p>
          <w:p>
            <w:pPr>
              <w:pStyle w:val="Normal"/>
              <w:widowControl w:val="false"/>
              <w:ind w:left="213" w:hanging="218"/>
              <w:jc w:val="both"/>
              <w:rPr>
                <w:rFonts w:ascii="Arial" w:hAnsi="Arial"/>
                <w:sz w:val="20"/>
                <w:szCs w:val="20"/>
              </w:rPr>
            </w:pPr>
            <w:r>
              <w:rPr>
                <w:sz w:val="20"/>
                <w:szCs w:val="20"/>
              </w:rPr>
              <w:t>-Água Mineral garrafa sem gás 500 ml</w:t>
            </w:r>
          </w:p>
          <w:p>
            <w:pPr>
              <w:pStyle w:val="Normal"/>
              <w:widowControl w:val="false"/>
              <w:ind w:left="213" w:hanging="218"/>
              <w:jc w:val="both"/>
              <w:rPr>
                <w:rFonts w:ascii="Arial" w:hAnsi="Arial"/>
                <w:sz w:val="20"/>
                <w:szCs w:val="20"/>
              </w:rPr>
            </w:pPr>
            <w:r>
              <w:rPr>
                <w:sz w:val="20"/>
                <w:szCs w:val="20"/>
              </w:rPr>
              <w:t>-Água Mineral garrafa com gás 500 ml</w:t>
            </w:r>
          </w:p>
          <w:p>
            <w:pPr>
              <w:pStyle w:val="Normal"/>
              <w:widowControl w:val="false"/>
              <w:ind w:left="213" w:hanging="218"/>
              <w:jc w:val="both"/>
              <w:rPr>
                <w:rFonts w:ascii="Arial" w:hAnsi="Arial"/>
                <w:sz w:val="20"/>
                <w:szCs w:val="20"/>
              </w:rPr>
            </w:pPr>
            <w:r>
              <w:rPr>
                <w:sz w:val="20"/>
                <w:szCs w:val="20"/>
              </w:rPr>
              <w:t>-Água de coco</w:t>
            </w:r>
          </w:p>
          <w:p>
            <w:pPr>
              <w:pStyle w:val="Normal"/>
              <w:widowControl w:val="false"/>
              <w:jc w:val="both"/>
              <w:rPr>
                <w:rFonts w:ascii="Arial" w:hAnsi="Arial"/>
                <w:sz w:val="20"/>
                <w:szCs w:val="20"/>
              </w:rPr>
            </w:pPr>
            <w:r>
              <w:rPr>
                <w:sz w:val="20"/>
                <w:szCs w:val="20"/>
              </w:rPr>
              <w:t>-Suco de Frutas (laranja, mamão, abacaxi, melão...) – naturais ou congelados</w:t>
            </w:r>
          </w:p>
          <w:p>
            <w:pPr>
              <w:pStyle w:val="Normal"/>
              <w:widowControl w:val="false"/>
              <w:ind w:left="213" w:hanging="218"/>
              <w:jc w:val="both"/>
              <w:rPr>
                <w:rFonts w:ascii="Arial" w:hAnsi="Arial"/>
                <w:sz w:val="20"/>
                <w:szCs w:val="20"/>
              </w:rPr>
            </w:pPr>
            <w:r>
              <w:rPr>
                <w:sz w:val="20"/>
                <w:szCs w:val="20"/>
              </w:rPr>
              <w:t>-Chá (mate, preto e de ervas)</w:t>
            </w:r>
          </w:p>
          <w:p>
            <w:pPr>
              <w:pStyle w:val="Normal"/>
              <w:widowControl w:val="false"/>
              <w:ind w:left="213" w:hanging="218"/>
              <w:jc w:val="both"/>
              <w:rPr>
                <w:rFonts w:ascii="Arial" w:hAnsi="Arial"/>
                <w:sz w:val="20"/>
                <w:szCs w:val="20"/>
              </w:rPr>
            </w:pPr>
            <w:r>
              <w:rPr>
                <w:sz w:val="20"/>
                <w:szCs w:val="20"/>
              </w:rPr>
              <w:t>-Cafezinho</w:t>
            </w:r>
          </w:p>
          <w:p>
            <w:pPr>
              <w:pStyle w:val="Normal"/>
              <w:widowControl w:val="false"/>
              <w:ind w:left="213" w:hanging="218"/>
              <w:jc w:val="both"/>
              <w:rPr>
                <w:rFonts w:ascii="Arial" w:hAnsi="Arial"/>
                <w:sz w:val="20"/>
                <w:szCs w:val="20"/>
              </w:rPr>
            </w:pPr>
            <w:r>
              <w:rPr>
                <w:sz w:val="20"/>
                <w:szCs w:val="20"/>
              </w:rPr>
              <w:t>-Café Expresso</w:t>
            </w:r>
          </w:p>
          <w:p>
            <w:pPr>
              <w:pStyle w:val="Normal"/>
              <w:widowControl w:val="false"/>
              <w:ind w:left="213" w:hanging="218"/>
              <w:jc w:val="both"/>
              <w:rPr>
                <w:rFonts w:ascii="Arial" w:hAnsi="Arial"/>
                <w:sz w:val="20"/>
                <w:szCs w:val="20"/>
              </w:rPr>
            </w:pPr>
            <w:r>
              <w:rPr>
                <w:sz w:val="20"/>
                <w:szCs w:val="20"/>
              </w:rPr>
              <w:t>-Café com Leite</w:t>
            </w:r>
          </w:p>
          <w:p>
            <w:pPr>
              <w:pStyle w:val="Normal"/>
              <w:widowControl w:val="false"/>
              <w:ind w:left="213" w:hanging="218"/>
              <w:jc w:val="both"/>
              <w:rPr>
                <w:rFonts w:ascii="Arial" w:hAnsi="Arial"/>
                <w:sz w:val="20"/>
                <w:szCs w:val="20"/>
              </w:rPr>
            </w:pPr>
            <w:r>
              <w:rPr>
                <w:sz w:val="20"/>
                <w:szCs w:val="20"/>
              </w:rPr>
              <w:t>-Copo de Leite (quente ou frio) 300 ml</w:t>
            </w:r>
          </w:p>
          <w:p>
            <w:pPr>
              <w:pStyle w:val="Normal"/>
              <w:widowControl w:val="false"/>
              <w:ind w:left="213" w:hanging="218"/>
              <w:jc w:val="both"/>
              <w:rPr>
                <w:rFonts w:ascii="Arial" w:hAnsi="Arial"/>
                <w:sz w:val="20"/>
                <w:szCs w:val="20"/>
              </w:rPr>
            </w:pPr>
            <w:r>
              <w:rPr>
                <w:sz w:val="20"/>
                <w:szCs w:val="20"/>
              </w:rPr>
              <w:t>-Copo de Leite com cacau 50% (quente ou frio) 300 ml</w:t>
            </w:r>
          </w:p>
          <w:p>
            <w:pPr>
              <w:pStyle w:val="Normal"/>
              <w:widowControl w:val="false"/>
              <w:ind w:left="213" w:hanging="218"/>
              <w:jc w:val="both"/>
              <w:rPr>
                <w:rFonts w:ascii="Arial" w:hAnsi="Arial"/>
                <w:sz w:val="20"/>
                <w:szCs w:val="20"/>
              </w:rPr>
            </w:pPr>
            <w:r>
              <w:rPr>
                <w:sz w:val="20"/>
                <w:szCs w:val="20"/>
              </w:rPr>
              <w:t>-Vitaminas (banana, mamão, maçã, morango, etc.)</w:t>
            </w:r>
          </w:p>
          <w:p>
            <w:pPr>
              <w:pStyle w:val="Normal"/>
              <w:widowControl w:val="false"/>
              <w:ind w:left="213" w:hanging="218"/>
              <w:jc w:val="both"/>
              <w:rPr>
                <w:rFonts w:ascii="Arial" w:hAnsi="Arial"/>
                <w:sz w:val="20"/>
                <w:szCs w:val="20"/>
              </w:rPr>
            </w:pPr>
            <w:r>
              <w:rPr>
                <w:sz w:val="20"/>
                <w:szCs w:val="20"/>
              </w:rPr>
              <w:t>-Iogurte natural integral ou desnatado -Coalhada integral ou desnatada</w:t>
            </w:r>
          </w:p>
          <w:p>
            <w:pPr>
              <w:pStyle w:val="Normal"/>
              <w:widowControl w:val="false"/>
              <w:ind w:left="213" w:hanging="218"/>
              <w:jc w:val="both"/>
              <w:rPr>
                <w:rFonts w:ascii="Arial" w:hAnsi="Arial"/>
                <w:sz w:val="20"/>
                <w:szCs w:val="20"/>
              </w:rPr>
            </w:pPr>
            <w:r>
              <w:rPr>
                <w:sz w:val="20"/>
                <w:szCs w:val="20"/>
              </w:rPr>
              <w:t>-Smoothie</w:t>
            </w:r>
          </w:p>
        </w:tc>
      </w:tr>
    </w:tbl>
    <w:p>
      <w:pPr>
        <w:pStyle w:val="Normal"/>
        <w:spacing w:before="0" w:after="120"/>
        <w:ind w:left="644" w:hanging="0"/>
        <w:rPr>
          <w:rFonts w:ascii="Arial" w:hAnsi="Arial"/>
          <w:color w:val="000000"/>
          <w:sz w:val="20"/>
          <w:szCs w:val="20"/>
        </w:rPr>
      </w:pPr>
      <w:r>
        <w:rPr>
          <w:color w:val="000000"/>
          <w:sz w:val="20"/>
          <w:szCs w:val="20"/>
        </w:rPr>
      </w:r>
    </w:p>
    <w:p>
      <w:pPr>
        <w:pStyle w:val="Normal"/>
        <w:spacing w:before="0" w:after="120"/>
        <w:ind w:left="644" w:hanging="0"/>
        <w:rPr>
          <w:rFonts w:ascii="Arial" w:hAnsi="Arial"/>
          <w:sz w:val="20"/>
          <w:szCs w:val="20"/>
        </w:rPr>
      </w:pPr>
      <w:r>
        <w:rPr>
          <w:b/>
          <w:color w:val="000000"/>
          <w:sz w:val="20"/>
          <w:szCs w:val="20"/>
        </w:rPr>
        <w:t>OBSERVAÇÕES: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sz w:val="20"/>
          <w:szCs w:val="20"/>
        </w:rPr>
      </w:pPr>
      <w:r>
        <w:rPr>
          <w:color w:val="000000"/>
          <w:sz w:val="20"/>
          <w:szCs w:val="20"/>
        </w:rPr>
        <w:tab/>
        <w:t xml:space="preserve">Os lanches solicitados no balcão deverão ter preparo rápido de, no máximo, 05 (cinco) minutos de espera, com número suficiente de funcionários para atender a demanda.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B – OPÇÕES PARA O CARDÁPIO DAS REFEIÇÕES</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 CONCESSIONÁRIA deverá, </w:t>
      </w:r>
      <w:r>
        <w:rPr>
          <w:color w:val="000000"/>
          <w:sz w:val="20"/>
          <w:szCs w:val="20"/>
          <w:u w:val="single"/>
        </w:rPr>
        <w:t>obrigatoriamente</w:t>
      </w:r>
      <w:r>
        <w:rPr>
          <w:color w:val="000000"/>
          <w:sz w:val="20"/>
          <w:szCs w:val="20"/>
        </w:rPr>
        <w:t xml:space="preserve">, elaborar os cardápios </w:t>
      </w:r>
      <w:r>
        <w:rPr>
          <w:color w:val="000000"/>
          <w:sz w:val="20"/>
          <w:szCs w:val="20"/>
          <w:u w:val="single"/>
        </w:rPr>
        <w:t xml:space="preserve">de acordo com as </w:t>
      </w:r>
      <w:r>
        <w:rPr>
          <w:b/>
          <w:color w:val="000000"/>
          <w:sz w:val="20"/>
          <w:szCs w:val="20"/>
          <w:u w:val="single"/>
        </w:rPr>
        <w:t>opções</w:t>
      </w:r>
      <w:r>
        <w:rPr>
          <w:color w:val="000000"/>
          <w:sz w:val="20"/>
          <w:szCs w:val="20"/>
          <w:u w:val="single"/>
        </w:rPr>
        <w:t xml:space="preserve"> que seguem abaixo</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As </w:t>
      </w:r>
      <w:r>
        <w:rPr>
          <w:b/>
          <w:color w:val="000000"/>
          <w:sz w:val="20"/>
          <w:szCs w:val="20"/>
        </w:rPr>
        <w:t>ENTRADAS</w:t>
      </w:r>
      <w:r>
        <w:rPr>
          <w:color w:val="000000"/>
          <w:sz w:val="20"/>
          <w:szCs w:val="20"/>
        </w:rPr>
        <w:t xml:space="preserve">, </w:t>
      </w:r>
      <w:r>
        <w:rPr>
          <w:b/>
          <w:color w:val="000000"/>
          <w:sz w:val="20"/>
          <w:szCs w:val="20"/>
        </w:rPr>
        <w:t>SALADAS, MOLHOS, GUARNIÇÕES, CARNES, E SOBREMESAS</w:t>
      </w:r>
      <w:r>
        <w:rPr>
          <w:color w:val="000000"/>
          <w:sz w:val="20"/>
          <w:szCs w:val="20"/>
        </w:rPr>
        <w:t xml:space="preserve">, que comporão o cardápio, deverão variar entre </w:t>
      </w:r>
      <w:r>
        <w:rPr>
          <w:color w:val="000000"/>
          <w:sz w:val="20"/>
          <w:szCs w:val="20"/>
          <w:u w:val="single"/>
        </w:rPr>
        <w:t>todas as opções</w:t>
      </w:r>
      <w:r>
        <w:rPr>
          <w:color w:val="000000"/>
          <w:sz w:val="20"/>
          <w:szCs w:val="20"/>
        </w:rPr>
        <w:t xml:space="preserve"> propostas de cada um deles, isto é, todas as opções </w:t>
      </w:r>
      <w:r>
        <w:rPr>
          <w:color w:val="000000"/>
          <w:sz w:val="20"/>
          <w:szCs w:val="20"/>
          <w:u w:val="single"/>
        </w:rPr>
        <w:t>deverão ser preparadas com igual frequência</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ENTRADAS</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19"/>
        <w:gridCol w:w="3025"/>
        <w:gridCol w:w="3027"/>
      </w:tblGrid>
      <w:tr>
        <w:trPr/>
        <w:tc>
          <w:tcPr>
            <w:tcW w:w="6044" w:type="dxa"/>
            <w:gridSpan w:val="2"/>
            <w:tcBorders>
              <w:top w:val="single" w:sz="2" w:space="0" w:color="000000"/>
              <w:left w:val="single" w:sz="2" w:space="0" w:color="000000"/>
              <w:bottom w:val="single" w:sz="2" w:space="0" w:color="000000"/>
            </w:tcBorders>
          </w:tcPr>
          <w:p>
            <w:pPr>
              <w:pStyle w:val="Normal"/>
              <w:keepLines/>
              <w:widowControl w:val="false"/>
              <w:ind w:right="-68" w:hanging="0"/>
              <w:jc w:val="center"/>
              <w:rPr>
                <w:rFonts w:ascii="Arial" w:hAnsi="Arial"/>
                <w:b/>
                <w:b/>
                <w:color w:val="000000"/>
                <w:sz w:val="20"/>
                <w:szCs w:val="20"/>
              </w:rPr>
            </w:pPr>
            <w:r>
              <w:rPr>
                <w:b/>
                <w:color w:val="000000"/>
                <w:sz w:val="20"/>
                <w:szCs w:val="20"/>
              </w:rPr>
              <w:t>TIPOS DE ENTRADAS</w:t>
            </w:r>
          </w:p>
        </w:tc>
        <w:tc>
          <w:tcPr>
            <w:tcW w:w="3027" w:type="dxa"/>
            <w:tcBorders>
              <w:top w:val="single" w:sz="2" w:space="0" w:color="000000"/>
              <w:left w:val="single" w:sz="2" w:space="0" w:color="000000"/>
              <w:bottom w:val="single" w:sz="2" w:space="0" w:color="000000"/>
              <w:right w:val="single" w:sz="2" w:space="0" w:color="000000"/>
            </w:tcBorders>
          </w:tcPr>
          <w:p>
            <w:pPr>
              <w:pStyle w:val="Normal"/>
              <w:keepLines/>
              <w:widowControl w:val="false"/>
              <w:ind w:right="-68" w:hanging="0"/>
              <w:jc w:val="center"/>
              <w:rPr>
                <w:rFonts w:ascii="Arial" w:hAnsi="Arial"/>
                <w:b/>
                <w:b/>
                <w:sz w:val="20"/>
                <w:szCs w:val="20"/>
              </w:rPr>
            </w:pPr>
            <w:r>
              <w:rPr>
                <w:b/>
                <w:sz w:val="20"/>
                <w:szCs w:val="20"/>
              </w:rPr>
              <w:t>FREQUÊNCIA</w:t>
            </w:r>
          </w:p>
        </w:tc>
      </w:tr>
      <w:tr>
        <w:trPr/>
        <w:tc>
          <w:tcPr>
            <w:tcW w:w="3019"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t>FRUTAS FRESCAS</w:t>
            </w:r>
          </w:p>
        </w:tc>
        <w:tc>
          <w:tcPr>
            <w:tcW w:w="3025"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-Mamão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-Manga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-Melancia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-Morango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-Maçã</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-Abacaxi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-Laranja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-Uva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-Kiwi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-Banana</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03 (TRÊS) TIPOS DIARIAMENTE</w:t>
            </w:r>
          </w:p>
        </w:tc>
      </w:tr>
      <w:tr>
        <w:trPr/>
        <w:tc>
          <w:tcPr>
            <w:tcW w:w="3019"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r>
          </w:p>
          <w:p>
            <w:pPr>
              <w:pStyle w:val="Normal"/>
              <w:widowControl w:val="false"/>
              <w:ind w:left="-70" w:right="5" w:hanging="0"/>
              <w:jc w:val="center"/>
              <w:rPr>
                <w:rFonts w:ascii="Arial" w:hAnsi="Arial"/>
                <w:b/>
                <w:b/>
                <w:sz w:val="20"/>
                <w:szCs w:val="20"/>
              </w:rPr>
            </w:pPr>
            <w:r>
              <w:rPr>
                <w:b/>
                <w:sz w:val="20"/>
                <w:szCs w:val="20"/>
              </w:rPr>
              <w:t>DIVERSOS</w:t>
            </w:r>
          </w:p>
          <w:p>
            <w:pPr>
              <w:pStyle w:val="Normal"/>
              <w:widowControl w:val="false"/>
              <w:ind w:left="-70" w:right="5" w:hanging="0"/>
              <w:jc w:val="center"/>
              <w:rPr>
                <w:rFonts w:ascii="Arial" w:hAnsi="Arial"/>
                <w:b/>
                <w:b/>
                <w:sz w:val="20"/>
                <w:szCs w:val="20"/>
              </w:rPr>
            </w:pPr>
            <w:r>
              <w:rPr>
                <w:b/>
                <w:sz w:val="20"/>
                <w:szCs w:val="20"/>
              </w:rPr>
            </w:r>
          </w:p>
        </w:tc>
        <w:tc>
          <w:tcPr>
            <w:tcW w:w="3025" w:type="dxa"/>
            <w:tcBorders>
              <w:left w:val="single" w:sz="2" w:space="0" w:color="000000"/>
              <w:bottom w:val="single" w:sz="2" w:space="0" w:color="000000"/>
            </w:tcBorders>
          </w:tcPr>
          <w:p>
            <w:pPr>
              <w:pStyle w:val="Normal"/>
              <w:widowControl w:val="false"/>
              <w:tabs>
                <w:tab w:val="clear" w:pos="708"/>
                <w:tab w:val="left" w:pos="0" w:leader="none"/>
                <w:tab w:val="left" w:pos="2619" w:leader="none"/>
              </w:tabs>
              <w:rPr>
                <w:rFonts w:ascii="Arial" w:hAnsi="Arial"/>
                <w:sz w:val="20"/>
                <w:szCs w:val="20"/>
              </w:rPr>
            </w:pPr>
            <w:r>
              <w:rPr>
                <w:sz w:val="20"/>
                <w:szCs w:val="20"/>
              </w:rPr>
              <w:t>-Farofa</w:t>
            </w:r>
          </w:p>
          <w:p>
            <w:pPr>
              <w:pStyle w:val="Normal"/>
              <w:widowControl w:val="false"/>
              <w:tabs>
                <w:tab w:val="clear" w:pos="708"/>
                <w:tab w:val="left" w:pos="0" w:leader="none"/>
                <w:tab w:val="left" w:pos="2619" w:leader="none"/>
              </w:tabs>
              <w:rPr>
                <w:rFonts w:ascii="Arial" w:hAnsi="Arial"/>
                <w:sz w:val="20"/>
                <w:szCs w:val="20"/>
              </w:rPr>
            </w:pPr>
            <w:r>
              <w:rPr>
                <w:sz w:val="20"/>
                <w:szCs w:val="20"/>
              </w:rPr>
              <w:t>-Uva-passas</w:t>
            </w:r>
          </w:p>
          <w:p>
            <w:pPr>
              <w:pStyle w:val="Normal"/>
              <w:widowControl w:val="false"/>
              <w:tabs>
                <w:tab w:val="clear" w:pos="708"/>
                <w:tab w:val="left" w:pos="0" w:leader="none"/>
                <w:tab w:val="left" w:pos="2619" w:leader="none"/>
              </w:tabs>
              <w:rPr>
                <w:rFonts w:ascii="Arial" w:hAnsi="Arial"/>
                <w:sz w:val="20"/>
                <w:szCs w:val="20"/>
              </w:rPr>
            </w:pPr>
            <w:r>
              <w:rPr>
                <w:sz w:val="20"/>
                <w:szCs w:val="20"/>
              </w:rPr>
              <w:t>-Granola sem açúcar</w:t>
            </w:r>
          </w:p>
          <w:p>
            <w:pPr>
              <w:pStyle w:val="Normal"/>
              <w:widowControl w:val="false"/>
              <w:tabs>
                <w:tab w:val="clear" w:pos="708"/>
                <w:tab w:val="left" w:pos="0" w:leader="none"/>
                <w:tab w:val="left" w:pos="2619" w:leader="none"/>
              </w:tabs>
              <w:rPr>
                <w:rFonts w:ascii="Arial" w:hAnsi="Arial"/>
                <w:sz w:val="20"/>
                <w:szCs w:val="20"/>
              </w:rPr>
            </w:pPr>
            <w:r>
              <w:rPr>
                <w:sz w:val="20"/>
                <w:szCs w:val="20"/>
              </w:rPr>
              <w:t>-Aveia em flocos</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02 (DOIS) TIPOS DIARIAMENTE</w:t>
            </w:r>
          </w:p>
        </w:tc>
      </w:tr>
    </w:tbl>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rPr>
          <w:rFonts w:ascii="Arial" w:hAnsi="Arial"/>
          <w:b/>
          <w:b/>
          <w:bCs/>
          <w:color w:val="000000"/>
          <w:sz w:val="20"/>
          <w:szCs w:val="20"/>
        </w:rPr>
      </w:pPr>
      <w:r>
        <w:rPr>
          <w:b/>
          <w:bCs/>
          <w:color w:val="000000"/>
          <w:sz w:val="20"/>
          <w:szCs w:val="20"/>
        </w:rPr>
      </w:r>
    </w:p>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SALADAS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267"/>
        <w:gridCol w:w="2267"/>
        <w:gridCol w:w="1"/>
        <w:gridCol w:w="2270"/>
        <w:gridCol w:w="2265"/>
      </w:tblGrid>
      <w:tr>
        <w:trPr/>
        <w:tc>
          <w:tcPr>
            <w:tcW w:w="4534" w:type="dxa"/>
            <w:gridSpan w:val="2"/>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SALADAS</w:t>
            </w:r>
          </w:p>
        </w:tc>
        <w:tc>
          <w:tcPr>
            <w:tcW w:w="2271" w:type="dxa"/>
            <w:gridSpan w:val="2"/>
            <w:tcBorders>
              <w:top w:val="single" w:sz="4" w:space="0" w:color="000000"/>
              <w:left w:val="single" w:sz="4" w:space="0" w:color="000000"/>
              <w:bottom w:val="single" w:sz="4" w:space="0" w:color="000000"/>
            </w:tcBorders>
          </w:tcPr>
          <w:p>
            <w:pPr>
              <w:pStyle w:val="Ttulo5"/>
              <w:keepLines w:val="false"/>
              <w:widowControl w:val="false"/>
              <w:spacing w:before="0" w:after="40"/>
              <w:rPr>
                <w:rFonts w:ascii="Arial" w:hAnsi="Arial" w:eastAsia="Times New Roman" w:cs="Times New Roman"/>
                <w:bCs/>
                <w:color w:val="000000"/>
                <w:sz w:val="20"/>
                <w:szCs w:val="20"/>
              </w:rPr>
            </w:pPr>
            <w:r>
              <w:rPr>
                <w:rFonts w:eastAsia="Times New Roman" w:cs="Times New Roman"/>
                <w:bCs/>
                <w:color w:val="000000"/>
                <w:sz w:val="20"/>
                <w:szCs w:val="20"/>
              </w:rPr>
              <w:t>FREQUÊNCIA</w:t>
            </w:r>
          </w:p>
        </w:tc>
        <w:tc>
          <w:tcPr>
            <w:tcW w:w="2265" w:type="dxa"/>
            <w:tcBorders>
              <w:top w:val="single" w:sz="4" w:space="0" w:color="000000"/>
              <w:left w:val="single" w:sz="4" w:space="0" w:color="000000"/>
              <w:bottom w:val="single" w:sz="4" w:space="0" w:color="000000"/>
              <w:right w:val="single" w:sz="4" w:space="0" w:color="000000"/>
            </w:tcBorders>
          </w:tcPr>
          <w:p>
            <w:pPr>
              <w:pStyle w:val="Ttulo6"/>
              <w:keepLines w:val="false"/>
              <w:widowControl w:val="false"/>
              <w:tabs>
                <w:tab w:val="clear" w:pos="708"/>
                <w:tab w:val="left" w:pos="7785" w:leader="none"/>
              </w:tabs>
              <w:spacing w:before="0" w:after="0"/>
              <w:ind w:right="72" w:hanging="0"/>
              <w:rPr>
                <w:rFonts w:ascii="Arial" w:hAnsi="Arial"/>
                <w:bCs/>
                <w:color w:val="000000"/>
                <w:sz w:val="20"/>
                <w:szCs w:val="20"/>
              </w:rPr>
            </w:pPr>
            <w:r>
              <w:rPr>
                <w:bCs/>
                <w:color w:val="000000"/>
                <w:sz w:val="20"/>
                <w:szCs w:val="20"/>
              </w:rPr>
              <w:t>OBSERVAÇÕES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CRUAS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-tomate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-cebola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-pepino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-pimentão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COZIDAS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-abóbora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-berinjela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doce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inglesa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-vagem</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-couve-flor</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-brócolis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-chuchu</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-maxixe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 (verde, branca)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-quiabo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-repolho (roxo ou comum)</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FOLHAS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diversos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-acelga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 manteiga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roxa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-rúcula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-espinafre</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ind w:right="-70" w:hanging="0"/>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TEMPEROS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4"/>
              <w:keepLines w:val="false"/>
              <w:widowControl w:val="false"/>
              <w:tabs>
                <w:tab w:val="clear" w:pos="708"/>
                <w:tab w:val="left" w:pos="0" w:leader="none"/>
                <w:tab w:val="left" w:pos="864" w:leader="none"/>
              </w:tabs>
              <w:spacing w:before="0" w:after="0"/>
              <w:ind w:left="864" w:hanging="0"/>
              <w:jc w:val="center"/>
              <w:rPr>
                <w:rFonts w:ascii="Arial" w:hAnsi="Arial" w:eastAsia="Times New Roman" w:cs="Times New Roman"/>
                <w:color w:val="000000"/>
                <w:sz w:val="20"/>
                <w:szCs w:val="20"/>
              </w:rPr>
            </w:pPr>
            <w:r>
              <w:rPr>
                <w:rFonts w:eastAsia="Times New Roman" w:cs="Times New Roman"/>
                <w:color w:val="000000"/>
                <w:sz w:val="20"/>
                <w:szCs w:val="20"/>
              </w:rPr>
              <w:t>TIPOS DE TEMPEROS</w:t>
            </w:r>
          </w:p>
        </w:tc>
        <w:tc>
          <w:tcPr>
            <w:tcW w:w="4535" w:type="dxa"/>
            <w:tcBorders>
              <w:top w:val="single" w:sz="4" w:space="0" w:color="000000"/>
              <w:left w:val="single" w:sz="4" w:space="0" w:color="000000"/>
              <w:bottom w:val="single" w:sz="4" w:space="0" w:color="000000"/>
              <w:right w:val="single" w:sz="4" w:space="0" w:color="000000"/>
            </w:tcBorders>
          </w:tcPr>
          <w:p>
            <w:pPr>
              <w:pStyle w:val="Ttulo4"/>
              <w:keepLines w:val="false"/>
              <w:widowControl w:val="false"/>
              <w:tabs>
                <w:tab w:val="clear" w:pos="708"/>
                <w:tab w:val="left" w:pos="0" w:leader="none"/>
                <w:tab w:val="left" w:pos="864" w:leader="none"/>
              </w:tabs>
              <w:spacing w:before="0" w:after="0"/>
              <w:jc w:val="center"/>
              <w:rPr>
                <w:rFonts w:ascii="Arial" w:hAnsi="Arial" w:eastAsia="Times New Roman" w:cs="Times New Roman"/>
                <w:color w:val="000000"/>
                <w:sz w:val="20"/>
                <w:szCs w:val="20"/>
              </w:rPr>
            </w:pPr>
            <w:r>
              <w:rPr>
                <w:rFonts w:eastAsia="Times New Roman" w:cs="Times New Roman"/>
                <w:color w:val="000000"/>
                <w:sz w:val="20"/>
                <w:szCs w:val="20"/>
              </w:rPr>
              <w:t>FREQUÊNCIA</w:t>
            </w:r>
          </w:p>
        </w:tc>
      </w:tr>
      <w:tr>
        <w:trPr/>
        <w:tc>
          <w:tcPr>
            <w:tcW w:w="4535"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-Azeite de oliva</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vinho tinto, de maçã, branco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balsâmico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-Pimentas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-queijo parmesão ralado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-salsa (tempero verde)</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-óleo de girassol</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-especiarias (canela e orégano)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-Limão</w:t>
            </w:r>
          </w:p>
        </w:tc>
        <w:tc>
          <w:tcPr>
            <w:tcW w:w="4535" w:type="dxa"/>
            <w:tcBorders>
              <w:left w:val="single" w:sz="4" w:space="0" w:color="000000"/>
              <w:bottom w:val="single" w:sz="4" w:space="0" w:color="000000"/>
              <w:right w:val="single" w:sz="4" w:space="0" w:color="000000"/>
            </w:tcBorders>
          </w:tcPr>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t>TODOS OS TIPOS DIARIAMENTE</w:t>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GUARNIÇÕES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023"/>
        <w:gridCol w:w="3024"/>
        <w:gridCol w:w="3024"/>
      </w:tblGrid>
      <w:tr>
        <w:trPr/>
        <w:tc>
          <w:tcPr>
            <w:tcW w:w="3023"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GUARNIÇÕES</w:t>
            </w:r>
          </w:p>
        </w:tc>
        <w:tc>
          <w:tcPr>
            <w:tcW w:w="3024" w:type="dxa"/>
            <w:tcBorders>
              <w:top w:val="single" w:sz="4" w:space="0" w:color="000000"/>
              <w:left w:val="single" w:sz="4" w:space="0" w:color="000000"/>
              <w:bottom w:val="single" w:sz="4" w:space="0" w:color="000000"/>
            </w:tcBorders>
          </w:tcPr>
          <w:p>
            <w:pPr>
              <w:pStyle w:val="Normal"/>
              <w:widowControl w:val="false"/>
              <w:rPr>
                <w:rFonts w:ascii="Arial" w:hAnsi="Arial"/>
                <w:b/>
                <w:b/>
                <w:bCs/>
                <w:color w:val="000000"/>
                <w:sz w:val="20"/>
                <w:szCs w:val="20"/>
              </w:rPr>
            </w:pPr>
            <w:r>
              <w:rPr>
                <w:b/>
                <w:bCs/>
                <w:color w:val="000000"/>
                <w:sz w:val="20"/>
                <w:szCs w:val="20"/>
              </w:rPr>
              <w:t>FREQUÊNCIA</w:t>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ind w:right="72" w:hanging="0"/>
              <w:rPr>
                <w:rFonts w:ascii="Arial" w:hAnsi="Arial"/>
                <w:b/>
                <w:b/>
                <w:bCs/>
                <w:color w:val="000000"/>
                <w:sz w:val="20"/>
                <w:szCs w:val="20"/>
              </w:rPr>
            </w:pPr>
            <w:r>
              <w:rPr>
                <w:b/>
                <w:bCs/>
                <w:color w:val="000000"/>
                <w:sz w:val="20"/>
                <w:szCs w:val="20"/>
              </w:rPr>
              <w:t>OBSERVAÇÕES</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ARROZ</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branco (5x)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integral (4x)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elaborado (1x)</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__</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FEIJÃO</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preto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carioca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de corda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02 (DOIS) TIPOS</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-Talharim</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-Spaguetti</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-Lasanha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-Empadão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-Panqueca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MOLHOS PARA 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-Branco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-Sugo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-Bolonhesa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-4 queijos</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DEMAIS GUARNIÇÕES</w:t>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-Gratinados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-Omeletes (com presunto e queijo, tempero verde, tomate-queijo e orégano, cebola, etc.)</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-Farofas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-Refogados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-Pratos de proteína texturizada de soja –PTS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-Purês (batata, abóbora, macaxeira)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t>NO MÍNIMO</w:t>
            </w:r>
          </w:p>
          <w:p>
            <w:pPr>
              <w:pStyle w:val="Ttulo4"/>
              <w:keepLines w:val="false"/>
              <w:widowControl w:val="false"/>
              <w:tabs>
                <w:tab w:val="clear" w:pos="708"/>
                <w:tab w:val="left" w:pos="0" w:leader="none"/>
                <w:tab w:val="left" w:pos="864" w:leader="none"/>
              </w:tabs>
              <w:spacing w:before="0" w:after="40"/>
              <w:rPr>
                <w:rFonts w:ascii="Arial" w:hAnsi="Arial" w:eastAsia="Times New Roman" w:cs="Times New Roman"/>
                <w:color w:val="000000"/>
                <w:sz w:val="20"/>
                <w:szCs w:val="20"/>
              </w:rPr>
            </w:pPr>
            <w:r>
              <w:rPr>
                <w:rFonts w:eastAsia="Times New Roman" w:cs="Times New Roman"/>
                <w:color w:val="000000"/>
                <w:sz w:val="20"/>
                <w:szCs w:val="20"/>
              </w:rPr>
              <w:t>02 (DOIS) TIPOS</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 xml:space="preserve">CARNES </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23"/>
        <w:gridCol w:w="3024"/>
        <w:gridCol w:w="3024"/>
      </w:tblGrid>
      <w:tr>
        <w:trPr/>
        <w:tc>
          <w:tcPr>
            <w:tcW w:w="3023" w:type="dxa"/>
            <w:tcBorders>
              <w:top w:val="single" w:sz="2" w:space="0" w:color="000000"/>
              <w:left w:val="single" w:sz="2" w:space="0" w:color="000000"/>
              <w:bottom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CARNES</w:t>
            </w:r>
          </w:p>
        </w:tc>
        <w:tc>
          <w:tcPr>
            <w:tcW w:w="3024" w:type="dxa"/>
            <w:tcBorders>
              <w:top w:val="single" w:sz="2" w:space="0" w:color="000000"/>
              <w:left w:val="single" w:sz="2" w:space="0" w:color="000000"/>
              <w:bottom w:val="single" w:sz="2" w:space="0" w:color="000000"/>
            </w:tcBorders>
          </w:tcPr>
          <w:p>
            <w:pPr>
              <w:pStyle w:val="Normal"/>
              <w:widowControl w:val="false"/>
              <w:ind w:right="-94" w:hanging="0"/>
              <w:jc w:val="center"/>
              <w:rPr>
                <w:rFonts w:ascii="Arial" w:hAnsi="Arial"/>
                <w:b/>
                <w:b/>
                <w:sz w:val="20"/>
                <w:szCs w:val="20"/>
              </w:rPr>
            </w:pPr>
            <w:r>
              <w:rPr>
                <w:b/>
                <w:sz w:val="20"/>
                <w:szCs w:val="20"/>
              </w:rPr>
              <w:t>FREQUÊNCIA</w:t>
            </w:r>
          </w:p>
        </w:tc>
        <w:tc>
          <w:tcPr>
            <w:tcW w:w="3024" w:type="dxa"/>
            <w:tcBorders>
              <w:top w:val="single" w:sz="2" w:space="0" w:color="000000"/>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AVES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-Frango</w:t>
            </w:r>
          </w:p>
          <w:p>
            <w:pPr>
              <w:pStyle w:val="Normal"/>
              <w:widowControl w:val="false"/>
              <w:ind w:left="57" w:hanging="0"/>
              <w:rPr>
                <w:rFonts w:ascii="Arial" w:hAnsi="Arial"/>
                <w:color w:val="000000"/>
                <w:sz w:val="20"/>
                <w:szCs w:val="20"/>
              </w:rPr>
            </w:pPr>
            <w:r>
              <w:rPr>
                <w:color w:val="000000"/>
                <w:sz w:val="20"/>
                <w:szCs w:val="20"/>
              </w:rPr>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BOVINOS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-contrafilé</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-alcatra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-coxão mole</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-Maminha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-Carne moída de 1ª</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-Costela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-Patinho</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-Lagarto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PEIXES</w:t>
            </w:r>
          </w:p>
        </w:tc>
        <w:tc>
          <w:tcPr>
            <w:tcW w:w="3024" w:type="dxa"/>
            <w:tcBorders>
              <w:left w:val="single" w:sz="2" w:space="0" w:color="000000"/>
              <w:bottom w:val="single" w:sz="2" w:space="0" w:color="000000"/>
            </w:tcBorders>
          </w:tcPr>
          <w:p>
            <w:pPr>
              <w:pStyle w:val="Normal"/>
              <w:widowControl w:val="false"/>
              <w:ind w:left="-4" w:hanging="0"/>
              <w:rPr>
                <w:rFonts w:ascii="Arial" w:hAnsi="Arial"/>
                <w:sz w:val="20"/>
                <w:szCs w:val="20"/>
              </w:rPr>
            </w:pPr>
            <w:r>
              <w:rPr>
                <w:sz w:val="20"/>
                <w:szCs w:val="20"/>
              </w:rPr>
              <w:t>-linguado</w:t>
            </w:r>
          </w:p>
          <w:p>
            <w:pPr>
              <w:pStyle w:val="Normal"/>
              <w:widowControl w:val="false"/>
              <w:ind w:left="-4" w:hanging="0"/>
              <w:rPr>
                <w:rFonts w:ascii="Arial" w:hAnsi="Arial"/>
                <w:sz w:val="20"/>
                <w:szCs w:val="20"/>
              </w:rPr>
            </w:pPr>
            <w:r>
              <w:rPr>
                <w:sz w:val="20"/>
                <w:szCs w:val="20"/>
              </w:rPr>
              <w:t>-bacalhau</w:t>
            </w:r>
          </w:p>
          <w:p>
            <w:pPr>
              <w:pStyle w:val="Normal"/>
              <w:widowControl w:val="false"/>
              <w:ind w:left="-4" w:hanging="0"/>
              <w:rPr>
                <w:rFonts w:ascii="Arial" w:hAnsi="Arial"/>
                <w:sz w:val="20"/>
                <w:szCs w:val="20"/>
              </w:rPr>
            </w:pPr>
            <w:r>
              <w:rPr>
                <w:sz w:val="20"/>
                <w:szCs w:val="20"/>
              </w:rPr>
              <w:t>-pescada</w:t>
            </w:r>
          </w:p>
          <w:p>
            <w:pPr>
              <w:pStyle w:val="Normal"/>
              <w:widowControl w:val="false"/>
              <w:ind w:left="-4" w:hanging="0"/>
              <w:rPr>
                <w:rFonts w:ascii="Arial" w:hAnsi="Arial"/>
                <w:sz w:val="20"/>
                <w:szCs w:val="20"/>
              </w:rPr>
            </w:pPr>
            <w:r>
              <w:rPr>
                <w:sz w:val="20"/>
                <w:szCs w:val="20"/>
              </w:rPr>
              <w:t>-cavalinha</w:t>
            </w:r>
          </w:p>
          <w:p>
            <w:pPr>
              <w:pStyle w:val="Normal"/>
              <w:widowControl w:val="false"/>
              <w:ind w:left="-4" w:hanging="0"/>
              <w:rPr>
                <w:rFonts w:ascii="Arial" w:hAnsi="Arial"/>
                <w:sz w:val="20"/>
                <w:szCs w:val="20"/>
              </w:rPr>
            </w:pPr>
            <w:r>
              <w:rPr>
                <w:sz w:val="20"/>
                <w:szCs w:val="20"/>
              </w:rPr>
              <w:t>-Tilápia</w:t>
            </w:r>
          </w:p>
          <w:p>
            <w:pPr>
              <w:pStyle w:val="Normal"/>
              <w:widowControl w:val="false"/>
              <w:ind w:left="-4" w:hanging="0"/>
              <w:rPr>
                <w:rFonts w:ascii="Arial" w:hAnsi="Arial"/>
                <w:sz w:val="20"/>
                <w:szCs w:val="20"/>
              </w:rPr>
            </w:pPr>
            <w:r>
              <w:rPr>
                <w:sz w:val="20"/>
                <w:szCs w:val="20"/>
              </w:rPr>
              <w:t>-Surubim</w:t>
            </w:r>
          </w:p>
          <w:p>
            <w:pPr>
              <w:pStyle w:val="Normal"/>
              <w:widowControl w:val="false"/>
              <w:ind w:left="-4" w:hanging="0"/>
              <w:rPr>
                <w:rFonts w:ascii="Arial" w:hAnsi="Arial"/>
                <w:sz w:val="20"/>
                <w:szCs w:val="20"/>
              </w:rPr>
            </w:pPr>
            <w:r>
              <w:rPr>
                <w:sz w:val="20"/>
                <w:szCs w:val="20"/>
              </w:rPr>
              <w:t>-merluza</w:t>
            </w:r>
          </w:p>
          <w:p>
            <w:pPr>
              <w:pStyle w:val="Normal"/>
              <w:widowControl w:val="false"/>
              <w:ind w:left="-4" w:hanging="0"/>
              <w:rPr>
                <w:rFonts w:ascii="Arial" w:hAnsi="Arial"/>
                <w:sz w:val="20"/>
                <w:szCs w:val="20"/>
              </w:rPr>
            </w:pPr>
            <w:r>
              <w:rPr>
                <w:sz w:val="20"/>
                <w:szCs w:val="20"/>
              </w:rPr>
              <w:t>-dourado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SUÍNOS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-lombo</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-pernil</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-bisteca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VIDE OBS. ABAIXO</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PRATOS REGIONAIS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rPr>
                <w:rFonts w:ascii="Arial" w:hAnsi="Arial"/>
                <w:color w:val="000000"/>
                <w:sz w:val="20"/>
                <w:szCs w:val="20"/>
              </w:rPr>
            </w:pPr>
            <w:r>
              <w:rPr>
                <w:color w:val="000000"/>
                <w:sz w:val="20"/>
                <w:szCs w:val="20"/>
              </w:rPr>
              <w:t>- Feijoada</w:t>
            </w:r>
          </w:p>
          <w:p>
            <w:pPr>
              <w:pStyle w:val="Normal"/>
              <w:widowControl w:val="false"/>
              <w:rPr>
                <w:rFonts w:ascii="Arial" w:hAnsi="Arial"/>
                <w:color w:val="000000"/>
                <w:sz w:val="20"/>
                <w:szCs w:val="20"/>
              </w:rPr>
            </w:pPr>
            <w:r>
              <w:rPr>
                <w:color w:val="000000"/>
                <w:sz w:val="20"/>
                <w:szCs w:val="20"/>
              </w:rPr>
              <w:t>- Dobradinha</w:t>
            </w:r>
          </w:p>
          <w:p>
            <w:pPr>
              <w:pStyle w:val="Normal"/>
              <w:widowControl w:val="false"/>
              <w:rPr>
                <w:rFonts w:ascii="Arial" w:hAnsi="Arial"/>
                <w:color w:val="000000"/>
                <w:sz w:val="20"/>
                <w:szCs w:val="20"/>
              </w:rPr>
            </w:pPr>
            <w:r>
              <w:rPr>
                <w:color w:val="000000"/>
                <w:sz w:val="20"/>
                <w:szCs w:val="20"/>
              </w:rPr>
              <w:t>- Cozido de chambaril</w:t>
            </w:r>
          </w:p>
          <w:p>
            <w:pPr>
              <w:pStyle w:val="Normal"/>
              <w:widowControl w:val="false"/>
              <w:rPr>
                <w:rFonts w:ascii="Arial" w:hAnsi="Arial"/>
                <w:color w:val="000000"/>
                <w:sz w:val="20"/>
                <w:szCs w:val="20"/>
              </w:rPr>
            </w:pPr>
            <w:r>
              <w:rPr>
                <w:color w:val="000000"/>
                <w:sz w:val="20"/>
                <w:szCs w:val="20"/>
              </w:rPr>
              <w:t>- Peixada</w:t>
            </w:r>
          </w:p>
          <w:p>
            <w:pPr>
              <w:pStyle w:val="Normal"/>
              <w:widowControl w:val="false"/>
              <w:rPr>
                <w:rFonts w:ascii="Arial" w:hAnsi="Arial"/>
                <w:color w:val="000000"/>
                <w:sz w:val="20"/>
                <w:szCs w:val="20"/>
              </w:rPr>
            </w:pPr>
            <w:r>
              <w:rPr>
                <w:color w:val="000000"/>
                <w:sz w:val="20"/>
                <w:szCs w:val="20"/>
              </w:rPr>
              <w:t>- Fava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SEMANAL</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OUTROS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rPr>
                <w:rFonts w:ascii="Arial" w:hAnsi="Arial"/>
                <w:sz w:val="20"/>
                <w:szCs w:val="20"/>
              </w:rPr>
            </w:pPr>
            <w:r>
              <w:rPr>
                <w:sz w:val="20"/>
                <w:szCs w:val="20"/>
              </w:rPr>
              <w:t>-Carne de sol</w:t>
            </w:r>
          </w:p>
          <w:p>
            <w:pPr>
              <w:pStyle w:val="Normal"/>
              <w:widowControl w:val="false"/>
              <w:tabs>
                <w:tab w:val="clear" w:pos="708"/>
                <w:tab w:val="left" w:pos="0" w:leader="none"/>
                <w:tab w:val="left" w:pos="3204" w:leader="none"/>
              </w:tabs>
              <w:rPr>
                <w:rFonts w:ascii="Arial" w:hAnsi="Arial"/>
                <w:sz w:val="20"/>
                <w:szCs w:val="20"/>
              </w:rPr>
            </w:pPr>
            <w:r>
              <w:rPr>
                <w:sz w:val="20"/>
                <w:szCs w:val="20"/>
              </w:rPr>
              <w:t>- PTS – proteína texturizada de soja</w:t>
            </w:r>
          </w:p>
          <w:p>
            <w:pPr>
              <w:pStyle w:val="Normal"/>
              <w:widowControl w:val="false"/>
              <w:tabs>
                <w:tab w:val="clear" w:pos="708"/>
                <w:tab w:val="left" w:pos="0" w:leader="none"/>
                <w:tab w:val="left" w:pos="3204" w:leader="none"/>
              </w:tabs>
              <w:rPr>
                <w:rFonts w:ascii="Arial" w:hAnsi="Arial"/>
                <w:sz w:val="20"/>
                <w:szCs w:val="20"/>
              </w:rPr>
            </w:pPr>
            <w:r>
              <w:rPr>
                <w:sz w:val="20"/>
                <w:szCs w:val="20"/>
              </w:rPr>
              <w:t>-Bode</w:t>
            </w:r>
          </w:p>
          <w:p>
            <w:pPr>
              <w:pStyle w:val="Normal"/>
              <w:widowControl w:val="false"/>
              <w:tabs>
                <w:tab w:val="clear" w:pos="708"/>
                <w:tab w:val="left" w:pos="0" w:leader="none"/>
                <w:tab w:val="left" w:pos="3204" w:leader="none"/>
              </w:tabs>
              <w:rPr>
                <w:rFonts w:ascii="Arial" w:hAnsi="Arial"/>
                <w:sz w:val="20"/>
                <w:szCs w:val="20"/>
              </w:rPr>
            </w:pPr>
            <w:r>
              <w:rPr>
                <w:sz w:val="20"/>
                <w:szCs w:val="20"/>
              </w:rPr>
              <w:t>-Charque</w:t>
            </w:r>
          </w:p>
          <w:p>
            <w:pPr>
              <w:pStyle w:val="Normal"/>
              <w:widowControl w:val="false"/>
              <w:tabs>
                <w:tab w:val="clear" w:pos="708"/>
                <w:tab w:val="left" w:pos="0" w:leader="none"/>
                <w:tab w:val="left" w:pos="3204" w:leader="none"/>
              </w:tabs>
              <w:rPr>
                <w:rFonts w:ascii="Arial" w:hAnsi="Arial"/>
                <w:sz w:val="20"/>
                <w:szCs w:val="20"/>
              </w:rPr>
            </w:pPr>
            <w:r>
              <w:rPr>
                <w:sz w:val="20"/>
                <w:szCs w:val="20"/>
              </w:rPr>
              <w:t>-Churrasco</w:t>
            </w:r>
          </w:p>
          <w:p>
            <w:pPr>
              <w:pStyle w:val="Normal"/>
              <w:widowControl w:val="false"/>
              <w:tabs>
                <w:tab w:val="clear" w:pos="708"/>
                <w:tab w:val="left" w:pos="0" w:leader="none"/>
                <w:tab w:val="left" w:pos="3204" w:leader="none"/>
              </w:tabs>
              <w:rPr>
                <w:rFonts w:ascii="Arial" w:hAnsi="Arial"/>
                <w:sz w:val="20"/>
                <w:szCs w:val="20"/>
              </w:rPr>
            </w:pPr>
            <w:r>
              <w:rPr>
                <w:sz w:val="20"/>
                <w:szCs w:val="20"/>
              </w:rPr>
              <w:t>-Fígado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VIDE OBS. ABAIXO</w:t>
            </w:r>
          </w:p>
        </w:tc>
      </w:tr>
    </w:tbl>
    <w:p>
      <w:pPr>
        <w:pStyle w:val="Normal"/>
        <w:jc w:val="center"/>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u w:val="single"/>
        </w:rPr>
        <w:t>OBSERVAÇÃO</w:t>
      </w:r>
      <w:r>
        <w:rPr>
          <w:b/>
          <w:color w:val="000000"/>
          <w:sz w:val="20"/>
          <w:szCs w:val="20"/>
        </w:rPr>
        <w:t>:</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 xml:space="preserve">A FREQUÊNCIA DE CARNES DEVERÁ SER DIÁRIA, </w:t>
      </w:r>
      <w:r>
        <w:rPr>
          <w:b/>
          <w:color w:val="000000"/>
          <w:sz w:val="20"/>
          <w:szCs w:val="20"/>
          <w:u w:val="single"/>
        </w:rPr>
        <w:t>COM NO MÍNIMO 03 (TRÊS) TIPOS</w:t>
      </w:r>
      <w:r>
        <w:rPr>
          <w:b/>
          <w:color w:val="000000"/>
          <w:sz w:val="20"/>
          <w:szCs w:val="20"/>
        </w:rPr>
        <w:t>, SENDO 01 (UM) BOVINO, 01 (UM) PEIXE E/OU 01(UM) AVE E 01 (UM) TIPO LIVRE.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color w:val="000000"/>
          <w:sz w:val="20"/>
          <w:szCs w:val="20"/>
        </w:rPr>
      </w:pPr>
      <w:r>
        <w:rPr>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color w:val="000000"/>
          <w:sz w:val="20"/>
          <w:szCs w:val="20"/>
        </w:rPr>
        <w:t>SOBREMESAS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right="0" w:hanging="0"/>
              <w:rPr>
                <w:rFonts w:ascii="Arial" w:hAnsi="Arial"/>
                <w:sz w:val="20"/>
                <w:szCs w:val="20"/>
              </w:rPr>
            </w:pPr>
            <w:r>
              <w:rPr>
                <w:rFonts w:ascii="Arial" w:hAnsi="Arial"/>
                <w:sz w:val="20"/>
                <w:szCs w:val="20"/>
              </w:rPr>
              <w:t>TIPOS DE SOBREMESAS</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4535"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A base de frutas</w:t>
            </w:r>
          </w:p>
        </w:tc>
        <w:tc>
          <w:tcPr>
            <w:tcW w:w="4535" w:type="dxa"/>
            <w:tcBorders>
              <w:left w:val="single" w:sz="4" w:space="0" w:color="000000"/>
              <w:bottom w:val="single" w:sz="4" w:space="0" w:color="000000"/>
              <w:right w:val="single" w:sz="4" w:space="0" w:color="000000"/>
            </w:tcBorders>
          </w:tcPr>
          <w:p>
            <w:pPr>
              <w:pStyle w:val="Normal"/>
              <w:widowControl w:val="false"/>
              <w:jc w:val="both"/>
              <w:rPr>
                <w:rFonts w:ascii="Arial" w:hAnsi="Arial"/>
                <w:sz w:val="20"/>
                <w:szCs w:val="20"/>
              </w:rPr>
            </w:pPr>
            <w:r>
              <w:rPr>
                <w:sz w:val="20"/>
                <w:szCs w:val="20"/>
              </w:rPr>
              <w:t>O uso de leite condensado e creme de leite deverá ser comedido, dando sempre preferência a preparos com base de frutas</w:t>
            </w:r>
          </w:p>
        </w:tc>
      </w:tr>
      <w:tr>
        <w:trPr/>
        <w:tc>
          <w:tcPr>
            <w:tcW w:w="4535"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4535"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b/>
          <w:b/>
          <w:sz w:val="20"/>
          <w:szCs w:val="20"/>
        </w:rPr>
      </w:pPr>
      <w:r>
        <w:rPr>
          <w:b/>
          <w:sz w:val="20"/>
          <w:szCs w:val="20"/>
        </w:rPr>
      </w:r>
    </w:p>
    <w:p>
      <w:pPr>
        <w:pStyle w:val="Normal"/>
        <w:spacing w:lineRule="auto" w:line="276" w:before="119" w:after="119"/>
        <w:ind w:left="-57" w:hanging="0"/>
        <w:jc w:val="both"/>
        <w:rPr>
          <w:rFonts w:ascii="Arial" w:hAnsi="Arial"/>
          <w:sz w:val="20"/>
          <w:szCs w:val="20"/>
        </w:rPr>
      </w:pPr>
      <w:r>
        <w:rPr>
          <w:rFonts w:cs="Arial"/>
          <w:b/>
          <w:color w:val="000000"/>
          <w:sz w:val="20"/>
          <w:szCs w:val="20"/>
          <w:u w:val="single"/>
        </w:rPr>
        <w:t>8.3 DO CONTROLE DE PRAGAS E ROEDORES:</w:t>
      </w:r>
    </w:p>
    <w:p>
      <w:pPr>
        <w:pStyle w:val="Normal"/>
        <w:spacing w:lineRule="auto" w:line="276" w:before="119" w:after="119"/>
        <w:ind w:left="227" w:hanging="0"/>
        <w:jc w:val="both"/>
        <w:rPr>
          <w:rFonts w:ascii="Arial" w:hAnsi="Arial"/>
          <w:sz w:val="20"/>
          <w:szCs w:val="20"/>
        </w:rPr>
      </w:pPr>
      <w:r>
        <w:rPr>
          <w:b/>
          <w:bCs/>
          <w:color w:val="000000"/>
          <w:sz w:val="20"/>
          <w:szCs w:val="20"/>
          <w:u w:val="single"/>
        </w:rPr>
        <w:t>8.3.1. A Concessionária deverá manter um programa de desinsetização e desratização periódica, preferencialmente no período de férias letivas ou de acordo com a necessidade local.</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8.3.2 A Concessionária ficará responsável pela preparação do local a ser desinsetizado e desratizado, providenciando retirada de alimentos, utensílios, etc.</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8.3.3 empresas responsáveis pelo serviço de desinsetização e desratização deverão:</w:t>
      </w:r>
    </w:p>
    <w:p>
      <w:pPr>
        <w:pStyle w:val="Normal"/>
        <w:ind w:left="716" w:hanging="0"/>
        <w:jc w:val="both"/>
        <w:rPr>
          <w:rFonts w:ascii="Arial" w:hAnsi="Arial"/>
          <w:sz w:val="20"/>
          <w:szCs w:val="20"/>
        </w:rPr>
      </w:pPr>
      <w:r>
        <w:rPr>
          <w:b/>
          <w:bCs/>
          <w:color w:val="000000"/>
          <w:sz w:val="20"/>
          <w:szCs w:val="20"/>
          <w:u w:val="single"/>
        </w:rPr>
        <w:t>8.3.3.1  Apresentar alvará de funcionamento expedido pelo Centro de Vigilância Sanitária;</w:t>
      </w:r>
    </w:p>
    <w:p>
      <w:pPr>
        <w:pStyle w:val="Normal"/>
        <w:spacing w:before="171" w:after="171"/>
        <w:ind w:left="716" w:hanging="0"/>
        <w:jc w:val="both"/>
        <w:rPr>
          <w:rFonts w:ascii="Arial" w:hAnsi="Arial"/>
          <w:sz w:val="20"/>
          <w:szCs w:val="20"/>
        </w:rPr>
      </w:pPr>
      <w:r>
        <w:rPr>
          <w:b/>
          <w:bCs/>
          <w:color w:val="000000"/>
          <w:sz w:val="20"/>
          <w:szCs w:val="20"/>
          <w:u w:val="single"/>
        </w:rPr>
        <w:t>8.3.3.2  Comprovar o registro em um dos Conselhos Regionais - CREA, CRB, CRMV, CRF, CRQ, etc.;</w:t>
      </w:r>
    </w:p>
    <w:p>
      <w:pPr>
        <w:pStyle w:val="Normal"/>
        <w:spacing w:before="0" w:after="120"/>
        <w:ind w:left="716" w:hanging="0"/>
        <w:jc w:val="both"/>
        <w:rPr>
          <w:rFonts w:ascii="Arial" w:hAnsi="Arial"/>
          <w:sz w:val="20"/>
          <w:szCs w:val="20"/>
        </w:rPr>
      </w:pPr>
      <w:r>
        <w:rPr>
          <w:rFonts w:cs="Arial"/>
          <w:b/>
          <w:bCs/>
          <w:sz w:val="20"/>
          <w:szCs w:val="20"/>
          <w:u w:val="single"/>
        </w:rPr>
        <w:t>8.3.3.3 Apresentar informações seguras sobre o uso de inseticidas utilizados, especialmente, quanto à toxicidade e ao tempo de ausência humana no local. Os responsáveis pela aplicação destes inseticidas deverão usar uniformes e outros EPI’s (Equipamentos de Proteção Individual), de acordo com a legislação em vigor.</w:t>
      </w:r>
    </w:p>
    <w:p>
      <w:pPr>
        <w:pStyle w:val="ListParagraph"/>
        <w:tabs>
          <w:tab w:val="clear" w:pos="708"/>
          <w:tab w:val="left" w:pos="735" w:leader="none"/>
        </w:tabs>
        <w:spacing w:lineRule="auto" w:line="290" w:before="93" w:after="0"/>
        <w:ind w:left="0" w:right="170" w:hanging="0"/>
        <w:contextualSpacing/>
        <w:jc w:val="both"/>
        <w:rPr>
          <w:rFonts w:ascii="Arial" w:hAnsi="Arial"/>
          <w:sz w:val="20"/>
          <w:szCs w:val="20"/>
        </w:rPr>
      </w:pPr>
      <w:r>
        <w:rPr>
          <w:color w:val="000000"/>
          <w:spacing w:val="1"/>
          <w:sz w:val="20"/>
          <w:szCs w:val="20"/>
        </w:rPr>
        <w:t>8.3.4   A Concessionaria  deverá ainda cumprir com as seguintes medidas:</w:t>
      </w:r>
    </w:p>
    <w:p>
      <w:pPr>
        <w:pStyle w:val="ListParagraph"/>
        <w:tabs>
          <w:tab w:val="clear" w:pos="708"/>
          <w:tab w:val="left" w:pos="735" w:leader="none"/>
        </w:tabs>
        <w:spacing w:lineRule="auto" w:line="290" w:before="93" w:after="0"/>
        <w:ind w:left="737" w:right="170" w:hanging="0"/>
        <w:contextualSpacing/>
        <w:jc w:val="both"/>
        <w:rPr>
          <w:rFonts w:ascii="Arial" w:hAnsi="Arial"/>
          <w:sz w:val="20"/>
          <w:szCs w:val="20"/>
        </w:rPr>
      </w:pPr>
      <w:r>
        <w:rPr>
          <w:color w:val="000000"/>
          <w:spacing w:val="1"/>
          <w:sz w:val="20"/>
          <w:szCs w:val="20"/>
        </w:rPr>
        <w:t>8.3.4.1 usar</w:t>
      </w:r>
      <w:r>
        <w:rPr>
          <w:color w:val="000000"/>
          <w:sz w:val="20"/>
          <w:szCs w:val="20"/>
        </w:rPr>
        <w:t xml:space="preserve"> produtos de limpeza e conservação de superfícies e objetos inanimados que obedeçam</w:t>
      </w:r>
      <w:r>
        <w:rPr>
          <w:color w:val="000000"/>
          <w:spacing w:val="1"/>
          <w:sz w:val="20"/>
          <w:szCs w:val="20"/>
        </w:rPr>
        <w:t xml:space="preserve"> </w:t>
      </w:r>
      <w:r>
        <w:rPr>
          <w:color w:val="000000"/>
          <w:sz w:val="20"/>
          <w:szCs w:val="20"/>
        </w:rPr>
        <w:t>as</w:t>
      </w:r>
      <w:r>
        <w:rPr>
          <w:color w:val="000000"/>
          <w:spacing w:val="1"/>
          <w:sz w:val="20"/>
          <w:szCs w:val="20"/>
        </w:rPr>
        <w:t xml:space="preserve"> </w:t>
      </w:r>
      <w:r>
        <w:rPr>
          <w:color w:val="000000"/>
          <w:sz w:val="20"/>
          <w:szCs w:val="20"/>
        </w:rPr>
        <w:t>classificações</w:t>
      </w:r>
      <w:r>
        <w:rPr>
          <w:color w:val="000000"/>
          <w:spacing w:val="-2"/>
          <w:sz w:val="20"/>
          <w:szCs w:val="20"/>
        </w:rPr>
        <w:t xml:space="preserve"> </w:t>
      </w:r>
      <w:r>
        <w:rPr>
          <w:color w:val="000000"/>
          <w:sz w:val="20"/>
          <w:szCs w:val="20"/>
        </w:rPr>
        <w:t>e</w:t>
      </w:r>
      <w:r>
        <w:rPr>
          <w:color w:val="000000"/>
          <w:spacing w:val="8"/>
          <w:sz w:val="20"/>
          <w:szCs w:val="20"/>
        </w:rPr>
        <w:t xml:space="preserve"> </w:t>
      </w:r>
      <w:r>
        <w:rPr>
          <w:color w:val="000000"/>
          <w:sz w:val="20"/>
          <w:szCs w:val="20"/>
        </w:rPr>
        <w:t>especificações determinadas</w:t>
      </w:r>
      <w:r>
        <w:rPr>
          <w:color w:val="000000"/>
          <w:spacing w:val="16"/>
          <w:sz w:val="20"/>
          <w:szCs w:val="20"/>
        </w:rPr>
        <w:t xml:space="preserve"> </w:t>
      </w:r>
      <w:r>
        <w:rPr>
          <w:color w:val="000000"/>
          <w:sz w:val="20"/>
          <w:szCs w:val="20"/>
        </w:rPr>
        <w:t>pela</w:t>
      </w:r>
      <w:r>
        <w:rPr>
          <w:color w:val="000000"/>
          <w:spacing w:val="20"/>
          <w:sz w:val="20"/>
          <w:szCs w:val="20"/>
        </w:rPr>
        <w:t xml:space="preserve"> </w:t>
      </w:r>
      <w:r>
        <w:rPr>
          <w:color w:val="000000"/>
          <w:sz w:val="20"/>
          <w:szCs w:val="20"/>
        </w:rPr>
        <w:t>ANVISA;</w:t>
      </w:r>
    </w:p>
    <w:p>
      <w:pPr>
        <w:pStyle w:val="ListParagraph"/>
        <w:tabs>
          <w:tab w:val="clear" w:pos="708"/>
          <w:tab w:val="left" w:pos="855" w:leader="none"/>
        </w:tabs>
        <w:spacing w:lineRule="auto" w:line="276" w:before="56" w:after="0"/>
        <w:ind w:left="1020" w:right="170" w:hanging="0"/>
        <w:contextualSpacing/>
        <w:jc w:val="both"/>
        <w:rPr>
          <w:rFonts w:ascii="Arial" w:hAnsi="Arial"/>
          <w:sz w:val="20"/>
          <w:szCs w:val="20"/>
        </w:rPr>
      </w:pPr>
      <w:r>
        <w:rPr>
          <w:color w:val="000000"/>
          <w:spacing w:val="1"/>
          <w:w w:val="105"/>
          <w:sz w:val="20"/>
          <w:szCs w:val="20"/>
        </w:rPr>
        <w:t xml:space="preserve">8.3.4.2 </w:t>
      </w:r>
      <w:r>
        <w:rPr>
          <w:color w:val="000000"/>
          <w:w w:val="105"/>
          <w:sz w:val="20"/>
          <w:szCs w:val="20"/>
        </w:rPr>
        <w:t>Adotar medidas para evitar o desperdício de água tratada, conforme parâmetros do Decreto</w:t>
      </w:r>
      <w:r>
        <w:rPr>
          <w:color w:val="000000"/>
          <w:spacing w:val="1"/>
          <w:w w:val="105"/>
          <w:sz w:val="20"/>
          <w:szCs w:val="20"/>
        </w:rPr>
        <w:t xml:space="preserve"> </w:t>
      </w:r>
      <w:r>
        <w:rPr>
          <w:color w:val="000000"/>
          <w:w w:val="105"/>
          <w:sz w:val="20"/>
          <w:szCs w:val="20"/>
        </w:rPr>
        <w:t>estadual</w:t>
      </w:r>
      <w:r>
        <w:rPr>
          <w:color w:val="000000"/>
          <w:spacing w:val="16"/>
          <w:w w:val="105"/>
          <w:sz w:val="20"/>
          <w:szCs w:val="20"/>
        </w:rPr>
        <w:t xml:space="preserve"> </w:t>
      </w:r>
      <w:r>
        <w:rPr>
          <w:color w:val="000000"/>
          <w:w w:val="105"/>
          <w:sz w:val="20"/>
          <w:szCs w:val="20"/>
        </w:rPr>
        <w:t>n°</w:t>
      </w:r>
      <w:r>
        <w:rPr>
          <w:color w:val="000000"/>
          <w:spacing w:val="-4"/>
          <w:w w:val="105"/>
          <w:sz w:val="20"/>
          <w:szCs w:val="20"/>
        </w:rPr>
        <w:t xml:space="preserve"> </w:t>
      </w:r>
      <w:r>
        <w:rPr>
          <w:color w:val="000000"/>
          <w:w w:val="105"/>
          <w:sz w:val="20"/>
          <w:szCs w:val="20"/>
        </w:rPr>
        <w:t>48.138,</w:t>
      </w:r>
      <w:r>
        <w:rPr>
          <w:color w:val="000000"/>
          <w:spacing w:val="4"/>
          <w:w w:val="105"/>
          <w:sz w:val="20"/>
          <w:szCs w:val="20"/>
        </w:rPr>
        <w:t xml:space="preserve"> </w:t>
      </w:r>
      <w:r>
        <w:rPr>
          <w:color w:val="000000"/>
          <w:w w:val="105"/>
          <w:sz w:val="20"/>
          <w:szCs w:val="20"/>
        </w:rPr>
        <w:t>de</w:t>
      </w:r>
      <w:r>
        <w:rPr>
          <w:color w:val="000000"/>
          <w:spacing w:val="-3"/>
          <w:w w:val="105"/>
          <w:sz w:val="20"/>
          <w:szCs w:val="20"/>
        </w:rPr>
        <w:t xml:space="preserve"> </w:t>
      </w:r>
      <w:r>
        <w:rPr>
          <w:color w:val="000000"/>
          <w:w w:val="105"/>
          <w:sz w:val="20"/>
          <w:szCs w:val="20"/>
        </w:rPr>
        <w:t>8/10/2003,</w:t>
      </w:r>
      <w:r>
        <w:rPr>
          <w:color w:val="000000"/>
          <w:spacing w:val="-3"/>
          <w:w w:val="105"/>
          <w:sz w:val="20"/>
          <w:szCs w:val="20"/>
        </w:rPr>
        <w:t xml:space="preserve"> </w:t>
      </w:r>
      <w:r>
        <w:rPr>
          <w:color w:val="000000"/>
          <w:w w:val="105"/>
          <w:sz w:val="20"/>
          <w:szCs w:val="20"/>
        </w:rPr>
        <w:t>do</w:t>
      </w:r>
      <w:r>
        <w:rPr>
          <w:color w:val="000000"/>
          <w:spacing w:val="-5"/>
          <w:w w:val="105"/>
          <w:sz w:val="20"/>
          <w:szCs w:val="20"/>
        </w:rPr>
        <w:t xml:space="preserve"> </w:t>
      </w:r>
      <w:r>
        <w:rPr>
          <w:color w:val="000000"/>
          <w:w w:val="105"/>
          <w:sz w:val="20"/>
          <w:szCs w:val="20"/>
        </w:rPr>
        <w:t>Estado</w:t>
      </w:r>
      <w:r>
        <w:rPr>
          <w:color w:val="000000"/>
          <w:spacing w:val="4"/>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São</w:t>
      </w:r>
      <w:r>
        <w:rPr>
          <w:color w:val="000000"/>
          <w:spacing w:val="3"/>
          <w:w w:val="105"/>
          <w:sz w:val="20"/>
          <w:szCs w:val="20"/>
        </w:rPr>
        <w:t xml:space="preserve"> </w:t>
      </w:r>
      <w:r>
        <w:rPr>
          <w:color w:val="000000"/>
          <w:w w:val="105"/>
          <w:sz w:val="20"/>
          <w:szCs w:val="20"/>
        </w:rPr>
        <w:t>Paulo;</w:t>
      </w:r>
    </w:p>
    <w:p>
      <w:pPr>
        <w:pStyle w:val="ListParagraph"/>
        <w:tabs>
          <w:tab w:val="clear" w:pos="708"/>
          <w:tab w:val="left" w:pos="855" w:leader="none"/>
        </w:tabs>
        <w:spacing w:lineRule="auto" w:line="290" w:before="46" w:after="0"/>
        <w:ind w:left="1077" w:right="170" w:hanging="0"/>
        <w:contextualSpacing/>
        <w:jc w:val="both"/>
        <w:rPr>
          <w:rFonts w:ascii="Arial" w:hAnsi="Arial"/>
          <w:sz w:val="20"/>
          <w:szCs w:val="20"/>
        </w:rPr>
      </w:pPr>
      <w:r>
        <w:rPr>
          <w:color w:val="000000"/>
          <w:spacing w:val="1"/>
          <w:sz w:val="20"/>
          <w:szCs w:val="20"/>
        </w:rPr>
        <w:t>8.3.4.3</w:t>
      </w:r>
      <w:r>
        <w:rPr>
          <w:color w:val="000000"/>
          <w:sz w:val="20"/>
          <w:szCs w:val="20"/>
        </w:rPr>
        <w:t xml:space="preserve"> Observar a Resolução CONAMA n° 20, de 7/12/94, quanto aos equipamentos de limpeza que</w:t>
      </w:r>
      <w:r>
        <w:rPr>
          <w:color w:val="000000"/>
          <w:spacing w:val="1"/>
          <w:sz w:val="20"/>
          <w:szCs w:val="20"/>
        </w:rPr>
        <w:t xml:space="preserve"> </w:t>
      </w:r>
      <w:r>
        <w:rPr>
          <w:color w:val="000000"/>
          <w:w w:val="105"/>
          <w:sz w:val="20"/>
          <w:szCs w:val="20"/>
        </w:rPr>
        <w:t>gerem</w:t>
      </w:r>
      <w:r>
        <w:rPr>
          <w:color w:val="000000"/>
          <w:spacing w:val="2"/>
          <w:w w:val="105"/>
          <w:sz w:val="20"/>
          <w:szCs w:val="20"/>
        </w:rPr>
        <w:t xml:space="preserve"> </w:t>
      </w:r>
      <w:r>
        <w:rPr>
          <w:color w:val="000000"/>
          <w:w w:val="105"/>
          <w:sz w:val="20"/>
          <w:szCs w:val="20"/>
        </w:rPr>
        <w:t>ruido</w:t>
      </w:r>
      <w:r>
        <w:rPr>
          <w:color w:val="000000"/>
          <w:spacing w:val="8"/>
          <w:w w:val="105"/>
          <w:sz w:val="20"/>
          <w:szCs w:val="20"/>
        </w:rPr>
        <w:t xml:space="preserve"> </w:t>
      </w:r>
      <w:r>
        <w:rPr>
          <w:color w:val="000000"/>
          <w:w w:val="105"/>
          <w:sz w:val="20"/>
          <w:szCs w:val="20"/>
        </w:rPr>
        <w:t>no seu</w:t>
      </w:r>
      <w:r>
        <w:rPr>
          <w:color w:val="000000"/>
          <w:spacing w:val="11"/>
          <w:w w:val="105"/>
          <w:sz w:val="20"/>
          <w:szCs w:val="20"/>
        </w:rPr>
        <w:t xml:space="preserve"> </w:t>
      </w:r>
      <w:r>
        <w:rPr>
          <w:color w:val="000000"/>
          <w:w w:val="105"/>
          <w:sz w:val="20"/>
          <w:szCs w:val="20"/>
        </w:rPr>
        <w:t>funcionamento;</w:t>
      </w:r>
    </w:p>
    <w:p>
      <w:pPr>
        <w:pStyle w:val="ListParagraph"/>
        <w:tabs>
          <w:tab w:val="clear" w:pos="708"/>
          <w:tab w:val="left" w:pos="1080" w:leader="none"/>
        </w:tabs>
        <w:spacing w:lineRule="auto" w:line="290" w:before="35" w:after="0"/>
        <w:ind w:left="1134" w:right="170" w:hanging="0"/>
        <w:contextualSpacing/>
        <w:jc w:val="both"/>
        <w:rPr>
          <w:rFonts w:ascii="Arial" w:hAnsi="Arial"/>
          <w:sz w:val="20"/>
          <w:szCs w:val="20"/>
        </w:rPr>
      </w:pPr>
      <w:r>
        <w:rPr>
          <w:color w:val="000000"/>
          <w:spacing w:val="1"/>
          <w:w w:val="105"/>
          <w:sz w:val="20"/>
          <w:szCs w:val="20"/>
        </w:rPr>
        <w:t xml:space="preserve">8.3.4.4 </w:t>
      </w:r>
      <w:r>
        <w:rPr>
          <w:color w:val="000000"/>
          <w:w w:val="105"/>
          <w:sz w:val="20"/>
          <w:szCs w:val="20"/>
        </w:rPr>
        <w:t>Fornecer aos empregados os equipamentos de segurança que se fizerem necessários, para a</w:t>
      </w:r>
      <w:r>
        <w:rPr>
          <w:color w:val="000000"/>
          <w:spacing w:val="1"/>
          <w:w w:val="105"/>
          <w:sz w:val="20"/>
          <w:szCs w:val="20"/>
        </w:rPr>
        <w:t xml:space="preserve"> </w:t>
      </w:r>
      <w:r>
        <w:rPr>
          <w:color w:val="000000"/>
          <w:w w:val="105"/>
          <w:sz w:val="20"/>
          <w:szCs w:val="20"/>
        </w:rPr>
        <w:t>execução</w:t>
      </w:r>
      <w:r>
        <w:rPr>
          <w:color w:val="000000"/>
          <w:spacing w:val="5"/>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serviços;</w:t>
      </w:r>
    </w:p>
    <w:p>
      <w:pPr>
        <w:pStyle w:val="ListParagraph"/>
        <w:tabs>
          <w:tab w:val="clear" w:pos="708"/>
          <w:tab w:val="left" w:pos="900" w:leader="none"/>
        </w:tabs>
        <w:spacing w:lineRule="auto" w:line="288" w:before="34" w:after="0"/>
        <w:ind w:left="1077" w:right="170" w:hanging="0"/>
        <w:contextualSpacing/>
        <w:jc w:val="both"/>
        <w:rPr>
          <w:rFonts w:ascii="Arial" w:hAnsi="Arial"/>
          <w:sz w:val="20"/>
          <w:szCs w:val="20"/>
        </w:rPr>
      </w:pPr>
      <w:r>
        <w:rPr>
          <w:color w:val="000000"/>
          <w:spacing w:val="1"/>
          <w:w w:val="105"/>
          <w:sz w:val="20"/>
          <w:szCs w:val="20"/>
        </w:rPr>
        <w:t>8.3.4.5</w:t>
      </w:r>
      <w:r>
        <w:rPr>
          <w:color w:val="000000"/>
          <w:w w:val="105"/>
          <w:sz w:val="20"/>
          <w:szCs w:val="20"/>
        </w:rPr>
        <w:t xml:space="preserve"> Realizar um programa interno de treinamento de seus empregados, nos três primeiros meses de</w:t>
      </w:r>
      <w:r>
        <w:rPr>
          <w:color w:val="000000"/>
          <w:spacing w:val="1"/>
          <w:w w:val="105"/>
          <w:sz w:val="20"/>
          <w:szCs w:val="20"/>
        </w:rPr>
        <w:t xml:space="preserve"> </w:t>
      </w:r>
      <w:r>
        <w:rPr>
          <w:color w:val="000000"/>
          <w:spacing w:val="-1"/>
          <w:w w:val="105"/>
          <w:sz w:val="20"/>
          <w:szCs w:val="20"/>
        </w:rPr>
        <w:t>execução</w:t>
      </w:r>
      <w:r>
        <w:rPr>
          <w:color w:val="000000"/>
          <w:spacing w:val="-2"/>
          <w:w w:val="105"/>
          <w:sz w:val="20"/>
          <w:szCs w:val="20"/>
        </w:rPr>
        <w:t xml:space="preserve"> </w:t>
      </w:r>
      <w:r>
        <w:rPr>
          <w:color w:val="000000"/>
          <w:w w:val="105"/>
          <w:sz w:val="20"/>
          <w:szCs w:val="20"/>
        </w:rPr>
        <w:t>contratual,</w:t>
      </w:r>
      <w:r>
        <w:rPr>
          <w:color w:val="000000"/>
          <w:spacing w:val="-1"/>
          <w:w w:val="105"/>
          <w:sz w:val="20"/>
          <w:szCs w:val="20"/>
        </w:rPr>
        <w:t xml:space="preserve"> </w:t>
      </w:r>
      <w:r>
        <w:rPr>
          <w:color w:val="000000"/>
          <w:w w:val="105"/>
          <w:sz w:val="20"/>
          <w:szCs w:val="20"/>
        </w:rPr>
        <w:t>para</w:t>
      </w:r>
      <w:r>
        <w:rPr>
          <w:color w:val="000000"/>
          <w:spacing w:val="-3"/>
          <w:w w:val="105"/>
          <w:sz w:val="20"/>
          <w:szCs w:val="20"/>
        </w:rPr>
        <w:t xml:space="preserve"> </w:t>
      </w:r>
      <w:r>
        <w:rPr>
          <w:color w:val="000000"/>
          <w:w w:val="105"/>
          <w:sz w:val="20"/>
          <w:szCs w:val="20"/>
        </w:rPr>
        <w:t>redução</w:t>
      </w:r>
      <w:r>
        <w:rPr>
          <w:color w:val="000000"/>
          <w:spacing w:val="-3"/>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consumo</w:t>
      </w:r>
      <w:r>
        <w:rPr>
          <w:color w:val="000000"/>
          <w:spacing w:val="-2"/>
          <w:w w:val="105"/>
          <w:sz w:val="20"/>
          <w:szCs w:val="20"/>
        </w:rPr>
        <w:t xml:space="preserve"> </w:t>
      </w:r>
      <w:r>
        <w:rPr>
          <w:color w:val="000000"/>
          <w:w w:val="105"/>
          <w:sz w:val="20"/>
          <w:szCs w:val="20"/>
        </w:rPr>
        <w:t>de</w:t>
      </w:r>
      <w:r>
        <w:rPr>
          <w:color w:val="000000"/>
          <w:spacing w:val="-12"/>
          <w:w w:val="105"/>
          <w:sz w:val="20"/>
          <w:szCs w:val="20"/>
        </w:rPr>
        <w:t xml:space="preserve"> </w:t>
      </w:r>
      <w:r>
        <w:rPr>
          <w:color w:val="000000"/>
          <w:w w:val="105"/>
          <w:sz w:val="20"/>
          <w:szCs w:val="20"/>
        </w:rPr>
        <w:t>energia elétrica,</w:t>
      </w:r>
      <w:r>
        <w:rPr>
          <w:color w:val="000000"/>
          <w:spacing w:val="-6"/>
          <w:w w:val="105"/>
          <w:sz w:val="20"/>
          <w:szCs w:val="20"/>
        </w:rPr>
        <w:t xml:space="preserve"> </w:t>
      </w:r>
      <w:r>
        <w:rPr>
          <w:color w:val="000000"/>
          <w:w w:val="105"/>
          <w:sz w:val="20"/>
          <w:szCs w:val="20"/>
        </w:rPr>
        <w:t>de</w:t>
      </w:r>
      <w:r>
        <w:rPr>
          <w:color w:val="000000"/>
          <w:spacing w:val="-11"/>
          <w:w w:val="105"/>
          <w:sz w:val="20"/>
          <w:szCs w:val="20"/>
        </w:rPr>
        <w:t xml:space="preserve"> </w:t>
      </w:r>
      <w:r>
        <w:rPr>
          <w:color w:val="000000"/>
          <w:w w:val="105"/>
          <w:sz w:val="20"/>
          <w:szCs w:val="20"/>
        </w:rPr>
        <w:t>consumo</w:t>
      </w:r>
      <w:r>
        <w:rPr>
          <w:color w:val="000000"/>
          <w:spacing w:val="1"/>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água</w:t>
      </w:r>
      <w:r>
        <w:rPr>
          <w:color w:val="000000"/>
          <w:spacing w:val="-9"/>
          <w:w w:val="105"/>
          <w:sz w:val="20"/>
          <w:szCs w:val="20"/>
        </w:rPr>
        <w:t xml:space="preserve"> </w:t>
      </w:r>
      <w:r>
        <w:rPr>
          <w:color w:val="000000"/>
          <w:w w:val="105"/>
          <w:sz w:val="20"/>
          <w:szCs w:val="20"/>
        </w:rPr>
        <w:t>e</w:t>
      </w:r>
      <w:r>
        <w:rPr>
          <w:color w:val="000000"/>
          <w:spacing w:val="-5"/>
          <w:w w:val="105"/>
          <w:sz w:val="20"/>
          <w:szCs w:val="20"/>
        </w:rPr>
        <w:t xml:space="preserve"> </w:t>
      </w:r>
      <w:r>
        <w:rPr>
          <w:color w:val="000000"/>
          <w:w w:val="105"/>
          <w:sz w:val="20"/>
          <w:szCs w:val="20"/>
        </w:rPr>
        <w:t>redução</w:t>
      </w:r>
      <w:r>
        <w:rPr>
          <w:color w:val="000000"/>
          <w:spacing w:val="-48"/>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produção</w:t>
      </w:r>
      <w:r>
        <w:rPr>
          <w:color w:val="000000"/>
          <w:spacing w:val="9"/>
          <w:w w:val="105"/>
          <w:sz w:val="20"/>
          <w:szCs w:val="20"/>
        </w:rPr>
        <w:t xml:space="preserve"> </w:t>
      </w:r>
      <w:r>
        <w:rPr>
          <w:color w:val="000000"/>
          <w:w w:val="105"/>
          <w:sz w:val="20"/>
          <w:szCs w:val="20"/>
        </w:rPr>
        <w:t>de</w:t>
      </w:r>
      <w:r>
        <w:rPr>
          <w:color w:val="000000"/>
          <w:spacing w:val="47"/>
          <w:w w:val="105"/>
          <w:sz w:val="20"/>
          <w:szCs w:val="20"/>
        </w:rPr>
        <w:t xml:space="preserve"> </w:t>
      </w:r>
      <w:r>
        <w:rPr>
          <w:color w:val="000000"/>
          <w:w w:val="105"/>
          <w:sz w:val="20"/>
          <w:szCs w:val="20"/>
        </w:rPr>
        <w:t>resíduos</w:t>
      </w:r>
      <w:r>
        <w:rPr>
          <w:color w:val="000000"/>
          <w:spacing w:val="5"/>
          <w:w w:val="105"/>
          <w:sz w:val="20"/>
          <w:szCs w:val="20"/>
        </w:rPr>
        <w:t xml:space="preserve"> </w:t>
      </w:r>
      <w:r>
        <w:rPr>
          <w:color w:val="000000"/>
          <w:w w:val="105"/>
          <w:sz w:val="20"/>
          <w:szCs w:val="20"/>
        </w:rPr>
        <w:t>sólidos,</w:t>
      </w:r>
      <w:r>
        <w:rPr>
          <w:color w:val="000000"/>
          <w:spacing w:val="-3"/>
          <w:w w:val="105"/>
          <w:sz w:val="20"/>
          <w:szCs w:val="20"/>
        </w:rPr>
        <w:t xml:space="preserve"> </w:t>
      </w:r>
      <w:r>
        <w:rPr>
          <w:color w:val="000000"/>
          <w:w w:val="105"/>
          <w:sz w:val="20"/>
          <w:szCs w:val="20"/>
        </w:rPr>
        <w:t>observadas</w:t>
      </w:r>
      <w:r>
        <w:rPr>
          <w:color w:val="000000"/>
          <w:spacing w:val="10"/>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normas</w:t>
      </w:r>
      <w:r>
        <w:rPr>
          <w:color w:val="000000"/>
          <w:spacing w:val="-2"/>
          <w:w w:val="105"/>
          <w:sz w:val="20"/>
          <w:szCs w:val="20"/>
        </w:rPr>
        <w:t xml:space="preserve"> </w:t>
      </w:r>
      <w:r>
        <w:rPr>
          <w:color w:val="000000"/>
          <w:w w:val="105"/>
          <w:sz w:val="20"/>
          <w:szCs w:val="20"/>
        </w:rPr>
        <w:t>ambientais</w:t>
      </w:r>
      <w:r>
        <w:rPr>
          <w:color w:val="000000"/>
          <w:spacing w:val="13"/>
          <w:w w:val="105"/>
          <w:sz w:val="20"/>
          <w:szCs w:val="20"/>
        </w:rPr>
        <w:t xml:space="preserve"> </w:t>
      </w:r>
      <w:r>
        <w:rPr>
          <w:color w:val="000000"/>
          <w:w w:val="105"/>
          <w:sz w:val="20"/>
          <w:szCs w:val="20"/>
        </w:rPr>
        <w:t>vigentes;</w:t>
      </w:r>
    </w:p>
    <w:p>
      <w:pPr>
        <w:pStyle w:val="ListParagraph"/>
        <w:tabs>
          <w:tab w:val="clear" w:pos="708"/>
          <w:tab w:val="left" w:pos="855" w:leader="none"/>
        </w:tabs>
        <w:spacing w:lineRule="auto" w:line="288" w:before="55" w:after="0"/>
        <w:ind w:left="1134" w:right="170" w:hanging="0"/>
        <w:contextualSpacing/>
        <w:jc w:val="both"/>
        <w:rPr>
          <w:rFonts w:ascii="Arial" w:hAnsi="Arial"/>
          <w:sz w:val="20"/>
          <w:szCs w:val="20"/>
        </w:rPr>
      </w:pPr>
      <w:r>
        <w:rPr>
          <w:color w:val="000000"/>
          <w:spacing w:val="1"/>
          <w:w w:val="105"/>
          <w:sz w:val="20"/>
          <w:szCs w:val="20"/>
        </w:rPr>
        <w:t>8.3.4.6 R</w:t>
      </w:r>
      <w:r>
        <w:rPr>
          <w:color w:val="000000"/>
          <w:w w:val="105"/>
          <w:sz w:val="20"/>
          <w:szCs w:val="20"/>
        </w:rPr>
        <w:t>ealizar</w:t>
      </w:r>
      <w:r>
        <w:rPr>
          <w:color w:val="000000"/>
          <w:spacing w:val="1"/>
          <w:w w:val="105"/>
          <w:sz w:val="20"/>
          <w:szCs w:val="20"/>
        </w:rPr>
        <w:t xml:space="preserve"> </w:t>
      </w:r>
      <w:r>
        <w:rPr>
          <w:color w:val="000000"/>
          <w:w w:val="105"/>
          <w:sz w:val="20"/>
          <w:szCs w:val="20"/>
        </w:rPr>
        <w:t>a</w:t>
      </w:r>
      <w:r>
        <w:rPr>
          <w:color w:val="000000"/>
          <w:spacing w:val="1"/>
          <w:w w:val="105"/>
          <w:sz w:val="20"/>
          <w:szCs w:val="20"/>
        </w:rPr>
        <w:t xml:space="preserve"> </w:t>
      </w:r>
      <w:r>
        <w:rPr>
          <w:color w:val="000000"/>
          <w:w w:val="105"/>
          <w:sz w:val="20"/>
          <w:szCs w:val="20"/>
        </w:rPr>
        <w:t>separação</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resíduos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descartados</w:t>
      </w:r>
      <w:r>
        <w:rPr>
          <w:color w:val="000000"/>
          <w:spacing w:val="1"/>
          <w:w w:val="105"/>
          <w:sz w:val="20"/>
          <w:szCs w:val="20"/>
        </w:rPr>
        <w:t xml:space="preserve"> </w:t>
      </w:r>
      <w:r>
        <w:rPr>
          <w:color w:val="000000"/>
          <w:w w:val="105"/>
          <w:sz w:val="20"/>
          <w:szCs w:val="20"/>
        </w:rPr>
        <w:t>pelos</w:t>
      </w:r>
      <w:r>
        <w:rPr>
          <w:color w:val="000000"/>
          <w:spacing w:val="1"/>
          <w:w w:val="105"/>
          <w:sz w:val="20"/>
          <w:szCs w:val="20"/>
        </w:rPr>
        <w:t xml:space="preserve"> ó</w:t>
      </w:r>
      <w:r>
        <w:rPr>
          <w:color w:val="000000"/>
          <w:w w:val="105"/>
          <w:sz w:val="20"/>
          <w:szCs w:val="20"/>
        </w:rPr>
        <w:t>rgãos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entidades</w:t>
      </w:r>
      <w:r>
        <w:rPr>
          <w:color w:val="000000"/>
          <w:spacing w:val="1"/>
          <w:w w:val="105"/>
          <w:sz w:val="20"/>
          <w:szCs w:val="20"/>
        </w:rPr>
        <w:t xml:space="preserve"> </w:t>
      </w:r>
      <w:r>
        <w:rPr>
          <w:color w:val="000000"/>
          <w:w w:val="105"/>
          <w:sz w:val="20"/>
          <w:szCs w:val="20"/>
        </w:rPr>
        <w:t>da</w:t>
      </w:r>
      <w:r>
        <w:rPr>
          <w:color w:val="000000"/>
          <w:spacing w:val="1"/>
          <w:w w:val="105"/>
          <w:sz w:val="20"/>
          <w:szCs w:val="20"/>
        </w:rPr>
        <w:t xml:space="preserve"> </w:t>
      </w:r>
      <w:r>
        <w:rPr>
          <w:color w:val="000000"/>
          <w:w w:val="105"/>
          <w:sz w:val="20"/>
          <w:szCs w:val="20"/>
        </w:rPr>
        <w:t>Administração</w:t>
      </w:r>
      <w:r>
        <w:rPr>
          <w:color w:val="000000"/>
          <w:spacing w:val="1"/>
          <w:w w:val="105"/>
          <w:sz w:val="20"/>
          <w:szCs w:val="20"/>
        </w:rPr>
        <w:t xml:space="preserve"> </w:t>
      </w:r>
      <w:r>
        <w:rPr>
          <w:color w:val="000000"/>
          <w:w w:val="105"/>
          <w:sz w:val="20"/>
          <w:szCs w:val="20"/>
        </w:rPr>
        <w:t>Pública</w:t>
      </w:r>
      <w:r>
        <w:rPr>
          <w:color w:val="000000"/>
          <w:spacing w:val="1"/>
          <w:w w:val="105"/>
          <w:sz w:val="20"/>
          <w:szCs w:val="20"/>
        </w:rPr>
        <w:t xml:space="preserve"> </w:t>
      </w:r>
      <w:r>
        <w:rPr>
          <w:color w:val="000000"/>
          <w:w w:val="105"/>
          <w:sz w:val="20"/>
          <w:szCs w:val="20"/>
        </w:rPr>
        <w:t>Federal</w:t>
      </w:r>
      <w:r>
        <w:rPr>
          <w:color w:val="000000"/>
          <w:spacing w:val="1"/>
          <w:w w:val="105"/>
          <w:sz w:val="20"/>
          <w:szCs w:val="20"/>
        </w:rPr>
        <w:t xml:space="preserve"> </w:t>
      </w:r>
      <w:r>
        <w:rPr>
          <w:color w:val="000000"/>
          <w:w w:val="105"/>
          <w:sz w:val="20"/>
          <w:szCs w:val="20"/>
        </w:rPr>
        <w:t>direta,</w:t>
      </w:r>
      <w:r>
        <w:rPr>
          <w:color w:val="000000"/>
          <w:spacing w:val="1"/>
          <w:w w:val="105"/>
          <w:sz w:val="20"/>
          <w:szCs w:val="20"/>
        </w:rPr>
        <w:t xml:space="preserve"> </w:t>
      </w:r>
      <w:r>
        <w:rPr>
          <w:color w:val="000000"/>
          <w:w w:val="105"/>
          <w:sz w:val="20"/>
          <w:szCs w:val="20"/>
        </w:rPr>
        <w:t>autárquica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fundacional,</w:t>
      </w:r>
      <w:r>
        <w:rPr>
          <w:color w:val="000000"/>
          <w:spacing w:val="1"/>
          <w:w w:val="105"/>
          <w:sz w:val="20"/>
          <w:szCs w:val="20"/>
        </w:rPr>
        <w:t xml:space="preserve"> </w:t>
      </w:r>
      <w:r>
        <w:rPr>
          <w:color w:val="000000"/>
          <w:w w:val="105"/>
          <w:sz w:val="20"/>
          <w:szCs w:val="20"/>
        </w:rPr>
        <w:t>na</w:t>
      </w:r>
      <w:r>
        <w:rPr>
          <w:color w:val="000000"/>
          <w:spacing w:val="1"/>
          <w:w w:val="105"/>
          <w:sz w:val="20"/>
          <w:szCs w:val="20"/>
        </w:rPr>
        <w:t xml:space="preserve"> </w:t>
      </w:r>
      <w:r>
        <w:rPr>
          <w:color w:val="000000"/>
          <w:w w:val="105"/>
          <w:sz w:val="20"/>
          <w:szCs w:val="20"/>
        </w:rPr>
        <w:t>fonte</w:t>
      </w:r>
      <w:r>
        <w:rPr>
          <w:color w:val="000000"/>
          <w:spacing w:val="1"/>
          <w:w w:val="105"/>
          <w:sz w:val="20"/>
          <w:szCs w:val="20"/>
        </w:rPr>
        <w:t xml:space="preserve"> </w:t>
      </w:r>
      <w:r>
        <w:rPr>
          <w:color w:val="000000"/>
          <w:w w:val="105"/>
          <w:sz w:val="20"/>
          <w:szCs w:val="20"/>
        </w:rPr>
        <w:t>geradora,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a sua</w:t>
      </w:r>
      <w:r>
        <w:rPr>
          <w:color w:val="000000"/>
          <w:spacing w:val="1"/>
          <w:w w:val="105"/>
          <w:sz w:val="20"/>
          <w:szCs w:val="20"/>
        </w:rPr>
        <w:t xml:space="preserve"> </w:t>
      </w:r>
      <w:r>
        <w:rPr>
          <w:color w:val="000000"/>
          <w:w w:val="105"/>
          <w:sz w:val="20"/>
          <w:szCs w:val="20"/>
        </w:rPr>
        <w:t>destinação</w:t>
      </w:r>
      <w:r>
        <w:rPr>
          <w:color w:val="000000"/>
          <w:spacing w:val="1"/>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associações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cooperativas</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catadores</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materiais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que</w:t>
      </w:r>
      <w:r>
        <w:rPr>
          <w:color w:val="000000"/>
          <w:spacing w:val="1"/>
          <w:w w:val="105"/>
          <w:sz w:val="20"/>
          <w:szCs w:val="20"/>
        </w:rPr>
        <w:t xml:space="preserve"> </w:t>
      </w:r>
      <w:r>
        <w:rPr>
          <w:color w:val="000000"/>
          <w:w w:val="105"/>
          <w:sz w:val="20"/>
          <w:szCs w:val="20"/>
        </w:rPr>
        <w:t>será</w:t>
      </w:r>
      <w:r>
        <w:rPr>
          <w:color w:val="000000"/>
          <w:spacing w:val="1"/>
          <w:w w:val="105"/>
          <w:sz w:val="20"/>
          <w:szCs w:val="20"/>
        </w:rPr>
        <w:t xml:space="preserve"> </w:t>
      </w:r>
      <w:r>
        <w:rPr>
          <w:color w:val="000000"/>
          <w:w w:val="105"/>
          <w:sz w:val="20"/>
          <w:szCs w:val="20"/>
        </w:rPr>
        <w:t>precedida pela coleta seletiva do papel para reciclagem, quando couber, nos termos da IN MARE</w:t>
      </w:r>
      <w:r>
        <w:rPr>
          <w:color w:val="000000"/>
          <w:spacing w:val="1"/>
          <w:w w:val="105"/>
          <w:sz w:val="20"/>
          <w:szCs w:val="20"/>
        </w:rPr>
        <w:t xml:space="preserve"> </w:t>
      </w:r>
      <w:r>
        <w:rPr>
          <w:color w:val="000000"/>
          <w:spacing w:val="-1"/>
          <w:w w:val="105"/>
          <w:sz w:val="20"/>
          <w:szCs w:val="20"/>
        </w:rPr>
        <w:t>n°</w:t>
      </w:r>
      <w:r>
        <w:rPr>
          <w:color w:val="000000"/>
          <w:spacing w:val="-8"/>
          <w:w w:val="105"/>
          <w:sz w:val="20"/>
          <w:szCs w:val="20"/>
        </w:rPr>
        <w:t xml:space="preserve"> </w:t>
      </w:r>
      <w:r>
        <w:rPr>
          <w:color w:val="000000"/>
          <w:spacing w:val="-1"/>
          <w:w w:val="105"/>
          <w:sz w:val="20"/>
          <w:szCs w:val="20"/>
        </w:rPr>
        <w:t>6,</w:t>
      </w:r>
      <w:r>
        <w:rPr>
          <w:color w:val="000000"/>
          <w:spacing w:val="-2"/>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3</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novembro</w:t>
      </w:r>
      <w:r>
        <w:rPr>
          <w:color w:val="000000"/>
          <w:spacing w:val="7"/>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1995</w:t>
      </w:r>
      <w:r>
        <w:rPr>
          <w:color w:val="000000"/>
          <w:spacing w:val="2"/>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do</w:t>
      </w:r>
      <w:r>
        <w:rPr>
          <w:color w:val="000000"/>
          <w:spacing w:val="1"/>
          <w:w w:val="105"/>
          <w:sz w:val="20"/>
          <w:szCs w:val="20"/>
        </w:rPr>
        <w:t xml:space="preserve"> </w:t>
      </w:r>
      <w:r>
        <w:rPr>
          <w:color w:val="000000"/>
          <w:w w:val="105"/>
          <w:sz w:val="20"/>
          <w:szCs w:val="20"/>
        </w:rPr>
        <w:t>Decreto</w:t>
      </w:r>
      <w:r>
        <w:rPr>
          <w:color w:val="000000"/>
          <w:spacing w:val="13"/>
          <w:w w:val="105"/>
          <w:sz w:val="20"/>
          <w:szCs w:val="20"/>
        </w:rPr>
        <w:t xml:space="preserve"> </w:t>
      </w:r>
      <w:r>
        <w:rPr>
          <w:color w:val="000000"/>
          <w:w w:val="105"/>
          <w:sz w:val="20"/>
          <w:szCs w:val="20"/>
        </w:rPr>
        <w:t>n°</w:t>
      </w:r>
      <w:r>
        <w:rPr>
          <w:color w:val="000000"/>
          <w:spacing w:val="-14"/>
          <w:w w:val="105"/>
          <w:sz w:val="20"/>
          <w:szCs w:val="20"/>
        </w:rPr>
        <w:t xml:space="preserve"> </w:t>
      </w:r>
      <w:r>
        <w:rPr>
          <w:color w:val="000000"/>
          <w:w w:val="105"/>
          <w:sz w:val="20"/>
          <w:szCs w:val="20"/>
        </w:rPr>
        <w:t>5.940,</w:t>
      </w:r>
      <w:r>
        <w:rPr>
          <w:color w:val="000000"/>
          <w:spacing w:val="-13"/>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25</w:t>
      </w:r>
      <w:r>
        <w:rPr>
          <w:color w:val="000000"/>
          <w:spacing w:val="2"/>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outubro</w:t>
      </w:r>
      <w:r>
        <w:rPr>
          <w:color w:val="000000"/>
          <w:spacing w:val="7"/>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2006;</w:t>
      </w:r>
    </w:p>
    <w:p>
      <w:pPr>
        <w:pStyle w:val="ListParagraph"/>
        <w:tabs>
          <w:tab w:val="clear" w:pos="708"/>
          <w:tab w:val="left" w:pos="900" w:leader="none"/>
          <w:tab w:val="left" w:pos="1530" w:leader="none"/>
        </w:tabs>
        <w:spacing w:lineRule="auto" w:line="290" w:before="44" w:after="0"/>
        <w:ind w:left="1134" w:right="170" w:hanging="0"/>
        <w:contextualSpacing/>
        <w:jc w:val="both"/>
        <w:rPr>
          <w:rFonts w:ascii="Arial" w:hAnsi="Arial"/>
          <w:sz w:val="20"/>
          <w:szCs w:val="20"/>
        </w:rPr>
      </w:pPr>
      <w:r>
        <w:rPr>
          <w:color w:val="000000"/>
          <w:spacing w:val="1"/>
          <w:w w:val="105"/>
          <w:sz w:val="20"/>
          <w:szCs w:val="20"/>
        </w:rPr>
        <w:t>8.3.4.7</w:t>
      </w:r>
      <w:r>
        <w:rPr>
          <w:color w:val="000000"/>
          <w:w w:val="105"/>
          <w:sz w:val="20"/>
          <w:szCs w:val="20"/>
        </w:rPr>
        <w:t>. Respeitar as Normas Brasileiras - NBR publicadas pela Associação Brasileira de Normas</w:t>
      </w:r>
      <w:r>
        <w:rPr>
          <w:color w:val="000000"/>
          <w:spacing w:val="1"/>
          <w:w w:val="105"/>
          <w:sz w:val="20"/>
          <w:szCs w:val="20"/>
        </w:rPr>
        <w:t xml:space="preserve"> </w:t>
      </w:r>
      <w:r>
        <w:rPr>
          <w:color w:val="000000"/>
          <w:w w:val="105"/>
          <w:sz w:val="20"/>
          <w:szCs w:val="20"/>
        </w:rPr>
        <w:t>Técnicas</w:t>
      </w:r>
      <w:r>
        <w:rPr>
          <w:color w:val="000000"/>
          <w:spacing w:val="8"/>
          <w:w w:val="105"/>
          <w:sz w:val="20"/>
          <w:szCs w:val="20"/>
        </w:rPr>
        <w:t xml:space="preserve"> </w:t>
      </w:r>
      <w:r>
        <w:rPr>
          <w:color w:val="000000"/>
          <w:w w:val="105"/>
          <w:sz w:val="20"/>
          <w:szCs w:val="20"/>
        </w:rPr>
        <w:t>sobre</w:t>
      </w:r>
      <w:r>
        <w:rPr>
          <w:color w:val="000000"/>
          <w:spacing w:val="1"/>
          <w:w w:val="105"/>
          <w:sz w:val="20"/>
          <w:szCs w:val="20"/>
        </w:rPr>
        <w:t xml:space="preserve"> </w:t>
      </w:r>
      <w:r>
        <w:rPr>
          <w:color w:val="000000"/>
          <w:w w:val="105"/>
          <w:sz w:val="20"/>
          <w:szCs w:val="20"/>
        </w:rPr>
        <w:t>resíduos</w:t>
      </w:r>
      <w:r>
        <w:rPr>
          <w:color w:val="000000"/>
          <w:spacing w:val="7"/>
          <w:w w:val="105"/>
          <w:sz w:val="20"/>
          <w:szCs w:val="20"/>
        </w:rPr>
        <w:t xml:space="preserve"> </w:t>
      </w:r>
      <w:r>
        <w:rPr>
          <w:color w:val="000000"/>
          <w:w w:val="105"/>
          <w:sz w:val="20"/>
          <w:szCs w:val="20"/>
        </w:rPr>
        <w:t>sólidos;</w:t>
      </w:r>
    </w:p>
    <w:p>
      <w:pPr>
        <w:pStyle w:val="Normal"/>
        <w:spacing w:lineRule="auto" w:line="276"/>
        <w:ind w:left="1134" w:hanging="0"/>
        <w:jc w:val="both"/>
        <w:rPr>
          <w:rFonts w:ascii="Arial" w:hAnsi="Arial"/>
          <w:sz w:val="20"/>
          <w:szCs w:val="20"/>
        </w:rPr>
      </w:pPr>
      <w:r>
        <w:rPr>
          <w:rFonts w:eastAsia="Calibri" w:cs="Calibri"/>
          <w:color w:val="000000"/>
          <w:spacing w:val="1"/>
          <w:w w:val="105"/>
          <w:sz w:val="20"/>
          <w:szCs w:val="20"/>
        </w:rPr>
        <w:t>8.3.4.7</w:t>
      </w:r>
      <w:r>
        <w:rPr>
          <w:rFonts w:eastAsia="Calibri" w:cs="Calibri"/>
          <w:color w:val="000000"/>
          <w:w w:val="105"/>
          <w:sz w:val="20"/>
          <w:szCs w:val="20"/>
        </w:rPr>
        <w:t xml:space="preserve"> Prever</w:t>
      </w:r>
      <w:r>
        <w:rPr>
          <w:rFonts w:eastAsia="Calibri" w:cs="Calibri"/>
          <w:color w:val="000000"/>
          <w:spacing w:val="1"/>
          <w:w w:val="105"/>
          <w:sz w:val="20"/>
          <w:szCs w:val="20"/>
        </w:rPr>
        <w:t xml:space="preserve"> </w:t>
      </w:r>
      <w:r>
        <w:rPr>
          <w:rFonts w:eastAsia="Calibri" w:cs="Calibri"/>
          <w:color w:val="000000"/>
          <w:w w:val="105"/>
          <w:sz w:val="20"/>
          <w:szCs w:val="20"/>
        </w:rPr>
        <w:t>a destinação</w:t>
      </w:r>
      <w:r>
        <w:rPr>
          <w:rFonts w:eastAsia="Calibri" w:cs="Calibri"/>
          <w:color w:val="000000"/>
          <w:spacing w:val="1"/>
          <w:w w:val="105"/>
          <w:sz w:val="20"/>
          <w:szCs w:val="20"/>
        </w:rPr>
        <w:t xml:space="preserve"> </w:t>
      </w:r>
      <w:r>
        <w:rPr>
          <w:rFonts w:eastAsia="Calibri" w:cs="Calibri"/>
          <w:color w:val="000000"/>
          <w:w w:val="105"/>
          <w:sz w:val="20"/>
          <w:szCs w:val="20"/>
        </w:rPr>
        <w:t>ambiental</w:t>
      </w:r>
      <w:r>
        <w:rPr>
          <w:rFonts w:eastAsia="Calibri" w:cs="Calibri"/>
          <w:color w:val="000000"/>
          <w:spacing w:val="1"/>
          <w:w w:val="105"/>
          <w:sz w:val="20"/>
          <w:szCs w:val="20"/>
        </w:rPr>
        <w:t xml:space="preserve"> </w:t>
      </w:r>
      <w:r>
        <w:rPr>
          <w:rFonts w:eastAsia="Calibri" w:cs="Calibri"/>
          <w:color w:val="000000"/>
          <w:w w:val="105"/>
          <w:sz w:val="20"/>
          <w:szCs w:val="20"/>
        </w:rPr>
        <w:t>adequada</w:t>
      </w:r>
      <w:r>
        <w:rPr>
          <w:rFonts w:eastAsia="Calibri" w:cs="Calibri"/>
          <w:color w:val="000000"/>
          <w:spacing w:val="1"/>
          <w:w w:val="105"/>
          <w:sz w:val="20"/>
          <w:szCs w:val="20"/>
        </w:rPr>
        <w:t xml:space="preserve"> </w:t>
      </w:r>
      <w:r>
        <w:rPr>
          <w:rFonts w:eastAsia="Calibri" w:cs="Calibri"/>
          <w:color w:val="000000"/>
          <w:w w:val="105"/>
          <w:sz w:val="20"/>
          <w:szCs w:val="20"/>
        </w:rPr>
        <w:t>das pilhas e baterias usadas ou</w:t>
      </w:r>
      <w:r>
        <w:rPr>
          <w:rFonts w:eastAsia="Calibri" w:cs="Calibri"/>
          <w:color w:val="000000"/>
          <w:spacing w:val="1"/>
          <w:w w:val="105"/>
          <w:sz w:val="20"/>
          <w:szCs w:val="20"/>
        </w:rPr>
        <w:t xml:space="preserve"> </w:t>
      </w:r>
      <w:r>
        <w:rPr>
          <w:rFonts w:eastAsia="Calibri" w:cs="Calibri"/>
          <w:color w:val="000000"/>
          <w:w w:val="105"/>
          <w:sz w:val="20"/>
          <w:szCs w:val="20"/>
        </w:rPr>
        <w:t>inservíveis,</w:t>
      </w:r>
      <w:r>
        <w:rPr>
          <w:rFonts w:eastAsia="Calibri" w:cs="Calibri"/>
          <w:color w:val="000000"/>
          <w:spacing w:val="1"/>
          <w:w w:val="105"/>
          <w:sz w:val="20"/>
          <w:szCs w:val="20"/>
        </w:rPr>
        <w:t xml:space="preserve"> </w:t>
      </w:r>
      <w:r>
        <w:rPr>
          <w:rFonts w:eastAsia="Calibri" w:cs="Calibri"/>
          <w:color w:val="000000"/>
          <w:w w:val="105"/>
          <w:sz w:val="20"/>
          <w:szCs w:val="20"/>
        </w:rPr>
        <w:t>segundo</w:t>
      </w:r>
      <w:r>
        <w:rPr>
          <w:rFonts w:eastAsia="Calibri" w:cs="Calibri"/>
          <w:color w:val="000000"/>
          <w:spacing w:val="8"/>
          <w:w w:val="105"/>
          <w:sz w:val="20"/>
          <w:szCs w:val="20"/>
        </w:rPr>
        <w:t xml:space="preserve"> </w:t>
      </w:r>
      <w:r>
        <w:rPr>
          <w:rFonts w:eastAsia="Calibri" w:cs="Calibri"/>
          <w:color w:val="000000"/>
          <w:w w:val="105"/>
          <w:sz w:val="20"/>
          <w:szCs w:val="20"/>
        </w:rPr>
        <w:t>disposto</w:t>
      </w:r>
      <w:r>
        <w:rPr>
          <w:rFonts w:eastAsia="Calibri" w:cs="Calibri"/>
          <w:color w:val="000000"/>
          <w:spacing w:val="13"/>
          <w:w w:val="105"/>
          <w:sz w:val="20"/>
          <w:szCs w:val="20"/>
        </w:rPr>
        <w:t xml:space="preserve"> </w:t>
      </w:r>
      <w:r>
        <w:rPr>
          <w:rFonts w:eastAsia="Calibri" w:cs="Calibri"/>
          <w:color w:val="000000"/>
          <w:w w:val="105"/>
          <w:sz w:val="20"/>
          <w:szCs w:val="20"/>
        </w:rPr>
        <w:t>na</w:t>
      </w:r>
      <w:r>
        <w:rPr>
          <w:rFonts w:eastAsia="Calibri" w:cs="Calibri"/>
          <w:color w:val="000000"/>
          <w:spacing w:val="-5"/>
          <w:w w:val="105"/>
          <w:sz w:val="20"/>
          <w:szCs w:val="20"/>
        </w:rPr>
        <w:t xml:space="preserve"> </w:t>
      </w:r>
      <w:r>
        <w:rPr>
          <w:rFonts w:eastAsia="Calibri" w:cs="Calibri"/>
          <w:color w:val="000000"/>
          <w:w w:val="105"/>
          <w:sz w:val="20"/>
          <w:szCs w:val="20"/>
        </w:rPr>
        <w:t>Resolução</w:t>
      </w:r>
      <w:r>
        <w:rPr>
          <w:rFonts w:eastAsia="Calibri" w:cs="Calibri"/>
          <w:color w:val="000000"/>
          <w:spacing w:val="7"/>
          <w:w w:val="105"/>
          <w:sz w:val="20"/>
          <w:szCs w:val="20"/>
        </w:rPr>
        <w:t xml:space="preserve"> </w:t>
      </w:r>
      <w:r>
        <w:rPr>
          <w:rFonts w:eastAsia="Calibri" w:cs="Calibri"/>
          <w:color w:val="000000"/>
          <w:w w:val="105"/>
          <w:sz w:val="20"/>
          <w:szCs w:val="20"/>
        </w:rPr>
        <w:t>do</w:t>
      </w:r>
      <w:r>
        <w:rPr>
          <w:rFonts w:eastAsia="Calibri" w:cs="Calibri"/>
          <w:color w:val="000000"/>
          <w:spacing w:val="-3"/>
          <w:w w:val="105"/>
          <w:sz w:val="20"/>
          <w:szCs w:val="20"/>
        </w:rPr>
        <w:t xml:space="preserve"> </w:t>
      </w:r>
      <w:r>
        <w:rPr>
          <w:rFonts w:eastAsia="Calibri" w:cs="Calibri"/>
          <w:color w:val="000000"/>
          <w:w w:val="105"/>
          <w:sz w:val="20"/>
          <w:szCs w:val="20"/>
        </w:rPr>
        <w:t>CONAMA</w:t>
      </w:r>
      <w:r>
        <w:rPr>
          <w:rFonts w:eastAsia="Calibri" w:cs="Calibri"/>
          <w:color w:val="000000"/>
          <w:spacing w:val="16"/>
          <w:w w:val="105"/>
          <w:sz w:val="20"/>
          <w:szCs w:val="20"/>
        </w:rPr>
        <w:t xml:space="preserve"> </w:t>
      </w:r>
      <w:r>
        <w:rPr>
          <w:rFonts w:eastAsia="Calibri" w:cs="Calibri"/>
          <w:color w:val="000000"/>
          <w:w w:val="105"/>
          <w:sz w:val="20"/>
          <w:szCs w:val="20"/>
        </w:rPr>
        <w:t>vigente.</w:t>
      </w:r>
    </w:p>
    <w:p>
      <w:pPr>
        <w:pStyle w:val="Normal"/>
        <w:spacing w:lineRule="auto" w:line="276" w:before="119" w:after="119"/>
        <w:jc w:val="both"/>
        <w:rPr>
          <w:rFonts w:ascii="Arial" w:hAnsi="Arial"/>
          <w:sz w:val="20"/>
          <w:szCs w:val="20"/>
        </w:rPr>
      </w:pPr>
      <w:r>
        <w:rPr>
          <w:rFonts w:eastAsia="Calibri" w:cs="Calibri"/>
          <w:color w:val="000000"/>
          <w:w w:val="105"/>
          <w:sz w:val="20"/>
          <w:szCs w:val="20"/>
        </w:rPr>
        <w:t xml:space="preserve">8.3.5 Cabe a Concessionária realizar as benfeitorias e adaptações que julgar necessárias para o funcionamento da lanchonete, mediante autorização do Concedente, ficando estas incorporadas ao imóvel, sem que assista o concedente o direito de retenção ou indenização sob qualquer título. </w:t>
      </w:r>
    </w:p>
    <w:p>
      <w:pPr>
        <w:pStyle w:val="Nivel1"/>
        <w:ind w:left="644" w:hanging="0"/>
        <w:rPr>
          <w:rFonts w:ascii="Arial" w:hAnsi="Arial"/>
          <w:sz w:val="20"/>
          <w:szCs w:val="20"/>
        </w:rPr>
      </w:pPr>
      <w:r>
        <w:rPr>
          <w:rFonts w:eastAsia="Times New Roman" w:cs="Arial"/>
          <w:sz w:val="20"/>
          <w:szCs w:val="20"/>
        </w:rPr>
        <w:t>9. MATERIAIS A SEREM DISPONIBILIZADOS</w:t>
      </w:r>
    </w:p>
    <w:p>
      <w:pPr>
        <w:pStyle w:val="Normal"/>
        <w:spacing w:lineRule="auto" w:line="276" w:before="119" w:after="119"/>
        <w:ind w:left="113" w:hanging="0"/>
        <w:jc w:val="both"/>
        <w:rPr>
          <w:rFonts w:ascii="Arial" w:hAnsi="Arial"/>
          <w:sz w:val="20"/>
          <w:szCs w:val="20"/>
        </w:rPr>
      </w:pPr>
      <w:r>
        <w:rPr>
          <w:rFonts w:cs="Arial"/>
          <w:color w:val="000000"/>
          <w:sz w:val="20"/>
          <w:szCs w:val="20"/>
        </w:rPr>
        <w:t xml:space="preserve">9.1 Para a perfeita execução dos serviços, a </w:t>
      </w:r>
      <w:r>
        <w:rPr>
          <w:rFonts w:cs="Arial"/>
          <w:b/>
          <w:color w:val="000000"/>
          <w:sz w:val="20"/>
          <w:szCs w:val="20"/>
          <w:u w:val="single"/>
        </w:rPr>
        <w:t xml:space="preserve">Concessionária </w:t>
      </w:r>
      <w:r>
        <w:rPr>
          <w:rFonts w:cs="Arial"/>
          <w:color w:val="000000"/>
          <w:sz w:val="20"/>
          <w:szCs w:val="20"/>
        </w:rPr>
        <w:t xml:space="preserve">deverá disponibilizar os materiais, equipamentos, ferramentas e utensílios necessários, nas quantidades estimadas e qualidades a seguir estabelecidas, promovendo sua substituição quando necessário: </w:t>
      </w:r>
      <w:r>
        <w:rPr>
          <w:rFonts w:cs="Arial"/>
          <w:b/>
          <w:color w:val="000000"/>
          <w:sz w:val="20"/>
          <w:szCs w:val="20"/>
        </w:rPr>
        <w:t>(alterado)</w:t>
      </w:r>
    </w:p>
    <w:p>
      <w:pPr>
        <w:pStyle w:val="Normal"/>
        <w:spacing w:lineRule="auto" w:line="276" w:before="119" w:after="119"/>
        <w:ind w:left="907" w:hanging="0"/>
        <w:jc w:val="both"/>
        <w:rPr>
          <w:rFonts w:ascii="Arial" w:hAnsi="Arial"/>
          <w:sz w:val="20"/>
          <w:szCs w:val="20"/>
        </w:rPr>
      </w:pPr>
      <w:r>
        <w:rPr>
          <w:b/>
          <w:bCs/>
          <w:color w:val="000000"/>
          <w:sz w:val="20"/>
          <w:szCs w:val="20"/>
          <w:u w:val="single"/>
        </w:rPr>
        <w:t xml:space="preserve">9.1.1 05 (cinco) mesas multiuso, em bloco único, quadrada, em polipropíleno, cor branca, medindo 80 CM largura x 80CM comprimento x 73 - 80 CM altura, pés fixos; </w:t>
      </w:r>
    </w:p>
    <w:p>
      <w:pPr>
        <w:pStyle w:val="Normal"/>
        <w:spacing w:lineRule="auto" w:line="276" w:before="119" w:after="119"/>
        <w:ind w:left="850" w:hanging="0"/>
        <w:jc w:val="both"/>
        <w:rPr>
          <w:rFonts w:ascii="Arial" w:hAnsi="Arial"/>
          <w:sz w:val="20"/>
          <w:szCs w:val="20"/>
        </w:rPr>
      </w:pPr>
      <w:r>
        <w:rPr>
          <w:b/>
          <w:bCs/>
          <w:color w:val="000000"/>
          <w:sz w:val="20"/>
          <w:szCs w:val="20"/>
          <w:u w:val="single"/>
          <w:shd w:fill="FFFFFF" w:val="clear"/>
        </w:rPr>
        <w:t>9.1.2</w:t>
        <w:tab/>
        <w:t xml:space="preserve"> 20 (vinte) </w:t>
      </w:r>
      <w:r>
        <w:rPr>
          <w:rFonts w:cs="Arial"/>
          <w:b/>
          <w:bCs/>
          <w:color w:val="000000"/>
          <w:sz w:val="20"/>
          <w:szCs w:val="20"/>
          <w:u w:val="single"/>
          <w:shd w:fill="FFFFFF" w:val="clear"/>
        </w:rPr>
        <w:t xml:space="preserve"> cadeira</w:t>
      </w:r>
      <w:r>
        <w:rPr>
          <w:b/>
          <w:bCs/>
          <w:color w:val="000000"/>
          <w:sz w:val="20"/>
          <w:szCs w:val="20"/>
          <w:u w:val="single"/>
          <w:shd w:fill="FFFFFF" w:val="clear"/>
        </w:rPr>
        <w:t>s em poilipropileno, dimensões mínimas em centímetro: 43 largura, 89 de altura (encosto), 55 altura (assento), 51 profundidade, carga mínima suportável, 140kg, cor branca;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9.1.3  A concessionária deverá fornecer no mínimo 01 (um) kit de lixeira seletiva, com capacidade de no mínimo 50 Litros cada lixeira, nas cores padrão: amarelo, verde, azul, vermelho e marrom, com dizeres: metais, vidros, papel, plástico e orgânico, com tampa móvel e obrigatoriamente sacos de plásticos no interior, preferencialmente localizada na entrada/entrega de louças/bandejas sujas para limpeza e desinfecção e/ou, conforme determinado pela Administração do Campus Petrolina.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9.1.4 Além dos materiais e equipamentos acima citados, a concessionaria deverá dispor ainda de:</w:t>
      </w:r>
    </w:p>
    <w:p>
      <w:pPr>
        <w:pStyle w:val="Normal"/>
        <w:spacing w:lineRule="auto" w:line="276"/>
        <w:ind w:left="1417" w:hanging="0"/>
        <w:jc w:val="both"/>
        <w:rPr>
          <w:rFonts w:ascii="Arial" w:hAnsi="Arial"/>
          <w:sz w:val="20"/>
          <w:szCs w:val="20"/>
        </w:rPr>
      </w:pPr>
      <w:r>
        <w:rPr>
          <w:color w:val="000000"/>
          <w:sz w:val="20"/>
          <w:szCs w:val="20"/>
        </w:rPr>
        <w:t xml:space="preserve">9.1.4.1 Saches de adoçante; </w:t>
      </w:r>
    </w:p>
    <w:p>
      <w:pPr>
        <w:pStyle w:val="Normal"/>
        <w:spacing w:lineRule="auto" w:line="276"/>
        <w:ind w:left="1417" w:hanging="0"/>
        <w:jc w:val="both"/>
        <w:rPr>
          <w:rFonts w:ascii="Arial" w:hAnsi="Arial"/>
          <w:sz w:val="20"/>
          <w:szCs w:val="20"/>
        </w:rPr>
      </w:pPr>
      <w:r>
        <w:rPr>
          <w:color w:val="000000"/>
          <w:sz w:val="20"/>
          <w:szCs w:val="20"/>
        </w:rPr>
        <w:t xml:space="preserve">9.1.4.2 Saches de ketchup; </w:t>
      </w:r>
    </w:p>
    <w:p>
      <w:pPr>
        <w:pStyle w:val="Normal"/>
        <w:spacing w:lineRule="auto" w:line="276"/>
        <w:ind w:left="1417" w:hanging="0"/>
        <w:jc w:val="both"/>
        <w:rPr>
          <w:rFonts w:ascii="Arial" w:hAnsi="Arial"/>
          <w:sz w:val="20"/>
          <w:szCs w:val="20"/>
        </w:rPr>
      </w:pPr>
      <w:r>
        <w:rPr>
          <w:color w:val="000000"/>
          <w:sz w:val="20"/>
          <w:szCs w:val="20"/>
        </w:rPr>
        <w:t xml:space="preserve">9.1.4.3. Saches de mostarda; </w:t>
      </w:r>
    </w:p>
    <w:p>
      <w:pPr>
        <w:pStyle w:val="Normal"/>
        <w:spacing w:lineRule="auto" w:line="276"/>
        <w:ind w:left="1417" w:hanging="0"/>
        <w:jc w:val="both"/>
        <w:rPr>
          <w:rFonts w:ascii="Arial" w:hAnsi="Arial"/>
          <w:sz w:val="20"/>
          <w:szCs w:val="20"/>
        </w:rPr>
      </w:pPr>
      <w:r>
        <w:rPr>
          <w:color w:val="000000"/>
          <w:sz w:val="20"/>
          <w:szCs w:val="20"/>
        </w:rPr>
        <w:t xml:space="preserve">9.1.4.4 Saches de maionese; </w:t>
      </w:r>
    </w:p>
    <w:p>
      <w:pPr>
        <w:pStyle w:val="Normal"/>
        <w:spacing w:lineRule="auto" w:line="276"/>
        <w:ind w:left="1417" w:hanging="0"/>
        <w:jc w:val="both"/>
        <w:rPr>
          <w:rFonts w:ascii="Arial" w:hAnsi="Arial"/>
          <w:sz w:val="20"/>
          <w:szCs w:val="20"/>
        </w:rPr>
      </w:pPr>
      <w:r>
        <w:rPr>
          <w:color w:val="000000"/>
          <w:sz w:val="20"/>
          <w:szCs w:val="20"/>
        </w:rPr>
        <w:t xml:space="preserve">9.1.4.5. Palitos em embalagens individuais; </w:t>
      </w:r>
    </w:p>
    <w:p>
      <w:pPr>
        <w:pStyle w:val="Normal"/>
        <w:spacing w:lineRule="auto" w:line="276"/>
        <w:ind w:left="1417" w:hanging="0"/>
        <w:jc w:val="both"/>
        <w:rPr>
          <w:rFonts w:ascii="Arial" w:hAnsi="Arial"/>
          <w:sz w:val="20"/>
          <w:szCs w:val="20"/>
        </w:rPr>
      </w:pPr>
      <w:r>
        <w:rPr>
          <w:color w:val="000000"/>
          <w:sz w:val="20"/>
          <w:szCs w:val="20"/>
        </w:rPr>
        <w:t xml:space="preserve">9.1.4.6 Guardanapos de papel em suportes; </w:t>
      </w:r>
    </w:p>
    <w:p>
      <w:pPr>
        <w:pStyle w:val="Normal"/>
        <w:spacing w:lineRule="auto" w:line="276"/>
        <w:ind w:left="1417" w:hanging="0"/>
        <w:jc w:val="both"/>
        <w:rPr>
          <w:rFonts w:ascii="Arial" w:hAnsi="Arial"/>
          <w:sz w:val="20"/>
          <w:szCs w:val="20"/>
        </w:rPr>
      </w:pPr>
      <w:r>
        <w:rPr>
          <w:color w:val="000000"/>
          <w:sz w:val="20"/>
          <w:szCs w:val="20"/>
        </w:rPr>
        <w:t xml:space="preserve">9.1.4.7 Palheta plástica para café de no mínimo 11cm; </w:t>
      </w:r>
    </w:p>
    <w:p>
      <w:pPr>
        <w:pStyle w:val="Normal"/>
        <w:spacing w:lineRule="auto" w:line="276"/>
        <w:ind w:left="1417" w:hanging="0"/>
        <w:jc w:val="both"/>
        <w:rPr>
          <w:rFonts w:ascii="Arial" w:hAnsi="Arial"/>
          <w:sz w:val="20"/>
          <w:szCs w:val="20"/>
        </w:rPr>
      </w:pPr>
      <w:r>
        <w:rPr>
          <w:color w:val="000000"/>
          <w:sz w:val="20"/>
          <w:szCs w:val="20"/>
        </w:rPr>
        <w:t xml:space="preserve">9.1.4.8 Copos descartáveis; </w:t>
      </w:r>
    </w:p>
    <w:p>
      <w:pPr>
        <w:pStyle w:val="Normal"/>
        <w:spacing w:lineRule="auto" w:line="276"/>
        <w:ind w:left="1417" w:hanging="0"/>
        <w:jc w:val="both"/>
        <w:rPr>
          <w:rFonts w:ascii="Arial" w:hAnsi="Arial"/>
          <w:sz w:val="20"/>
          <w:szCs w:val="20"/>
        </w:rPr>
      </w:pPr>
      <w:r>
        <w:rPr>
          <w:color w:val="000000"/>
          <w:sz w:val="20"/>
          <w:szCs w:val="20"/>
        </w:rPr>
        <w:t xml:space="preserve">9.1.4.9 Embalagens para acondicionamento de lanches e transporte; </w:t>
      </w:r>
    </w:p>
    <w:p>
      <w:pPr>
        <w:pStyle w:val="Normal"/>
        <w:spacing w:lineRule="auto" w:line="276"/>
        <w:ind w:left="1417" w:hanging="0"/>
        <w:jc w:val="both"/>
        <w:rPr>
          <w:rFonts w:ascii="Arial" w:hAnsi="Arial"/>
          <w:sz w:val="20"/>
          <w:szCs w:val="20"/>
        </w:rPr>
      </w:pPr>
      <w:r>
        <w:rPr>
          <w:color w:val="000000"/>
          <w:sz w:val="20"/>
          <w:szCs w:val="20"/>
        </w:rPr>
        <w:t xml:space="preserve">9.1.4.10 Embalagem com adoçante líquido (aspartame e stévia); </w:t>
      </w:r>
    </w:p>
    <w:p>
      <w:pPr>
        <w:pStyle w:val="Normal"/>
        <w:spacing w:lineRule="auto" w:line="276"/>
        <w:ind w:left="1417" w:hanging="0"/>
        <w:jc w:val="both"/>
        <w:rPr>
          <w:rFonts w:ascii="Arial" w:hAnsi="Arial"/>
          <w:sz w:val="20"/>
          <w:szCs w:val="20"/>
        </w:rPr>
      </w:pPr>
      <w:r>
        <w:rPr>
          <w:color w:val="000000"/>
          <w:sz w:val="20"/>
          <w:szCs w:val="20"/>
        </w:rPr>
        <w:t xml:space="preserve">9.1.4.11. “Dispenser” de álcool em gel para higienização das mãos. </w:t>
      </w:r>
    </w:p>
    <w:p>
      <w:pPr>
        <w:pStyle w:val="Normal"/>
        <w:spacing w:lineRule="auto" w:line="276"/>
        <w:ind w:left="1417" w:hanging="0"/>
        <w:jc w:val="both"/>
        <w:rPr>
          <w:rFonts w:ascii="Arial" w:hAnsi="Arial"/>
          <w:sz w:val="20"/>
          <w:szCs w:val="20"/>
        </w:rPr>
      </w:pPr>
      <w:r>
        <w:rPr>
          <w:color w:val="000000"/>
          <w:sz w:val="20"/>
          <w:szCs w:val="20"/>
        </w:rPr>
        <w:t xml:space="preserve">9.1.4.12. Balcão expositor para salgados; </w:t>
      </w:r>
    </w:p>
    <w:p>
      <w:pPr>
        <w:pStyle w:val="Normal"/>
        <w:spacing w:lineRule="auto" w:line="276"/>
        <w:ind w:left="1417" w:hanging="0"/>
        <w:jc w:val="both"/>
        <w:rPr>
          <w:rFonts w:ascii="Arial" w:hAnsi="Arial"/>
          <w:sz w:val="20"/>
          <w:szCs w:val="20"/>
        </w:rPr>
      </w:pPr>
      <w:r>
        <w:rPr>
          <w:color w:val="000000"/>
          <w:sz w:val="20"/>
          <w:szCs w:val="20"/>
        </w:rPr>
        <w:t xml:space="preserve">9.1.4.13 Forno a gás; </w:t>
      </w:r>
    </w:p>
    <w:p>
      <w:pPr>
        <w:pStyle w:val="Normal"/>
        <w:spacing w:lineRule="auto" w:line="276"/>
        <w:ind w:left="1417" w:hanging="0"/>
        <w:jc w:val="both"/>
        <w:rPr>
          <w:rFonts w:ascii="Arial" w:hAnsi="Arial"/>
          <w:sz w:val="20"/>
          <w:szCs w:val="20"/>
        </w:rPr>
      </w:pPr>
      <w:r>
        <w:rPr>
          <w:color w:val="000000"/>
          <w:sz w:val="20"/>
          <w:szCs w:val="20"/>
        </w:rPr>
        <w:t xml:space="preserve">9.1.4.14 Forno micro-ondas; </w:t>
      </w:r>
    </w:p>
    <w:p>
      <w:pPr>
        <w:pStyle w:val="Normal"/>
        <w:spacing w:lineRule="auto" w:line="276"/>
        <w:ind w:left="1417" w:hanging="0"/>
        <w:jc w:val="both"/>
        <w:rPr>
          <w:rFonts w:ascii="Arial" w:hAnsi="Arial"/>
          <w:sz w:val="20"/>
          <w:szCs w:val="20"/>
        </w:rPr>
      </w:pPr>
      <w:r>
        <w:rPr>
          <w:color w:val="000000"/>
          <w:sz w:val="20"/>
          <w:szCs w:val="20"/>
        </w:rPr>
        <w:t xml:space="preserve">9.1.4.15 Freezer; </w:t>
      </w:r>
    </w:p>
    <w:p>
      <w:pPr>
        <w:pStyle w:val="Normal"/>
        <w:spacing w:lineRule="auto" w:line="276"/>
        <w:ind w:left="1417" w:hanging="0"/>
        <w:jc w:val="both"/>
        <w:rPr>
          <w:rFonts w:ascii="Arial" w:hAnsi="Arial"/>
          <w:sz w:val="20"/>
          <w:szCs w:val="20"/>
        </w:rPr>
      </w:pPr>
      <w:r>
        <w:rPr>
          <w:color w:val="000000"/>
          <w:sz w:val="20"/>
          <w:szCs w:val="20"/>
        </w:rPr>
        <w:t xml:space="preserve">9.1.4.16 Refrigerador; </w:t>
      </w:r>
    </w:p>
    <w:p>
      <w:pPr>
        <w:pStyle w:val="Normal"/>
        <w:spacing w:lineRule="auto" w:line="276"/>
        <w:ind w:left="1417" w:hanging="0"/>
        <w:jc w:val="both"/>
        <w:rPr>
          <w:rFonts w:ascii="Arial" w:hAnsi="Arial"/>
          <w:sz w:val="20"/>
          <w:szCs w:val="20"/>
        </w:rPr>
      </w:pPr>
      <w:r>
        <w:rPr>
          <w:color w:val="000000"/>
          <w:sz w:val="20"/>
          <w:szCs w:val="20"/>
        </w:rPr>
        <w:t xml:space="preserve">9.1.4.17 Liquidificador; </w:t>
      </w:r>
    </w:p>
    <w:p>
      <w:pPr>
        <w:pStyle w:val="Normal"/>
        <w:spacing w:lineRule="auto" w:line="276"/>
        <w:ind w:left="1417" w:hanging="0"/>
        <w:jc w:val="both"/>
        <w:rPr>
          <w:rFonts w:ascii="Arial" w:hAnsi="Arial"/>
          <w:sz w:val="20"/>
          <w:szCs w:val="20"/>
        </w:rPr>
      </w:pPr>
      <w:r>
        <w:rPr>
          <w:color w:val="000000"/>
          <w:sz w:val="20"/>
          <w:szCs w:val="20"/>
        </w:rPr>
        <w:t xml:space="preserve">9.1.4.18 Espremedores de frutas; </w:t>
      </w:r>
    </w:p>
    <w:p>
      <w:pPr>
        <w:pStyle w:val="Normal"/>
        <w:spacing w:lineRule="auto" w:line="276"/>
        <w:ind w:left="1417" w:hanging="0"/>
        <w:jc w:val="both"/>
        <w:rPr>
          <w:rFonts w:ascii="Arial" w:hAnsi="Arial"/>
          <w:sz w:val="20"/>
          <w:szCs w:val="20"/>
        </w:rPr>
      </w:pPr>
      <w:r>
        <w:rPr>
          <w:color w:val="000000"/>
          <w:sz w:val="20"/>
          <w:szCs w:val="20"/>
        </w:rPr>
        <w:t xml:space="preserve">9.1.4.19 Processador; </w:t>
      </w:r>
    </w:p>
    <w:p>
      <w:pPr>
        <w:pStyle w:val="Normal"/>
        <w:spacing w:lineRule="auto" w:line="276"/>
        <w:ind w:left="1417" w:hanging="0"/>
        <w:jc w:val="both"/>
        <w:rPr>
          <w:rFonts w:ascii="Arial" w:hAnsi="Arial"/>
          <w:sz w:val="20"/>
          <w:szCs w:val="20"/>
        </w:rPr>
      </w:pPr>
      <w:r>
        <w:rPr>
          <w:color w:val="000000"/>
          <w:sz w:val="20"/>
          <w:szCs w:val="20"/>
        </w:rPr>
        <w:t xml:space="preserve">9.1.4.20 Fogão a gás; </w:t>
      </w:r>
    </w:p>
    <w:p>
      <w:pPr>
        <w:pStyle w:val="Normal"/>
        <w:spacing w:lineRule="auto" w:line="276"/>
        <w:ind w:left="1417" w:hanging="0"/>
        <w:jc w:val="both"/>
        <w:rPr>
          <w:rFonts w:ascii="Arial" w:hAnsi="Arial"/>
          <w:sz w:val="20"/>
          <w:szCs w:val="20"/>
        </w:rPr>
      </w:pPr>
      <w:r>
        <w:rPr>
          <w:color w:val="000000"/>
          <w:sz w:val="20"/>
          <w:szCs w:val="20"/>
        </w:rPr>
        <w:t xml:space="preserve">9.1.4.21 Sanduicheira/chapa; </w:t>
      </w:r>
    </w:p>
    <w:p>
      <w:pPr>
        <w:pStyle w:val="Normal"/>
        <w:spacing w:lineRule="auto" w:line="276"/>
        <w:ind w:left="1417" w:hanging="0"/>
        <w:jc w:val="both"/>
        <w:rPr>
          <w:rFonts w:ascii="Arial" w:hAnsi="Arial"/>
          <w:sz w:val="20"/>
          <w:szCs w:val="20"/>
        </w:rPr>
      </w:pPr>
      <w:r>
        <w:rPr>
          <w:color w:val="000000"/>
          <w:sz w:val="20"/>
          <w:szCs w:val="20"/>
        </w:rPr>
        <w:t>9.1.4.22 Vitrine quente e fria;</w:t>
      </w:r>
    </w:p>
    <w:p>
      <w:pPr>
        <w:pStyle w:val="Normal"/>
        <w:spacing w:lineRule="auto" w:line="276"/>
        <w:ind w:left="1417" w:hanging="0"/>
        <w:jc w:val="both"/>
        <w:rPr>
          <w:rFonts w:ascii="Arial" w:hAnsi="Arial"/>
          <w:sz w:val="20"/>
          <w:szCs w:val="20"/>
        </w:rPr>
      </w:pPr>
      <w:r>
        <w:rPr>
          <w:color w:val="000000"/>
          <w:sz w:val="20"/>
          <w:szCs w:val="20"/>
        </w:rPr>
        <w:t xml:space="preserve">9.1.4. 23. Copos plásticos descartáveis resistentes com tampa (volume 300ml); </w:t>
      </w:r>
    </w:p>
    <w:p>
      <w:pPr>
        <w:pStyle w:val="Normal"/>
        <w:spacing w:lineRule="auto" w:line="276"/>
        <w:ind w:left="1417" w:hanging="0"/>
        <w:jc w:val="both"/>
        <w:rPr>
          <w:rFonts w:ascii="Arial" w:hAnsi="Arial"/>
          <w:sz w:val="20"/>
          <w:szCs w:val="20"/>
        </w:rPr>
      </w:pPr>
      <w:r>
        <w:rPr>
          <w:color w:val="000000"/>
          <w:sz w:val="20"/>
          <w:szCs w:val="20"/>
        </w:rPr>
        <w:t xml:space="preserve">9.1.4.24. Porta-guardanapos; </w:t>
      </w:r>
    </w:p>
    <w:p>
      <w:pPr>
        <w:pStyle w:val="Normal"/>
        <w:spacing w:lineRule="auto" w:line="276"/>
        <w:ind w:left="1417" w:hanging="0"/>
        <w:jc w:val="both"/>
        <w:rPr>
          <w:rFonts w:ascii="Arial" w:hAnsi="Arial"/>
          <w:sz w:val="20"/>
          <w:szCs w:val="20"/>
        </w:rPr>
      </w:pPr>
      <w:r>
        <w:rPr>
          <w:color w:val="000000"/>
          <w:sz w:val="20"/>
          <w:szCs w:val="20"/>
        </w:rPr>
        <w:t xml:space="preserve">9.1.4.25. Guardanapos de papel; </w:t>
      </w:r>
    </w:p>
    <w:p>
      <w:pPr>
        <w:pStyle w:val="Normal"/>
        <w:spacing w:lineRule="auto" w:line="276"/>
        <w:ind w:left="1417" w:hanging="0"/>
        <w:jc w:val="both"/>
        <w:rPr>
          <w:rFonts w:ascii="Arial" w:hAnsi="Arial"/>
          <w:sz w:val="20"/>
          <w:szCs w:val="20"/>
        </w:rPr>
      </w:pPr>
      <w:r>
        <w:rPr>
          <w:color w:val="000000"/>
          <w:sz w:val="20"/>
          <w:szCs w:val="20"/>
        </w:rPr>
        <w:t xml:space="preserve">9.1.4.26. Embalagens plásticas própria para sanduíche tipo natural; </w:t>
      </w:r>
    </w:p>
    <w:p>
      <w:pPr>
        <w:pStyle w:val="Normal"/>
        <w:spacing w:lineRule="auto" w:line="276"/>
        <w:ind w:left="1417" w:hanging="0"/>
        <w:jc w:val="both"/>
        <w:rPr>
          <w:rFonts w:ascii="Arial" w:hAnsi="Arial"/>
          <w:sz w:val="20"/>
          <w:szCs w:val="20"/>
        </w:rPr>
      </w:pPr>
      <w:r>
        <w:rPr>
          <w:color w:val="000000"/>
          <w:sz w:val="20"/>
          <w:szCs w:val="20"/>
        </w:rPr>
        <w:t xml:space="preserve">9.1.4.27. Embalagens plásticas próprias para salada com tampa; </w:t>
      </w:r>
    </w:p>
    <w:p>
      <w:pPr>
        <w:pStyle w:val="Normal"/>
        <w:spacing w:lineRule="auto" w:line="276"/>
        <w:ind w:left="1417" w:hanging="0"/>
        <w:jc w:val="both"/>
        <w:rPr>
          <w:rFonts w:ascii="Arial" w:hAnsi="Arial"/>
          <w:sz w:val="20"/>
          <w:szCs w:val="20"/>
        </w:rPr>
      </w:pPr>
      <w:r>
        <w:rPr>
          <w:color w:val="000000"/>
          <w:sz w:val="20"/>
          <w:szCs w:val="20"/>
        </w:rPr>
        <w:t xml:space="preserve">9.1.4.28. Talheres plásticos para viagem; </w:t>
      </w:r>
    </w:p>
    <w:p>
      <w:pPr>
        <w:pStyle w:val="Normal"/>
        <w:spacing w:lineRule="auto" w:line="276"/>
        <w:ind w:left="1417" w:hanging="0"/>
        <w:jc w:val="both"/>
        <w:rPr>
          <w:rFonts w:ascii="Arial" w:hAnsi="Arial"/>
          <w:sz w:val="20"/>
          <w:szCs w:val="20"/>
        </w:rPr>
      </w:pPr>
      <w:r>
        <w:rPr>
          <w:color w:val="000000"/>
          <w:sz w:val="20"/>
          <w:szCs w:val="20"/>
        </w:rPr>
        <w:t xml:space="preserve">9.1.4.29. Talheres em aço (garfos, facas, colheres de sobremesa, colheres de sopa, colheres e café/chá); </w:t>
      </w:r>
    </w:p>
    <w:p>
      <w:pPr>
        <w:pStyle w:val="Normal"/>
        <w:spacing w:lineRule="auto" w:line="276"/>
        <w:ind w:left="1417" w:hanging="0"/>
        <w:jc w:val="both"/>
        <w:rPr>
          <w:rFonts w:ascii="Arial" w:hAnsi="Arial"/>
          <w:sz w:val="20"/>
          <w:szCs w:val="20"/>
        </w:rPr>
      </w:pPr>
      <w:r>
        <w:rPr>
          <w:color w:val="000000"/>
          <w:sz w:val="20"/>
          <w:szCs w:val="20"/>
        </w:rPr>
        <w:t xml:space="preserve">9.1.4.30. Pratos de sobremesa em louça; </w:t>
      </w:r>
    </w:p>
    <w:p>
      <w:pPr>
        <w:pStyle w:val="Normal"/>
        <w:spacing w:lineRule="auto" w:line="276"/>
        <w:ind w:left="1417" w:hanging="0"/>
        <w:jc w:val="both"/>
        <w:rPr>
          <w:rFonts w:ascii="Arial" w:hAnsi="Arial"/>
          <w:sz w:val="20"/>
          <w:szCs w:val="20"/>
        </w:rPr>
      </w:pPr>
      <w:r>
        <w:rPr>
          <w:color w:val="000000"/>
          <w:sz w:val="20"/>
          <w:szCs w:val="20"/>
        </w:rPr>
        <w:t xml:space="preserve">9.1.4.31. Recipientes para molhos com tampa; </w:t>
      </w:r>
    </w:p>
    <w:p>
      <w:pPr>
        <w:pStyle w:val="Normal"/>
        <w:spacing w:lineRule="auto" w:line="276"/>
        <w:ind w:left="1417" w:hanging="0"/>
        <w:jc w:val="both"/>
        <w:rPr>
          <w:rFonts w:ascii="Arial" w:hAnsi="Arial"/>
          <w:sz w:val="20"/>
          <w:szCs w:val="20"/>
        </w:rPr>
      </w:pPr>
      <w:r>
        <w:rPr>
          <w:color w:val="000000"/>
          <w:sz w:val="20"/>
          <w:szCs w:val="20"/>
        </w:rPr>
        <w:t xml:space="preserve">9.1.4.32. Pegadores em inox; </w:t>
      </w:r>
    </w:p>
    <w:p>
      <w:pPr>
        <w:pStyle w:val="Normal"/>
        <w:spacing w:lineRule="auto" w:line="276"/>
        <w:ind w:left="1417" w:hanging="0"/>
        <w:jc w:val="both"/>
        <w:rPr>
          <w:rFonts w:ascii="Arial" w:hAnsi="Arial"/>
          <w:sz w:val="20"/>
          <w:szCs w:val="20"/>
        </w:rPr>
      </w:pPr>
      <w:r>
        <w:rPr>
          <w:color w:val="000000"/>
          <w:sz w:val="20"/>
          <w:szCs w:val="20"/>
        </w:rPr>
        <w:t xml:space="preserve">9.1.4.33. Xícaras pequenas e grandes de louça ou vidro com pires; </w:t>
      </w:r>
    </w:p>
    <w:p>
      <w:pPr>
        <w:pStyle w:val="Normal"/>
        <w:spacing w:lineRule="auto" w:line="276"/>
        <w:ind w:left="1417" w:hanging="0"/>
        <w:jc w:val="both"/>
        <w:rPr>
          <w:rFonts w:ascii="Arial" w:hAnsi="Arial"/>
          <w:sz w:val="20"/>
          <w:szCs w:val="20"/>
        </w:rPr>
      </w:pPr>
      <w:r>
        <w:rPr>
          <w:color w:val="000000"/>
          <w:sz w:val="20"/>
          <w:szCs w:val="20"/>
        </w:rPr>
        <w:t xml:space="preserve">9.1.4.34. Colheres Grandes; </w:t>
      </w:r>
    </w:p>
    <w:p>
      <w:pPr>
        <w:pStyle w:val="Normal"/>
        <w:spacing w:lineRule="auto" w:line="276"/>
        <w:ind w:left="1417" w:hanging="0"/>
        <w:jc w:val="both"/>
        <w:rPr>
          <w:rFonts w:ascii="Arial" w:hAnsi="Arial"/>
          <w:sz w:val="20"/>
          <w:szCs w:val="20"/>
        </w:rPr>
      </w:pPr>
      <w:r>
        <w:rPr>
          <w:color w:val="000000"/>
          <w:sz w:val="20"/>
          <w:szCs w:val="20"/>
        </w:rPr>
        <w:t xml:space="preserve">9.1.4.35. Espátulas; </w:t>
      </w:r>
    </w:p>
    <w:p>
      <w:pPr>
        <w:pStyle w:val="Normal"/>
        <w:spacing w:lineRule="auto" w:line="276"/>
        <w:ind w:left="1417" w:hanging="0"/>
        <w:jc w:val="both"/>
        <w:rPr>
          <w:rFonts w:ascii="Arial" w:hAnsi="Arial"/>
          <w:sz w:val="20"/>
          <w:szCs w:val="20"/>
        </w:rPr>
      </w:pPr>
      <w:r>
        <w:rPr>
          <w:color w:val="000000"/>
          <w:sz w:val="20"/>
          <w:szCs w:val="20"/>
        </w:rPr>
        <w:t xml:space="preserve">9.1.4.36. Facas; </w:t>
      </w:r>
    </w:p>
    <w:p>
      <w:pPr>
        <w:pStyle w:val="Normal"/>
        <w:spacing w:lineRule="auto" w:line="276"/>
        <w:ind w:left="1417" w:hanging="0"/>
        <w:jc w:val="both"/>
        <w:rPr>
          <w:rFonts w:ascii="Arial" w:hAnsi="Arial"/>
          <w:sz w:val="20"/>
          <w:szCs w:val="20"/>
        </w:rPr>
      </w:pPr>
      <w:r>
        <w:rPr>
          <w:color w:val="000000"/>
          <w:sz w:val="20"/>
          <w:szCs w:val="20"/>
        </w:rPr>
        <w:t xml:space="preserve">9.1.4.37. Peneiras; </w:t>
      </w:r>
    </w:p>
    <w:p>
      <w:pPr>
        <w:pStyle w:val="Normal"/>
        <w:spacing w:lineRule="auto" w:line="276"/>
        <w:ind w:left="1417" w:hanging="0"/>
        <w:jc w:val="both"/>
        <w:rPr>
          <w:rFonts w:ascii="Arial" w:hAnsi="Arial"/>
          <w:sz w:val="20"/>
          <w:szCs w:val="20"/>
        </w:rPr>
      </w:pPr>
      <w:r>
        <w:rPr>
          <w:color w:val="000000"/>
          <w:sz w:val="20"/>
          <w:szCs w:val="20"/>
        </w:rPr>
        <w:t xml:space="preserve">9.1.4.38. Panos de prato; </w:t>
      </w:r>
    </w:p>
    <w:p>
      <w:pPr>
        <w:pStyle w:val="Normal"/>
        <w:spacing w:lineRule="auto" w:line="276"/>
        <w:ind w:left="1417" w:hanging="0"/>
        <w:jc w:val="both"/>
        <w:rPr>
          <w:rFonts w:ascii="Arial" w:hAnsi="Arial"/>
          <w:sz w:val="20"/>
          <w:szCs w:val="20"/>
        </w:rPr>
      </w:pPr>
      <w:r>
        <w:rPr>
          <w:color w:val="000000"/>
          <w:sz w:val="20"/>
          <w:szCs w:val="20"/>
        </w:rPr>
        <w:t xml:space="preserve">9.1.4.39. Panos de chão; </w:t>
      </w:r>
    </w:p>
    <w:p>
      <w:pPr>
        <w:pStyle w:val="Normal"/>
        <w:spacing w:lineRule="auto" w:line="276"/>
        <w:ind w:left="1417" w:hanging="0"/>
        <w:jc w:val="both"/>
        <w:rPr>
          <w:rFonts w:ascii="Arial" w:hAnsi="Arial"/>
          <w:sz w:val="20"/>
          <w:szCs w:val="20"/>
        </w:rPr>
      </w:pPr>
      <w:r>
        <w:rPr>
          <w:color w:val="000000"/>
          <w:sz w:val="20"/>
          <w:szCs w:val="20"/>
        </w:rPr>
        <w:t xml:space="preserve">9.1.4.40. Materiais para limpeza e higienização; </w:t>
      </w:r>
    </w:p>
    <w:p>
      <w:pPr>
        <w:pStyle w:val="Normal"/>
        <w:spacing w:lineRule="auto" w:line="276"/>
        <w:ind w:left="1417" w:hanging="0"/>
        <w:jc w:val="both"/>
        <w:rPr>
          <w:rFonts w:ascii="Arial" w:hAnsi="Arial"/>
          <w:sz w:val="20"/>
          <w:szCs w:val="20"/>
        </w:rPr>
      </w:pPr>
      <w:r>
        <w:rPr>
          <w:color w:val="000000"/>
          <w:sz w:val="20"/>
          <w:szCs w:val="20"/>
        </w:rPr>
        <w:t xml:space="preserve">9.1.4.41. Rodos; Vassouras; </w:t>
      </w:r>
    </w:p>
    <w:p>
      <w:pPr>
        <w:pStyle w:val="Normal"/>
        <w:spacing w:lineRule="auto" w:line="276"/>
        <w:ind w:left="1417" w:hanging="0"/>
        <w:jc w:val="both"/>
        <w:rPr>
          <w:rFonts w:ascii="Arial" w:hAnsi="Arial"/>
          <w:sz w:val="20"/>
          <w:szCs w:val="20"/>
        </w:rPr>
      </w:pPr>
      <w:r>
        <w:rPr>
          <w:color w:val="000000"/>
          <w:sz w:val="20"/>
          <w:szCs w:val="20"/>
        </w:rPr>
        <w:t xml:space="preserve">9.1.4.42. Lixeiras grandes com tampa e pedal; </w:t>
      </w:r>
    </w:p>
    <w:p>
      <w:pPr>
        <w:pStyle w:val="Normal"/>
        <w:spacing w:lineRule="auto" w:line="276"/>
        <w:ind w:left="1417" w:hanging="0"/>
        <w:jc w:val="both"/>
        <w:rPr>
          <w:rFonts w:ascii="Arial" w:hAnsi="Arial"/>
          <w:sz w:val="20"/>
          <w:szCs w:val="20"/>
        </w:rPr>
      </w:pPr>
      <w:r>
        <w:rPr>
          <w:color w:val="000000"/>
          <w:sz w:val="20"/>
          <w:szCs w:val="20"/>
        </w:rPr>
        <w:t xml:space="preserve">9.1.4.43. Sacos de lixo; </w:t>
      </w:r>
    </w:p>
    <w:p>
      <w:pPr>
        <w:pStyle w:val="Normal"/>
        <w:spacing w:lineRule="auto" w:line="276"/>
        <w:ind w:left="1417" w:hanging="0"/>
        <w:jc w:val="both"/>
        <w:rPr>
          <w:rFonts w:ascii="Arial" w:hAnsi="Arial"/>
          <w:sz w:val="20"/>
          <w:szCs w:val="20"/>
        </w:rPr>
      </w:pPr>
      <w:r>
        <w:rPr>
          <w:color w:val="000000"/>
          <w:sz w:val="20"/>
          <w:szCs w:val="20"/>
        </w:rPr>
        <w:t xml:space="preserve">9.1.4.44. Luvas descartáveis; </w:t>
      </w:r>
    </w:p>
    <w:p>
      <w:pPr>
        <w:pStyle w:val="Normal"/>
        <w:spacing w:lineRule="auto" w:line="276"/>
        <w:ind w:left="1417" w:hanging="0"/>
        <w:jc w:val="both"/>
        <w:rPr>
          <w:rFonts w:ascii="Arial" w:hAnsi="Arial"/>
          <w:sz w:val="20"/>
          <w:szCs w:val="20"/>
        </w:rPr>
      </w:pPr>
      <w:r>
        <w:rPr>
          <w:color w:val="000000"/>
          <w:sz w:val="20"/>
          <w:szCs w:val="20"/>
        </w:rPr>
        <w:t xml:space="preserve">9.1.4.45. Toucas descartáveis; </w:t>
      </w:r>
    </w:p>
    <w:p>
      <w:pPr>
        <w:pStyle w:val="Normal"/>
        <w:spacing w:lineRule="auto" w:line="276"/>
        <w:ind w:left="1417" w:hanging="0"/>
        <w:jc w:val="both"/>
        <w:rPr>
          <w:rFonts w:ascii="Arial" w:hAnsi="Arial"/>
          <w:sz w:val="20"/>
          <w:szCs w:val="20"/>
        </w:rPr>
      </w:pPr>
      <w:r>
        <w:rPr>
          <w:color w:val="000000"/>
          <w:sz w:val="20"/>
          <w:szCs w:val="20"/>
        </w:rPr>
        <w:t xml:space="preserve">9.1.4.46. Máscaras descartáveis; </w:t>
      </w:r>
    </w:p>
    <w:p>
      <w:pPr>
        <w:pStyle w:val="Normal"/>
        <w:spacing w:lineRule="auto" w:line="276"/>
        <w:ind w:left="1417" w:hanging="0"/>
        <w:jc w:val="both"/>
        <w:rPr>
          <w:rFonts w:ascii="Arial" w:hAnsi="Arial"/>
          <w:sz w:val="20"/>
          <w:szCs w:val="20"/>
        </w:rPr>
      </w:pPr>
      <w:r>
        <w:rPr>
          <w:color w:val="000000"/>
          <w:sz w:val="20"/>
          <w:szCs w:val="20"/>
        </w:rPr>
        <w:t xml:space="preserve">9.1.4.47. Máquinas para pagamento por meio eletrônico – cartões de crédito e débito; </w:t>
      </w:r>
    </w:p>
    <w:p>
      <w:pPr>
        <w:pStyle w:val="Normal"/>
        <w:spacing w:lineRule="auto" w:line="276"/>
        <w:ind w:left="1417" w:hanging="0"/>
        <w:jc w:val="both"/>
        <w:rPr>
          <w:rFonts w:ascii="Arial" w:hAnsi="Arial"/>
          <w:sz w:val="20"/>
          <w:szCs w:val="20"/>
        </w:rPr>
      </w:pPr>
      <w:r>
        <w:rPr>
          <w:color w:val="000000"/>
          <w:sz w:val="20"/>
          <w:szCs w:val="20"/>
        </w:rPr>
        <w:t xml:space="preserve">9.1.4.48. Caixa registradora emissora de cupom fiscal; </w:t>
      </w:r>
    </w:p>
    <w:p>
      <w:pPr>
        <w:pStyle w:val="Normal"/>
        <w:spacing w:lineRule="auto" w:line="276"/>
        <w:ind w:left="1417" w:hanging="0"/>
        <w:jc w:val="both"/>
        <w:rPr>
          <w:rFonts w:ascii="Arial" w:hAnsi="Arial"/>
          <w:sz w:val="20"/>
          <w:szCs w:val="20"/>
        </w:rPr>
      </w:pPr>
      <w:r>
        <w:rPr>
          <w:color w:val="000000"/>
          <w:sz w:val="20"/>
          <w:szCs w:val="20"/>
        </w:rPr>
        <w:t xml:space="preserve">9.1.4.49. Lixeiras para coleta seletiva; </w:t>
      </w:r>
    </w:p>
    <w:p>
      <w:pPr>
        <w:pStyle w:val="Normal"/>
        <w:spacing w:lineRule="auto" w:line="276"/>
        <w:ind w:left="1417" w:hanging="0"/>
        <w:jc w:val="both"/>
        <w:rPr>
          <w:rFonts w:ascii="Arial" w:hAnsi="Arial"/>
          <w:sz w:val="20"/>
          <w:szCs w:val="20"/>
        </w:rPr>
      </w:pPr>
      <w:r>
        <w:rPr>
          <w:color w:val="000000"/>
          <w:sz w:val="20"/>
          <w:szCs w:val="20"/>
        </w:rPr>
        <w:t>9.1.4.50. Balança.</w:t>
      </w:r>
    </w:p>
    <w:p>
      <w:pPr>
        <w:pStyle w:val="Normal"/>
        <w:spacing w:lineRule="auto" w:line="276"/>
        <w:ind w:left="1417" w:hanging="0"/>
        <w:jc w:val="both"/>
        <w:rPr>
          <w:rFonts w:ascii="Arial" w:hAnsi="Arial"/>
          <w:sz w:val="20"/>
          <w:szCs w:val="20"/>
        </w:rPr>
      </w:pPr>
      <w:r>
        <w:rPr>
          <w:color w:val="000000"/>
          <w:w w:val="105"/>
          <w:sz w:val="20"/>
          <w:szCs w:val="20"/>
        </w:rPr>
        <w:t>9.1.4.51 Outros necessários para execução.</w:t>
      </w:r>
    </w:p>
    <w:p>
      <w:pPr>
        <w:pStyle w:val="Normal"/>
        <w:spacing w:lineRule="auto" w:line="276"/>
        <w:ind w:left="73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w w:val="105"/>
          <w:sz w:val="20"/>
          <w:szCs w:val="20"/>
        </w:rPr>
        <w:t xml:space="preserve">9.1.5 Para os dias de distribuição de merenda escolar deverá ser disponibilizado Freezer(s) exclusivo(S) para armazenamento de alimentos. Este armazenamento se dará apenas para o dia da distribuição. </w:t>
      </w:r>
    </w:p>
    <w:p>
      <w:pPr>
        <w:pStyle w:val="Normal"/>
        <w:spacing w:lineRule="auto" w:line="276"/>
        <w:ind w:left="141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sz w:val="20"/>
          <w:szCs w:val="20"/>
        </w:rPr>
        <w:t xml:space="preserve">9.1.6 </w:t>
      </w:r>
      <w:r>
        <w:rPr>
          <w:color w:val="000000"/>
          <w:w w:val="105"/>
          <w:sz w:val="20"/>
          <w:szCs w:val="20"/>
        </w:rPr>
        <w:t xml:space="preserve">Os serviços somente poderão ser prestados com a utilização de equipamentos elétricos com Selo Ruído, indicativo do nível A ou B de potência sonora, nos termos da Resolução CONAMA nº 20, de 07/12/94, Portaria nº 430, </w:t>
      </w:r>
      <w:r>
        <w:rPr>
          <w:color w:val="000000"/>
          <w:w w:val="107"/>
          <w:sz w:val="20"/>
          <w:szCs w:val="20"/>
        </w:rPr>
        <w:t>de</w:t>
      </w:r>
      <w:r>
        <w:rPr>
          <w:color w:val="000000"/>
          <w:spacing w:val="13"/>
          <w:w w:val="105"/>
          <w:sz w:val="20"/>
          <w:szCs w:val="20"/>
        </w:rPr>
        <w:t xml:space="preserve"> </w:t>
      </w:r>
      <w:r>
        <w:rPr>
          <w:color w:val="000000"/>
          <w:w w:val="109"/>
          <w:sz w:val="20"/>
          <w:szCs w:val="20"/>
        </w:rPr>
        <w:t>16</w:t>
      </w:r>
      <w:r>
        <w:rPr>
          <w:color w:val="000000"/>
          <w:spacing w:val="6"/>
          <w:w w:val="105"/>
          <w:sz w:val="20"/>
          <w:szCs w:val="20"/>
        </w:rPr>
        <w:t xml:space="preserve"> </w:t>
      </w:r>
      <w:r>
        <w:rPr>
          <w:color w:val="000000"/>
          <w:w w:val="107"/>
          <w:sz w:val="20"/>
          <w:szCs w:val="20"/>
        </w:rPr>
        <w:t>de</w:t>
      </w:r>
      <w:r>
        <w:rPr>
          <w:color w:val="000000"/>
          <w:spacing w:val="14"/>
          <w:w w:val="105"/>
          <w:sz w:val="20"/>
          <w:szCs w:val="20"/>
        </w:rPr>
        <w:t xml:space="preserve"> </w:t>
      </w:r>
      <w:r>
        <w:rPr>
          <w:color w:val="000000"/>
          <w:spacing w:val="-1"/>
          <w:w w:val="104"/>
          <w:sz w:val="20"/>
          <w:szCs w:val="20"/>
        </w:rPr>
        <w:t>agost</w:t>
      </w:r>
      <w:r>
        <w:rPr>
          <w:color w:val="000000"/>
          <w:w w:val="104"/>
          <w:sz w:val="20"/>
          <w:szCs w:val="20"/>
        </w:rPr>
        <w:t>o</w:t>
      </w:r>
      <w:r>
        <w:rPr>
          <w:color w:val="000000"/>
          <w:spacing w:val="18"/>
          <w:w w:val="105"/>
          <w:sz w:val="20"/>
          <w:szCs w:val="20"/>
        </w:rPr>
        <w:t xml:space="preserve"> </w:t>
      </w:r>
      <w:r>
        <w:rPr>
          <w:color w:val="000000"/>
          <w:w w:val="107"/>
          <w:sz w:val="20"/>
          <w:szCs w:val="20"/>
        </w:rPr>
        <w:t>de</w:t>
      </w:r>
      <w:r>
        <w:rPr>
          <w:color w:val="000000"/>
          <w:spacing w:val="12"/>
          <w:w w:val="105"/>
          <w:sz w:val="20"/>
          <w:szCs w:val="20"/>
        </w:rPr>
        <w:t xml:space="preserve"> </w:t>
      </w:r>
      <w:r>
        <w:rPr>
          <w:color w:val="000000"/>
          <w:w w:val="105"/>
          <w:sz w:val="20"/>
          <w:szCs w:val="20"/>
        </w:rPr>
        <w:t>2012.</w:t>
      </w:r>
      <w:r>
        <w:rPr>
          <w:color w:val="000000"/>
          <w:spacing w:val="13"/>
          <w:w w:val="105"/>
          <w:sz w:val="20"/>
          <w:szCs w:val="20"/>
        </w:rPr>
        <w:t xml:space="preserve"> </w:t>
      </w:r>
      <w:r>
        <w:rPr>
          <w:color w:val="000000"/>
          <w:w w:val="105"/>
          <w:sz w:val="20"/>
          <w:szCs w:val="20"/>
        </w:rPr>
        <w:t>- INMETRO</w:t>
      </w:r>
      <w:r>
        <w:rPr>
          <w:color w:val="000000"/>
          <w:spacing w:val="4"/>
          <w:w w:val="105"/>
          <w:sz w:val="20"/>
          <w:szCs w:val="20"/>
        </w:rPr>
        <w:t xml:space="preserve"> </w:t>
      </w:r>
      <w:r>
        <w:rPr>
          <w:color w:val="000000"/>
          <w:w w:val="105"/>
          <w:sz w:val="20"/>
          <w:szCs w:val="20"/>
        </w:rPr>
        <w:t>e</w:t>
      </w:r>
      <w:r>
        <w:rPr>
          <w:color w:val="000000"/>
          <w:spacing w:val="-2"/>
          <w:w w:val="105"/>
          <w:sz w:val="20"/>
          <w:szCs w:val="20"/>
        </w:rPr>
        <w:t xml:space="preserve"> </w:t>
      </w:r>
      <w:r>
        <w:rPr>
          <w:color w:val="000000"/>
          <w:w w:val="105"/>
          <w:sz w:val="20"/>
          <w:szCs w:val="20"/>
        </w:rPr>
        <w:t>da Instrução Normativa IBAMA nº 15, de 18 de fevereiro de 2004 e</w:t>
      </w:r>
      <w:r>
        <w:rPr>
          <w:color w:val="000000"/>
          <w:spacing w:val="4"/>
          <w:w w:val="105"/>
          <w:sz w:val="20"/>
          <w:szCs w:val="20"/>
        </w:rPr>
        <w:t xml:space="preserve"> </w:t>
      </w:r>
      <w:r>
        <w:rPr>
          <w:color w:val="000000"/>
          <w:w w:val="105"/>
          <w:sz w:val="20"/>
          <w:szCs w:val="20"/>
        </w:rPr>
        <w:t>legislação</w:t>
      </w:r>
      <w:r>
        <w:rPr>
          <w:color w:val="000000"/>
          <w:spacing w:val="5"/>
          <w:w w:val="105"/>
          <w:sz w:val="20"/>
          <w:szCs w:val="20"/>
        </w:rPr>
        <w:t xml:space="preserve"> </w:t>
      </w:r>
      <w:r>
        <w:rPr>
          <w:color w:val="000000"/>
          <w:w w:val="105"/>
          <w:sz w:val="20"/>
          <w:szCs w:val="20"/>
        </w:rPr>
        <w:t>correlata.</w:t>
      </w:r>
    </w:p>
    <w:p>
      <w:pPr>
        <w:pStyle w:val="Nivel1"/>
        <w:rPr>
          <w:rFonts w:ascii="Arial" w:hAnsi="Arial"/>
          <w:sz w:val="20"/>
          <w:szCs w:val="20"/>
        </w:rPr>
      </w:pPr>
      <w:r>
        <w:rPr>
          <w:rFonts w:cs="Arial"/>
          <w:sz w:val="20"/>
          <w:szCs w:val="20"/>
        </w:rPr>
        <w:t>10. INFORMAÇÕES</w:t>
      </w:r>
      <w:r>
        <w:rPr>
          <w:sz w:val="20"/>
          <w:szCs w:val="20"/>
        </w:rPr>
        <w:t xml:space="preserve"> RELEVANTES PARA O DIMENSIONAMENTO DA PROPOSTA</w:t>
      </w:r>
    </w:p>
    <w:p>
      <w:pPr>
        <w:pStyle w:val="Nivel1"/>
        <w:spacing w:before="24" w:after="0"/>
        <w:rPr>
          <w:rFonts w:ascii="Arial" w:hAnsi="Arial"/>
          <w:sz w:val="20"/>
          <w:szCs w:val="20"/>
        </w:rPr>
      </w:pPr>
      <w:r>
        <w:rPr>
          <w:sz w:val="20"/>
          <w:szCs w:val="20"/>
        </w:rPr>
      </w:r>
    </w:p>
    <w:p>
      <w:pPr>
        <w:pStyle w:val="Normal"/>
        <w:tabs>
          <w:tab w:val="clear" w:pos="708"/>
          <w:tab w:val="left" w:pos="0" w:leader="none"/>
        </w:tabs>
        <w:spacing w:lineRule="auto" w:line="360"/>
        <w:ind w:left="644" w:hanging="0"/>
        <w:jc w:val="both"/>
        <w:rPr>
          <w:rFonts w:ascii="Arial" w:hAnsi="Arial"/>
          <w:sz w:val="20"/>
          <w:szCs w:val="20"/>
        </w:rPr>
      </w:pPr>
      <w:r>
        <w:rPr>
          <w:b/>
          <w:bCs/>
          <w:color w:val="000000"/>
          <w:sz w:val="20"/>
          <w:szCs w:val="20"/>
          <w:u w:val="single"/>
        </w:rPr>
        <w:t>10.1. A demanda do órgão tem como base as seguintes características:</w:t>
      </w:r>
    </w:p>
    <w:p>
      <w:pPr>
        <w:pStyle w:val="Normal"/>
        <w:tabs>
          <w:tab w:val="clear" w:pos="708"/>
          <w:tab w:val="left" w:pos="0" w:leader="none"/>
        </w:tabs>
        <w:spacing w:lineRule="auto" w:line="360"/>
        <w:ind w:left="1134" w:hanging="0"/>
        <w:jc w:val="both"/>
        <w:rPr>
          <w:rFonts w:ascii="Arial" w:hAnsi="Arial"/>
          <w:sz w:val="20"/>
          <w:szCs w:val="20"/>
        </w:rPr>
      </w:pPr>
      <w:r>
        <w:rPr>
          <w:b/>
          <w:bCs/>
          <w:color w:val="000000"/>
          <w:sz w:val="20"/>
          <w:szCs w:val="20"/>
          <w:u w:val="single"/>
        </w:rPr>
        <w:t xml:space="preserve">10.1.1. A solução deverá estar em conformidade com a legislação que rege os processos de contratação no setor público (Lei 8.666/93, Lei 10.520/02, suas alterações e regulamentações); </w:t>
      </w:r>
    </w:p>
    <w:p>
      <w:pPr>
        <w:pStyle w:val="Normal"/>
        <w:tabs>
          <w:tab w:val="clear" w:pos="708"/>
          <w:tab w:val="left" w:pos="0" w:leader="none"/>
        </w:tabs>
        <w:spacing w:lineRule="auto" w:line="360"/>
        <w:ind w:left="1134" w:hanging="0"/>
        <w:jc w:val="both"/>
        <w:rPr>
          <w:rFonts w:ascii="Arial" w:hAnsi="Arial"/>
          <w:sz w:val="20"/>
          <w:szCs w:val="20"/>
        </w:rPr>
      </w:pPr>
      <w:r>
        <w:rPr>
          <w:b/>
          <w:bCs/>
          <w:color w:val="000000"/>
          <w:sz w:val="20"/>
          <w:szCs w:val="20"/>
          <w:u w:val="single"/>
        </w:rPr>
        <w:t>10.1.2. A demanda do órgão tem como base as seguintes características:</w:t>
      </w:r>
    </w:p>
    <w:p>
      <w:pPr>
        <w:pStyle w:val="Normal"/>
        <w:tabs>
          <w:tab w:val="clear" w:pos="708"/>
          <w:tab w:val="left" w:pos="0" w:leader="none"/>
        </w:tabs>
        <w:spacing w:lineRule="auto" w:line="360"/>
        <w:jc w:val="both"/>
        <w:rPr>
          <w:rFonts w:ascii="Arial" w:hAnsi="Arial" w:cs="Arial"/>
          <w:sz w:val="20"/>
          <w:szCs w:val="20"/>
          <w:shd w:fill="FFFFFF" w:val="clear"/>
        </w:rPr>
      </w:pPr>
      <w:r>
        <w:rPr>
          <w:rFonts w:cs="Arial"/>
          <w:sz w:val="20"/>
          <w:szCs w:val="20"/>
          <w:shd w:fill="FFFFFF" w:val="clear"/>
        </w:rPr>
      </w:r>
    </w:p>
    <w:p>
      <w:pPr>
        <w:pStyle w:val="Normal"/>
        <w:tabs>
          <w:tab w:val="clear" w:pos="708"/>
          <w:tab w:val="left" w:pos="0" w:leader="none"/>
        </w:tabs>
        <w:spacing w:lineRule="auto" w:line="360"/>
        <w:jc w:val="both"/>
        <w:rPr>
          <w:rFonts w:ascii="Arial" w:hAnsi="Arial"/>
          <w:sz w:val="20"/>
          <w:szCs w:val="20"/>
        </w:rPr>
      </w:pPr>
      <w:r>
        <w:rPr>
          <w:rFonts w:cs="Arial"/>
          <w:b/>
          <w:bCs/>
          <w:color w:val="000000"/>
          <w:sz w:val="20"/>
          <w:szCs w:val="20"/>
          <w:u w:val="single"/>
          <w:shd w:fill="FFFFFF" w:val="clear"/>
        </w:rPr>
        <w:t>10.2 A demanda do órgão tem como base as seguintes características:</w:t>
      </w:r>
    </w:p>
    <w:p>
      <w:pPr>
        <w:pStyle w:val="Normal"/>
        <w:ind w:left="644" w:hanging="0"/>
        <w:jc w:val="both"/>
        <w:rPr>
          <w:rFonts w:ascii="Arial" w:hAnsi="Arial"/>
          <w:sz w:val="20"/>
          <w:szCs w:val="20"/>
        </w:rPr>
      </w:pPr>
      <w:r>
        <w:rPr>
          <w:b/>
          <w:bCs/>
          <w:sz w:val="20"/>
          <w:szCs w:val="20"/>
          <w:u w:val="single"/>
        </w:rPr>
        <w:t>10.2.1 A área física da Cantina/Restaurante do Campus Petrolina é de 63,82 m² (sessenta e três metros e oitenta e dois centímetros quadrados);</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10.2.2 A realização de qualquer intervenção e/ou benfeitoria no imóvel dependerá sempre de prévia autorização, por escrito, do IFSertãoPE – Campus Petrolina e se incorporará ao imóvel, sem que caiba qualquer indenização a Concessionária;</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10.2.3 O Memorial Descritivo (anexo a esse Termo de Referência) informa todo o detalhamento do espaço físico;</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10.2.4 Os valores mensais a serem pagos pela CONCESSIONÁRIA, referentes à concessão de uso, deverão ser recolhidos através de Guia de Recolhimento da União, retirados junto à Coordenação de Contratos do Campus Petrolina até o 5º dia útil do mês subsequente ao vencido.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sz w:val="20"/>
          <w:szCs w:val="20"/>
        </w:rPr>
        <w:t>10.2.5 Durante as férias escolares da Concedente, ou na ocorrência de fatos que obstaculizem o funcionamento normal das suas atividades, mediante requerimento da concessionária e a juízo fundamentado da Administração, poderá o valor do recolhimento (mensalidade) corresponder a 30% (trinta por cento) do valor cobrado durante o período letivo.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bCs/>
          <w:color w:val="000000"/>
          <w:sz w:val="20"/>
          <w:szCs w:val="20"/>
          <w:u w:val="single"/>
        </w:rPr>
        <w:t xml:space="preserve">10.2.6. A CONCESSIONÁRIA pagará ao IFSertãoPE / </w:t>
      </w:r>
      <w:r>
        <w:rPr>
          <w:b/>
          <w:bCs/>
          <w:i/>
          <w:color w:val="000000"/>
          <w:sz w:val="20"/>
          <w:szCs w:val="20"/>
          <w:u w:val="single"/>
        </w:rPr>
        <w:t>campus</w:t>
      </w:r>
      <w:r>
        <w:rPr>
          <w:b/>
          <w:bCs/>
          <w:color w:val="000000"/>
          <w:sz w:val="20"/>
          <w:szCs w:val="20"/>
          <w:u w:val="single"/>
        </w:rPr>
        <w:t xml:space="preserve"> Petrolina uma compensação mensal de R$ 2.048,70(dois mil quarenta e oito reais e setenta centavos) pela concessão de uso da área da cantina, conforme laudo técnico emitido pelo setor competente, estando incluído as despesas com água e energia elétrica</w:t>
      </w:r>
      <w:r>
        <w:rPr>
          <w:sz w:val="20"/>
          <w:szCs w:val="20"/>
        </w:rPr>
        <w:t>.</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44" w:hanging="0"/>
        <w:jc w:val="both"/>
        <w:rPr>
          <w:rFonts w:ascii="Arial" w:hAnsi="Arial"/>
          <w:sz w:val="20"/>
          <w:szCs w:val="20"/>
        </w:rPr>
      </w:pPr>
      <w:r>
        <w:rPr>
          <w:b/>
          <w:sz w:val="20"/>
          <w:szCs w:val="20"/>
        </w:rPr>
        <w:t xml:space="preserve">10.2.7 O valor do aluguel será reajustado anualmente, na hipótese de prorrogação da vigência do contrato, com base no IGP-M (ÍNDICE GERAL DE PREÇOS DE MERCADO), apurado pela Fundação Getúlio Vargas, ou daquele </w:t>
      </w:r>
      <w:r>
        <w:rPr>
          <w:b/>
          <w:bCs/>
          <w:color w:val="000000"/>
          <w:sz w:val="20"/>
          <w:szCs w:val="20"/>
          <w:u w:val="single"/>
        </w:rPr>
        <w:t>que vier a substituí-lo.</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80" w:hanging="0"/>
        <w:jc w:val="both"/>
        <w:rPr>
          <w:rFonts w:ascii="Arial" w:hAnsi="Arial"/>
          <w:sz w:val="20"/>
          <w:szCs w:val="20"/>
        </w:rPr>
      </w:pPr>
      <w:r>
        <w:rPr>
          <w:b/>
          <w:bCs/>
          <w:color w:val="000000"/>
          <w:sz w:val="20"/>
          <w:szCs w:val="20"/>
          <w:u w:val="single"/>
        </w:rPr>
        <w:t xml:space="preserve">10.2.8 Na hipótese de ausência do recolhimento do aluguel no prazo previsto, o </w:t>
      </w:r>
      <w:r>
        <w:rPr>
          <w:b/>
          <w:sz w:val="20"/>
          <w:szCs w:val="20"/>
        </w:rPr>
        <w:t>mesmo será atualizado monetariamente através da Taxa de Juros – SELIC, desde o vencimento da GRU até a nova data estipulada para pagamento do valor devido.</w:t>
      </w:r>
    </w:p>
    <w:p>
      <w:pPr>
        <w:pStyle w:val="Normal"/>
        <w:ind w:left="680" w:hanging="0"/>
        <w:jc w:val="both"/>
        <w:rPr>
          <w:rFonts w:ascii="Arial" w:hAnsi="Arial"/>
          <w:b/>
          <w:b/>
          <w:sz w:val="20"/>
          <w:szCs w:val="20"/>
        </w:rPr>
      </w:pPr>
      <w:r>
        <w:rPr>
          <w:b/>
          <w:sz w:val="20"/>
          <w:szCs w:val="20"/>
        </w:rPr>
      </w:r>
    </w:p>
    <w:p>
      <w:pPr>
        <w:pStyle w:val="Normal"/>
        <w:ind w:left="680" w:hanging="0"/>
        <w:jc w:val="both"/>
        <w:rPr>
          <w:rFonts w:ascii="Arial" w:hAnsi="Arial"/>
          <w:sz w:val="20"/>
          <w:szCs w:val="20"/>
        </w:rPr>
      </w:pPr>
      <w:r>
        <w:rPr>
          <w:b/>
          <w:sz w:val="20"/>
          <w:szCs w:val="20"/>
        </w:rPr>
        <w:t>10.1.10 Esgotadas as vias de cobrança administrativa o débito será inscrito na Dívida Ativa da União, sem prejuízo de ação de cobrança judicial pela Procuradoria Federal junto ao IFSertãoPE.</w:t>
      </w:r>
    </w:p>
    <w:p>
      <w:pPr>
        <w:pStyle w:val="Nivel1"/>
        <w:keepNext w:val="true"/>
        <w:keepLines/>
        <w:widowControl/>
        <w:suppressAutoHyphens w:val="true"/>
        <w:bidi w:val="0"/>
        <w:spacing w:lineRule="auto" w:line="276" w:before="480" w:after="0"/>
        <w:ind w:left="-57" w:right="0" w:hanging="0"/>
        <w:jc w:val="both"/>
        <w:rPr>
          <w:rFonts w:ascii="Arial" w:hAnsi="Arial"/>
          <w:sz w:val="20"/>
          <w:szCs w:val="20"/>
        </w:rPr>
      </w:pPr>
      <w:r>
        <w:rPr>
          <w:rFonts w:cs="Arial"/>
          <w:sz w:val="20"/>
          <w:szCs w:val="20"/>
          <w:lang w:eastAsia="en-US"/>
        </w:rPr>
        <w:t>11. OBRIGAÇÕES DA CONCEDENTE</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11.1 Exigir o cumprimento de todas as obrigações assumidas pela </w:t>
      </w:r>
      <w:r>
        <w:rPr>
          <w:rFonts w:cs="Arial"/>
          <w:b/>
          <w:color w:val="000000"/>
          <w:sz w:val="20"/>
          <w:szCs w:val="20"/>
          <w:u w:val="single"/>
        </w:rPr>
        <w:t>Concessionária</w:t>
      </w:r>
      <w:r>
        <w:rPr>
          <w:rFonts w:cs="Arial"/>
          <w:color w:val="000000"/>
          <w:sz w:val="20"/>
          <w:szCs w:val="20"/>
        </w:rPr>
        <w:t xml:space="preserve">, de acordo com as cláusulas contratuais e os termos de sua proposta; </w:t>
      </w:r>
      <w:r>
        <w:rPr>
          <w:rFonts w:cs="Arial"/>
          <w:b/>
          <w:color w:val="000000"/>
          <w:sz w:val="20"/>
          <w:szCs w:val="20"/>
        </w:rPr>
        <w:t>(alterado)</w:t>
      </w:r>
    </w:p>
    <w:p>
      <w:pPr>
        <w:pStyle w:val="Normal"/>
        <w:spacing w:lineRule="auto" w:line="276" w:before="120" w:after="120"/>
        <w:ind w:left="57" w:hanging="0"/>
        <w:jc w:val="both"/>
        <w:rPr>
          <w:rFonts w:ascii="Arial" w:hAnsi="Arial"/>
          <w:sz w:val="20"/>
          <w:szCs w:val="20"/>
        </w:rPr>
      </w:pPr>
      <w:r>
        <w:rPr>
          <w:rFonts w:cs="Arial"/>
          <w:color w:val="000000"/>
          <w:sz w:val="20"/>
          <w:szCs w:val="20"/>
        </w:rPr>
        <w:t>11.2 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11.3 Notificar a </w:t>
      </w:r>
      <w:r>
        <w:rPr>
          <w:rFonts w:cs="Arial"/>
          <w:b/>
          <w:color w:val="000000"/>
          <w:sz w:val="20"/>
          <w:szCs w:val="20"/>
          <w:u w:val="single"/>
        </w:rPr>
        <w:t xml:space="preserve">Concessionária </w:t>
      </w:r>
      <w:r>
        <w:rPr>
          <w:rFonts w:cs="Arial"/>
          <w:color w:val="000000"/>
          <w:sz w:val="20"/>
          <w:szCs w:val="20"/>
        </w:rPr>
        <w:t>por escrito da ocorrência de eventuais imperfeições, falhas ou</w:t>
      </w:r>
      <w:r>
        <w:rPr>
          <w:rFonts w:cs="Arial"/>
          <w:b/>
          <w:color w:val="000000"/>
          <w:sz w:val="20"/>
          <w:szCs w:val="20"/>
          <w:u w:val="single"/>
        </w:rPr>
        <w:t xml:space="preserve"> </w:t>
      </w:r>
      <w:r>
        <w:rPr>
          <w:rFonts w:cs="Arial"/>
          <w:color w:val="000000"/>
          <w:sz w:val="20"/>
          <w:szCs w:val="20"/>
        </w:rPr>
        <w:t xml:space="preserve">irregularidades constatadas no curso da execução dos serviços, fixando prazo para a sua correção, certificando-se que as soluções por ela propostas sejam as mais adequadas; </w:t>
      </w:r>
      <w:r>
        <w:rPr>
          <w:rFonts w:cs="Arial"/>
          <w:b/>
          <w:color w:val="000000"/>
          <w:sz w:val="20"/>
          <w:szCs w:val="20"/>
        </w:rPr>
        <w:t>(alterado)</w:t>
      </w:r>
    </w:p>
    <w:p>
      <w:pPr>
        <w:pStyle w:val="Normal"/>
        <w:spacing w:lineRule="auto" w:line="276" w:before="120" w:after="120"/>
        <w:ind w:left="57" w:hanging="0"/>
        <w:jc w:val="both"/>
        <w:rPr>
          <w:rFonts w:ascii="Arial" w:hAnsi="Arial"/>
          <w:sz w:val="20"/>
          <w:szCs w:val="20"/>
        </w:rPr>
      </w:pPr>
      <w:r>
        <w:rPr>
          <w:rFonts w:cs="Arial"/>
          <w:b/>
          <w:color w:val="000000"/>
          <w:sz w:val="20"/>
          <w:szCs w:val="20"/>
        </w:rPr>
        <w:t>11.4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57" w:hanging="0"/>
        <w:jc w:val="both"/>
        <w:rPr>
          <w:rFonts w:ascii="Arial" w:hAnsi="Arial"/>
          <w:sz w:val="20"/>
          <w:szCs w:val="20"/>
        </w:rPr>
      </w:pPr>
      <w:r>
        <w:rPr>
          <w:rFonts w:cs="Arial"/>
          <w:b/>
          <w:color w:val="000000"/>
          <w:sz w:val="20"/>
          <w:szCs w:val="20"/>
        </w:rPr>
        <w:t>11.5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11.6 Não praticar atos de ingerência na administração da </w:t>
      </w:r>
      <w:r>
        <w:rPr>
          <w:rFonts w:cs="Arial"/>
          <w:b/>
          <w:color w:val="000000"/>
          <w:sz w:val="20"/>
          <w:szCs w:val="20"/>
          <w:u w:val="single"/>
        </w:rPr>
        <w:t>Concessionária</w:t>
      </w:r>
      <w:r>
        <w:rPr>
          <w:rFonts w:cs="Arial"/>
          <w:color w:val="000000"/>
          <w:sz w:val="20"/>
          <w:szCs w:val="20"/>
        </w:rPr>
        <w:t xml:space="preserve">, tais como: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11.6.1 exercer o poder de mando sobre os empregados da </w:t>
      </w:r>
      <w:r>
        <w:rPr>
          <w:rFonts w:cs="Arial"/>
          <w:b/>
          <w:color w:val="000000"/>
          <w:sz w:val="20"/>
          <w:szCs w:val="20"/>
          <w:u w:val="single"/>
        </w:rPr>
        <w:t>Concessionária</w:t>
      </w:r>
      <w:r>
        <w:rPr>
          <w:rFonts w:cs="Arial"/>
          <w:color w:val="000000"/>
          <w:sz w:val="20"/>
          <w:szCs w:val="20"/>
        </w:rPr>
        <w:t xml:space="preserve">, devendo reportar-se somente aos prepostos ou responsáveis por ela indicados, exceto quando o objeto da contratação previr o atendimento direto, tais como nos serviços de recepção e apoio ao usuário;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11.6.2 direcionar a contratação de pessoas para trabalhar nas empresas </w:t>
      </w:r>
      <w:r>
        <w:rPr>
          <w:rFonts w:cs="Arial"/>
          <w:b/>
          <w:color w:val="000000"/>
          <w:sz w:val="20"/>
          <w:szCs w:val="20"/>
          <w:u w:val="single"/>
        </w:rPr>
        <w:t>Concessionárias</w:t>
      </w:r>
      <w:r>
        <w:rPr>
          <w:rFonts w:cs="Arial"/>
          <w:color w:val="000000"/>
          <w:sz w:val="20"/>
          <w:szCs w:val="20"/>
        </w:rPr>
        <w:t xml:space="preserve">;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11.6.3 promover ou aceitar o desvio de funções dos trabalhadores da </w:t>
      </w:r>
      <w:r>
        <w:rPr>
          <w:rFonts w:cs="Arial"/>
          <w:b/>
          <w:color w:val="000000"/>
          <w:sz w:val="20"/>
          <w:szCs w:val="20"/>
          <w:u w:val="single"/>
        </w:rPr>
        <w:t>Concessionária</w:t>
      </w:r>
      <w:r>
        <w:rPr>
          <w:rFonts w:cs="Arial"/>
          <w:color w:val="000000"/>
          <w:sz w:val="20"/>
          <w:szCs w:val="20"/>
        </w:rPr>
        <w:t xml:space="preserve">, mediante a utilização destes em atividades distintas daquelas previstas no objeto da contratação e em relação à função específica para a qual o trabalhador foi contratado; e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11.6.4 considerar os trabalhadores da </w:t>
      </w:r>
      <w:r>
        <w:rPr>
          <w:rFonts w:cs="Arial"/>
          <w:b/>
          <w:color w:val="000000"/>
          <w:sz w:val="20"/>
          <w:szCs w:val="20"/>
          <w:u w:val="single"/>
        </w:rPr>
        <w:t xml:space="preserve">Concessionária </w:t>
      </w:r>
      <w:r>
        <w:rPr>
          <w:rFonts w:cs="Arial"/>
          <w:color w:val="000000"/>
          <w:sz w:val="20"/>
          <w:szCs w:val="20"/>
        </w:rPr>
        <w:t xml:space="preserve">como colaboradores eventuais do próprio órgão ou entidade responsável pela contratação, especialmente para efeito de concessão de diárias e passagens.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11.7 Fornecer por escrito as informações necessárias para o desenvolvimento dos serviços objeto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11.8 Realizar avaliações periódicas da qualidade dos serviços, após seu recebimento;</w:t>
      </w:r>
    </w:p>
    <w:p>
      <w:pPr>
        <w:pStyle w:val="Normal"/>
        <w:spacing w:lineRule="auto" w:line="276" w:before="120" w:after="120"/>
        <w:ind w:left="716" w:hanging="0"/>
        <w:jc w:val="both"/>
        <w:rPr>
          <w:rFonts w:ascii="Arial" w:hAnsi="Arial"/>
          <w:sz w:val="20"/>
          <w:szCs w:val="20"/>
        </w:rPr>
      </w:pPr>
      <w:r>
        <w:rPr>
          <w:rFonts w:cs="Arial"/>
          <w:color w:val="000000"/>
          <w:sz w:val="20"/>
          <w:szCs w:val="20"/>
          <w:shd w:fill="FFFFFF" w:val="clear"/>
        </w:rPr>
        <w:t xml:space="preserve">11.9 Cientificar o órgão de representação judicial da Advocacia-Geral da União para adoção das medidas cabíveis quando do descumprimento das obrigações pela </w:t>
      </w:r>
      <w:r>
        <w:rPr>
          <w:rFonts w:cs="Arial"/>
          <w:b/>
          <w:color w:val="000000"/>
          <w:sz w:val="20"/>
          <w:szCs w:val="20"/>
          <w:u w:val="single"/>
          <w:shd w:fill="FFFFFF" w:val="clear"/>
        </w:rPr>
        <w:t>Concessionária</w:t>
      </w:r>
      <w:r>
        <w:rPr>
          <w:rFonts w:cs="Arial"/>
          <w:color w:val="000000"/>
          <w:sz w:val="20"/>
          <w:szCs w:val="20"/>
          <w:shd w:fill="FFFFFF" w:val="clear"/>
        </w:rPr>
        <w:t xml:space="preserve">; </w:t>
      </w:r>
      <w:r>
        <w:rPr>
          <w:rFonts w:cs="Arial"/>
          <w:b/>
          <w:color w:val="000000"/>
          <w:sz w:val="20"/>
          <w:szCs w:val="20"/>
          <w:shd w:fill="FFFFFF" w:val="clear"/>
        </w:rPr>
        <w:t>(alterado)</w:t>
      </w:r>
      <w:r>
        <w:rPr>
          <w:rFonts w:cs="Arial"/>
          <w:color w:val="000000"/>
          <w:sz w:val="20"/>
          <w:szCs w:val="20"/>
          <w:shd w:fill="FFFFFF" w:val="clear"/>
        </w:rPr>
        <w:t xml:space="preserve">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11.10 Fiscalizar o cumprimento dos requisitos legais, quando a Concessionária houver se beneficiado da preferência estabelecida pelo art. 3º, § 5º, da Lei nº 8.666, de 1993.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11.11 Assegurar que o ambiente de trabalho, inclusive seus equipamentos e instalações, apresentem condições adequadas ao cumprimento, pela </w:t>
      </w:r>
      <w:r>
        <w:rPr>
          <w:rFonts w:cs="Arial"/>
          <w:b/>
          <w:color w:val="000000"/>
          <w:sz w:val="20"/>
          <w:szCs w:val="20"/>
          <w:u w:val="single"/>
        </w:rPr>
        <w:t>Concessionária</w:t>
      </w:r>
      <w:r>
        <w:rPr>
          <w:rFonts w:cs="Arial"/>
          <w:color w:val="000000"/>
          <w:sz w:val="20"/>
          <w:szCs w:val="20"/>
        </w:rPr>
        <w:t xml:space="preserve">, das normas de segurança e saúde no trabalho, quando o serviço for executado em suas dependências, ou em local por ela designado. </w:t>
      </w:r>
      <w:r>
        <w:rPr>
          <w:rFonts w:cs="Arial"/>
          <w:b/>
          <w:color w:val="000000"/>
          <w:sz w:val="20"/>
          <w:szCs w:val="20"/>
        </w:rPr>
        <w:t>(alterado)</w:t>
      </w:r>
    </w:p>
    <w:p>
      <w:pPr>
        <w:pStyle w:val="Normal"/>
        <w:keepNext w:val="true"/>
        <w:keepLines/>
        <w:spacing w:lineRule="auto" w:line="276" w:before="480" w:after="0"/>
        <w:ind w:left="510" w:hanging="0"/>
        <w:jc w:val="both"/>
        <w:rPr>
          <w:rFonts w:ascii="Arial" w:hAnsi="Arial"/>
          <w:sz w:val="20"/>
          <w:szCs w:val="20"/>
        </w:rPr>
      </w:pPr>
      <w:r>
        <w:rPr>
          <w:rFonts w:cs="Arial"/>
          <w:b/>
          <w:color w:val="000000"/>
          <w:sz w:val="20"/>
          <w:szCs w:val="20"/>
        </w:rPr>
        <w:t xml:space="preserve">12. OBRIGAÇÕES DA </w:t>
      </w:r>
      <w:r>
        <w:rPr>
          <w:rFonts w:cs="Arial"/>
          <w:b/>
          <w:color w:val="000000"/>
          <w:sz w:val="20"/>
          <w:szCs w:val="20"/>
          <w:u w:val="single"/>
        </w:rPr>
        <w:t xml:space="preserve">CONCESSIONÁRIA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spacing w:lineRule="auto" w:line="276" w:before="120" w:after="120"/>
        <w:ind w:left="716" w:hanging="0"/>
        <w:jc w:val="both"/>
        <w:rPr>
          <w:rFonts w:ascii="Arial" w:hAnsi="Arial"/>
          <w:sz w:val="20"/>
          <w:szCs w:val="20"/>
        </w:rPr>
      </w:pPr>
      <w:r>
        <w:rPr>
          <w:rFonts w:cs="Arial"/>
          <w:color w:val="000000"/>
          <w:sz w:val="20"/>
          <w:szCs w:val="20"/>
        </w:rPr>
        <w:t>12.2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12.3  Responsabilizar-se pelos vícios e danos decorrentes da execução do objeto, bem como por todo e qualquer dano causado à União ou à entidade federal, devendo ressarcir imediatamente a Administração em sua integralidade, o valor correspondente aos danos sofridos;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12.4 Utilizar empregados habilitados e com conhecimentos básicos dos serviços a serem executados, em conformidade com as normas e determinações em vigor;</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12.5  Vedar a utilização, na execução dos serviços, de empregado que seja familiar de agente público ocupante de cargo em comissão ou função de confiança no órgão </w:t>
      </w:r>
      <w:r>
        <w:rPr>
          <w:rFonts w:cs="Arial"/>
          <w:b/>
          <w:color w:val="000000"/>
          <w:sz w:val="20"/>
          <w:szCs w:val="20"/>
          <w:u w:val="single"/>
        </w:rPr>
        <w:t>Concedente</w:t>
      </w:r>
      <w:r>
        <w:rPr>
          <w:rFonts w:cs="Arial"/>
          <w:color w:val="000000"/>
          <w:sz w:val="20"/>
          <w:szCs w:val="20"/>
        </w:rPr>
        <w:t xml:space="preserve">, nos termos do artigo 7° do Decreto n° 7.203, de 2010;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12.6  Quando não for possível a verificação da regularidade no Sistema de Cadastro de Fornecedores – SICAF, a </w:t>
      </w:r>
      <w:r>
        <w:rPr>
          <w:rFonts w:cs="Arial"/>
          <w:b/>
          <w:color w:val="000000"/>
          <w:sz w:val="20"/>
          <w:szCs w:val="20"/>
          <w:u w:val="single"/>
        </w:rPr>
        <w:t xml:space="preserve">concessionária </w:t>
      </w:r>
      <w:r>
        <w:rPr>
          <w:rFonts w:cs="Arial"/>
          <w:color w:val="000000"/>
          <w:sz w:val="20"/>
          <w:szCs w:val="20"/>
        </w:rPr>
        <w:t xml:space="preserve">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 5/2017;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w:t>
      </w:r>
      <w:r>
        <w:rPr>
          <w:rFonts w:cs="Arial"/>
          <w:b/>
          <w:color w:val="000000"/>
          <w:sz w:val="20"/>
          <w:szCs w:val="20"/>
          <w:u w:val="single"/>
        </w:rPr>
        <w:t>Concedente</w:t>
      </w:r>
      <w:r>
        <w:rPr>
          <w:rFonts w:cs="Arial"/>
          <w:color w:val="000000"/>
          <w:sz w:val="20"/>
          <w:szCs w:val="20"/>
        </w:rPr>
        <w:t xml:space="preserve">;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12.8  Comunicar ao Fiscal do contrato, no prazo de 24 (vinte e quatro) horas, qualquer ocorrência anormal ou acidente que se verifique no local dos serviços.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12.9  Prestar todo esclarecimento ou informação solicitada pela </w:t>
      </w:r>
      <w:r>
        <w:rPr>
          <w:rFonts w:cs="Arial"/>
          <w:b/>
          <w:color w:val="000000"/>
          <w:sz w:val="20"/>
          <w:szCs w:val="20"/>
          <w:u w:val="single"/>
        </w:rPr>
        <w:t xml:space="preserve">Concedente </w:t>
      </w:r>
      <w:r>
        <w:rPr>
          <w:rFonts w:cs="Arial"/>
          <w:color w:val="000000"/>
          <w:sz w:val="20"/>
          <w:szCs w:val="20"/>
        </w:rPr>
        <w:t xml:space="preserve">ou por seus prepostos, garantindo-lhes o acesso, a qualquer tempo, ao local dos trabalhos, bem como aos documentos relativos à execução do empreendimento.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12.10  Paralisar, por determinação da </w:t>
      </w:r>
      <w:r>
        <w:rPr>
          <w:rFonts w:cs="Arial"/>
          <w:b/>
          <w:color w:val="000000"/>
          <w:sz w:val="20"/>
          <w:szCs w:val="20"/>
          <w:u w:val="single"/>
        </w:rPr>
        <w:t>Concedente</w:t>
      </w:r>
      <w:r>
        <w:rPr>
          <w:rFonts w:cs="Arial"/>
          <w:color w:val="000000"/>
          <w:sz w:val="20"/>
          <w:szCs w:val="20"/>
        </w:rPr>
        <w:t xml:space="preserve">, qualquer atividade que não esteja sendo executada de acordo com a boa técnica ou que ponha em risco a segurança de pessoas ou bens de terceiros.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12.11  Promover a guarda, manutenção e vigilância de materiais, ferramentas, e tudo o que for necessário à execução dos serviços, durante a vigência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12.12  Promover a organização técnica e administrativa dos serviços, de modo a conduzi-los eficaz e eficientemente, de acordo com os documentos e especificações que integram este Termo de Referência, no prazo determinado.</w:t>
      </w:r>
    </w:p>
    <w:p>
      <w:pPr>
        <w:pStyle w:val="Normal"/>
        <w:spacing w:lineRule="auto" w:line="276" w:before="120" w:after="120"/>
        <w:ind w:left="716" w:hanging="0"/>
        <w:jc w:val="both"/>
        <w:rPr>
          <w:rFonts w:ascii="Arial" w:hAnsi="Arial"/>
          <w:sz w:val="20"/>
          <w:szCs w:val="20"/>
        </w:rPr>
      </w:pPr>
      <w:r>
        <w:rPr>
          <w:rFonts w:cs="Arial"/>
          <w:color w:val="000000"/>
          <w:sz w:val="20"/>
          <w:szCs w:val="20"/>
        </w:rPr>
        <w:t>12.13 Conduzir os trabalhos com estrita observância às normas da legislação pertinente, cumprindo as determinações dos Poderes Públicos, mantendo sempre limpo o local dos serviços e nas melhores condições de segurança, higiene e disciplina.</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12.14 Submeter previamente, por escrito, à </w:t>
      </w:r>
      <w:r>
        <w:rPr>
          <w:rFonts w:cs="Arial"/>
          <w:b/>
          <w:color w:val="000000"/>
          <w:sz w:val="20"/>
          <w:szCs w:val="20"/>
          <w:u w:val="single"/>
        </w:rPr>
        <w:t>Concedente</w:t>
      </w:r>
      <w:r>
        <w:rPr>
          <w:rFonts w:cs="Arial"/>
          <w:color w:val="000000"/>
          <w:sz w:val="20"/>
          <w:szCs w:val="20"/>
        </w:rPr>
        <w:t xml:space="preserve">, para análise e aprovação, quaisquer mudanças nos métodos executivos que fujam às especificações do memorial descritivo.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276" w:before="120" w:after="120"/>
        <w:ind w:left="716" w:hanging="0"/>
        <w:jc w:val="both"/>
        <w:rPr>
          <w:rFonts w:ascii="Arial" w:hAnsi="Arial"/>
          <w:sz w:val="20"/>
          <w:szCs w:val="20"/>
        </w:rPr>
      </w:pPr>
      <w:r>
        <w:rPr>
          <w:rFonts w:cs="Arial"/>
          <w:color w:val="000000"/>
          <w:sz w:val="20"/>
          <w:szCs w:val="20"/>
        </w:rPr>
        <w:t>12.16 Manter durante toda a vigência do contrato, em compatibilidade com as obrigações assumidas, todas as condições de habilitação e qualificação exigidas na licitação;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12.17  Cumprir, durante todo o período de execução do contrato, a reserva de cargos prevista em lei para pessoa com deficiência ou para reabilitado da Previdência Social, bem como as regras de acessibilidade previstas na legislação, quando a </w:t>
      </w:r>
      <w:r>
        <w:rPr>
          <w:rFonts w:cs="Arial"/>
          <w:b/>
          <w:color w:val="000000"/>
          <w:sz w:val="20"/>
          <w:szCs w:val="20"/>
          <w:u w:val="single"/>
        </w:rPr>
        <w:t xml:space="preserve">concessionária </w:t>
      </w:r>
      <w:r>
        <w:rPr>
          <w:rFonts w:cs="Arial"/>
          <w:color w:val="000000"/>
          <w:sz w:val="20"/>
          <w:szCs w:val="20"/>
        </w:rPr>
        <w:t>houver se beneficiado da preferência estabelecida pela Lei nº 13.146, de 2015</w:t>
      </w:r>
      <w:r>
        <w:rPr>
          <w:rFonts w:cs="Arial"/>
          <w:i/>
          <w:color w:val="000000"/>
          <w:sz w:val="20"/>
          <w:szCs w:val="20"/>
        </w:rPr>
        <w:t xml:space="preserve">.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12.18  Guardar sigilo sobre todas as informações obtidas em decorrência do cumprimento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12.19 Arcar com o ônus decorrente de eventual equívoco no dimensionamento dos quantitativos de sua proposta, inclusive quanto aos custos variáveis decorrentes de fatores futuros e incertos,</w:t>
      </w:r>
      <w:r>
        <w:rPr>
          <w:sz w:val="20"/>
          <w:szCs w:val="20"/>
        </w:rPr>
        <w:t xml:space="preserve"> </w:t>
      </w:r>
      <w:r>
        <w:rPr>
          <w:rFonts w:cs="Arial"/>
          <w:color w:val="000000"/>
          <w:sz w:val="20"/>
          <w:szCs w:val="20"/>
        </w:rPr>
        <w:t>devendo complementá-los, caso o previsto inicialmente em sua proposta não seja satisfatório para o atendimento do objeto da licitação, exceto quando ocorrer algum dos eventos arrolados nos incisos do § 1º do art. 57 da Lei nº 8.666, de 1993.</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12.20  Cumprir, além dos postulados legais vigentes de âmbito federal, estadual ou municipal, as normas de segurança da </w:t>
      </w:r>
      <w:r>
        <w:rPr>
          <w:rFonts w:cs="Arial"/>
          <w:b/>
          <w:color w:val="000000"/>
          <w:sz w:val="20"/>
          <w:szCs w:val="20"/>
          <w:u w:val="single"/>
        </w:rPr>
        <w:t>Concedente</w:t>
      </w:r>
      <w:r>
        <w:rPr>
          <w:rFonts w:cs="Arial"/>
          <w:color w:val="000000"/>
          <w:sz w:val="20"/>
          <w:szCs w:val="20"/>
        </w:rPr>
        <w:t xml:space="preserve">;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spacing w:lineRule="auto" w:line="276" w:before="120" w:after="120"/>
        <w:ind w:left="716" w:hanging="0"/>
        <w:jc w:val="both"/>
        <w:rPr>
          <w:rFonts w:ascii="Arial" w:hAnsi="Arial"/>
          <w:sz w:val="20"/>
          <w:szCs w:val="20"/>
        </w:rPr>
      </w:pPr>
      <w:r>
        <w:rPr>
          <w:rFonts w:cs="Arial"/>
          <w:b/>
          <w:color w:val="000000"/>
          <w:sz w:val="20"/>
          <w:szCs w:val="20"/>
        </w:rPr>
        <w:t>12.22 (supressão)</w:t>
      </w:r>
    </w:p>
    <w:p>
      <w:pPr>
        <w:pStyle w:val="Normal"/>
        <w:spacing w:lineRule="auto" w:line="276" w:before="120" w:after="120"/>
        <w:ind w:left="716" w:hanging="0"/>
        <w:jc w:val="both"/>
        <w:rPr>
          <w:rFonts w:ascii="Arial" w:hAnsi="Arial"/>
          <w:sz w:val="20"/>
          <w:szCs w:val="20"/>
        </w:rPr>
      </w:pPr>
      <w:r>
        <w:rPr>
          <w:rFonts w:cs="Arial"/>
          <w:color w:val="000000"/>
          <w:sz w:val="20"/>
          <w:szCs w:val="20"/>
        </w:rPr>
        <w:t>12.23 Responder pela manutenção das instalações da lanchonete, inclusive efetuando, diariamente, a higienização, limpeza e conservação de pisos, paredes, mesas, equipamentos e todas as dependências, por sua inteira responsabilidade;</w:t>
      </w:r>
    </w:p>
    <w:p>
      <w:pPr>
        <w:pStyle w:val="Normal"/>
        <w:spacing w:lineRule="auto" w:line="276" w:before="120" w:after="120"/>
        <w:ind w:left="716" w:hanging="0"/>
        <w:jc w:val="both"/>
        <w:rPr>
          <w:rFonts w:ascii="Arial" w:hAnsi="Arial"/>
          <w:sz w:val="20"/>
          <w:szCs w:val="20"/>
        </w:rPr>
      </w:pPr>
      <w:r>
        <w:rPr>
          <w:rFonts w:cs="Arial"/>
          <w:color w:val="000000"/>
          <w:sz w:val="20"/>
          <w:szCs w:val="20"/>
        </w:rPr>
        <w:t>12.24 Realizar dedetização a cada 06 (seis) meses, ou sempre que se fizer, caso as instalações apresentem-se infestadas com insetos e/ou pragas. A dedetização deverá ser feita sempre aos sábados, sendo que a cozinha deverá sofrer faxina geral no dia posterior. Para isso a empresa licitante deverá escalar número suficiente de funcionários;</w:t>
      </w:r>
    </w:p>
    <w:p>
      <w:pPr>
        <w:pStyle w:val="Normal"/>
        <w:spacing w:lineRule="auto" w:line="276" w:before="120" w:after="120"/>
        <w:ind w:left="716" w:hanging="0"/>
        <w:jc w:val="both"/>
        <w:rPr>
          <w:rFonts w:ascii="Arial" w:hAnsi="Arial"/>
          <w:sz w:val="20"/>
          <w:szCs w:val="20"/>
        </w:rPr>
      </w:pPr>
      <w:r>
        <w:rPr>
          <w:rFonts w:cs="Arial"/>
          <w:color w:val="000000"/>
          <w:sz w:val="20"/>
          <w:szCs w:val="20"/>
        </w:rPr>
        <w:t>12.25  Não explorar quaisquer tipos de jogos com fins lucrativos ou não;</w:t>
      </w:r>
    </w:p>
    <w:p>
      <w:pPr>
        <w:pStyle w:val="Normal"/>
        <w:spacing w:lineRule="auto" w:line="276" w:before="120" w:after="120"/>
        <w:ind w:left="716" w:hanging="0"/>
        <w:jc w:val="both"/>
        <w:rPr>
          <w:rFonts w:ascii="Arial" w:hAnsi="Arial"/>
          <w:sz w:val="20"/>
          <w:szCs w:val="20"/>
        </w:rPr>
      </w:pPr>
      <w:r>
        <w:rPr>
          <w:rFonts w:cs="Arial"/>
          <w:color w:val="000000"/>
          <w:sz w:val="20"/>
          <w:szCs w:val="20"/>
        </w:rPr>
        <w:t>12.26  Fornecer pelo menos 02 (dois) uniformes completos a cada um de seus empregados (calça, camisa ou jaqueta, avental de pano ou napa, botas de PVC, sapatos, gorro, touca, boné, luvas, máscara, etc.), adequados às atividades de produção de refeições, bem como os equipamentos de segurança individuais imprescindíveis à segurança física da mão-de-obra;</w:t>
      </w:r>
    </w:p>
    <w:p>
      <w:pPr>
        <w:pStyle w:val="Normal"/>
        <w:spacing w:lineRule="auto" w:line="276" w:before="120" w:after="120"/>
        <w:ind w:left="716" w:hanging="0"/>
        <w:jc w:val="both"/>
        <w:rPr>
          <w:rFonts w:ascii="Arial" w:hAnsi="Arial"/>
          <w:sz w:val="20"/>
          <w:szCs w:val="20"/>
        </w:rPr>
      </w:pPr>
      <w:r>
        <w:rPr>
          <w:rFonts w:cs="Arial"/>
          <w:color w:val="000000"/>
          <w:sz w:val="20"/>
          <w:szCs w:val="20"/>
        </w:rPr>
        <w:t>12.27  Não vender, sob qualquer pretexto, cigarro e/ou bebidas alcoólicas de qualquer natureza; e alimentos ultraprocessados.</w:t>
      </w:r>
    </w:p>
    <w:p>
      <w:pPr>
        <w:pStyle w:val="Normal"/>
        <w:spacing w:lineRule="auto" w:line="276" w:before="120" w:after="120"/>
        <w:ind w:left="716" w:hanging="0"/>
        <w:jc w:val="both"/>
        <w:rPr>
          <w:rFonts w:ascii="Arial" w:hAnsi="Arial"/>
          <w:sz w:val="20"/>
          <w:szCs w:val="20"/>
        </w:rPr>
      </w:pPr>
      <w:r>
        <w:rPr>
          <w:rFonts w:cs="Arial"/>
          <w:color w:val="000000"/>
          <w:sz w:val="20"/>
          <w:szCs w:val="20"/>
        </w:rPr>
        <w:t>12.28  Garantir a utilização de matéria-prima adequada, dentro das condições padrões quanto a critérios organolépticos, higiênico-sanitários e nutricionais;</w:t>
      </w:r>
    </w:p>
    <w:p>
      <w:pPr>
        <w:pStyle w:val="Normal"/>
        <w:spacing w:lineRule="auto" w:line="276" w:before="120" w:after="120"/>
        <w:ind w:left="716" w:hanging="0"/>
        <w:jc w:val="both"/>
        <w:rPr>
          <w:rFonts w:ascii="Arial" w:hAnsi="Arial"/>
          <w:sz w:val="20"/>
          <w:szCs w:val="20"/>
        </w:rPr>
      </w:pPr>
      <w:r>
        <w:rPr>
          <w:rFonts w:cs="Arial"/>
          <w:color w:val="000000"/>
          <w:sz w:val="20"/>
          <w:szCs w:val="20"/>
        </w:rPr>
        <w:t>12.29 Efetuar supervisão rigorosa do processo de higienização de bandejas, pratos e talheres, visando garantir a sanidade microbiológica dos mesmos;</w:t>
      </w:r>
    </w:p>
    <w:p>
      <w:pPr>
        <w:pStyle w:val="Normal"/>
        <w:spacing w:lineRule="auto" w:line="276" w:before="120" w:after="120"/>
        <w:ind w:left="716" w:hanging="0"/>
        <w:jc w:val="both"/>
        <w:rPr>
          <w:rFonts w:ascii="Arial" w:hAnsi="Arial"/>
          <w:sz w:val="20"/>
          <w:szCs w:val="20"/>
        </w:rPr>
      </w:pPr>
      <w:r>
        <w:rPr>
          <w:rFonts w:cs="Arial"/>
          <w:color w:val="000000"/>
          <w:sz w:val="20"/>
          <w:szCs w:val="20"/>
        </w:rPr>
        <w:t>12.30  Qualificar os funcionários que prestarão serviços no IF Sertão-PE, Campus Petrolina;</w:t>
      </w:r>
    </w:p>
    <w:p>
      <w:pPr>
        <w:pStyle w:val="Normal"/>
        <w:spacing w:lineRule="auto" w:line="276" w:before="120" w:after="120"/>
        <w:ind w:left="716" w:hanging="0"/>
        <w:jc w:val="both"/>
        <w:rPr>
          <w:rFonts w:ascii="Arial" w:hAnsi="Arial"/>
          <w:sz w:val="20"/>
          <w:szCs w:val="20"/>
        </w:rPr>
      </w:pPr>
      <w:r>
        <w:rPr>
          <w:rFonts w:cs="Arial"/>
          <w:color w:val="000000"/>
          <w:sz w:val="20"/>
          <w:szCs w:val="20"/>
        </w:rPr>
        <w:t>12.31 Serão de responsabilidade da CONCESSIONÁRIA todas e quaisquer despesas decorrentes do uso de gás de cozinha, material de limpeza, matéria prima de alimentos, bebidas, ou seja, todos os custos para produzir os produtos a serem vendidos na cantina/restaurante;</w:t>
      </w:r>
    </w:p>
    <w:p>
      <w:pPr>
        <w:pStyle w:val="Normal"/>
        <w:spacing w:lineRule="auto" w:line="276" w:before="120" w:after="120"/>
        <w:ind w:left="716" w:hanging="0"/>
        <w:jc w:val="both"/>
        <w:rPr>
          <w:rFonts w:ascii="Arial" w:hAnsi="Arial"/>
          <w:sz w:val="20"/>
          <w:szCs w:val="20"/>
        </w:rPr>
      </w:pPr>
      <w:r>
        <w:rPr>
          <w:rFonts w:cs="Arial"/>
          <w:color w:val="000000"/>
          <w:sz w:val="20"/>
          <w:szCs w:val="20"/>
        </w:rPr>
        <w:t>12.32  Todos os equipamentos devem ser submetidos à manutenção preventiva por empresa especializada a cada 12 (doze) meses;</w:t>
      </w:r>
    </w:p>
    <w:p>
      <w:pPr>
        <w:pStyle w:val="Normal"/>
        <w:spacing w:lineRule="auto" w:line="276" w:before="120" w:after="120"/>
        <w:ind w:left="716" w:hanging="0"/>
        <w:jc w:val="both"/>
        <w:rPr>
          <w:rFonts w:ascii="Arial" w:hAnsi="Arial"/>
          <w:sz w:val="20"/>
          <w:szCs w:val="20"/>
        </w:rPr>
      </w:pPr>
      <w:r>
        <w:rPr>
          <w:rFonts w:cs="Arial"/>
          <w:color w:val="000000"/>
          <w:sz w:val="20"/>
          <w:szCs w:val="20"/>
        </w:rPr>
        <w:t>12.33  Manter, conservar e reparar a rede hidráulica nos ambientes, objeto da concessão;</w:t>
      </w:r>
    </w:p>
    <w:p>
      <w:pPr>
        <w:pStyle w:val="Normal"/>
        <w:spacing w:lineRule="auto" w:line="276" w:before="120" w:after="120"/>
        <w:ind w:left="716" w:hanging="0"/>
        <w:jc w:val="both"/>
        <w:rPr>
          <w:rFonts w:ascii="Arial" w:hAnsi="Arial"/>
          <w:sz w:val="20"/>
          <w:szCs w:val="20"/>
        </w:rPr>
      </w:pPr>
      <w:r>
        <w:rPr>
          <w:rFonts w:cs="Arial"/>
          <w:color w:val="000000"/>
          <w:sz w:val="20"/>
          <w:szCs w:val="20"/>
        </w:rPr>
        <w:t>12.34  Manter fixados em local visível o cardápio semanal do restaurante self service, e tabela de preços de todos os itens encontrados na cantina;</w:t>
      </w:r>
    </w:p>
    <w:p>
      <w:pPr>
        <w:pStyle w:val="Normal"/>
        <w:spacing w:lineRule="auto" w:line="276" w:before="120" w:after="120"/>
        <w:ind w:left="716" w:hanging="0"/>
        <w:jc w:val="both"/>
        <w:rPr>
          <w:rFonts w:ascii="Arial" w:hAnsi="Arial"/>
          <w:sz w:val="20"/>
          <w:szCs w:val="20"/>
        </w:rPr>
      </w:pPr>
      <w:r>
        <w:rPr>
          <w:rFonts w:cs="Arial"/>
          <w:color w:val="000000"/>
          <w:sz w:val="20"/>
          <w:szCs w:val="20"/>
        </w:rPr>
        <w:t>12.35  A Concessionária deverá confeccionar as preparações usando a menor quantidade de óleo possível, sal, açúcar, ou seja, tudo que faz mal a saúde das pessoas, a fim de prevenir as doenças crônicas degenerativas;</w:t>
      </w:r>
    </w:p>
    <w:p>
      <w:pPr>
        <w:pStyle w:val="Normal"/>
        <w:spacing w:lineRule="auto" w:line="276" w:before="120" w:after="120"/>
        <w:ind w:left="716" w:hanging="0"/>
        <w:jc w:val="both"/>
        <w:rPr>
          <w:rFonts w:ascii="Arial" w:hAnsi="Arial"/>
          <w:sz w:val="20"/>
          <w:szCs w:val="20"/>
        </w:rPr>
      </w:pPr>
      <w:r>
        <w:rPr>
          <w:rFonts w:cs="Arial"/>
          <w:color w:val="000000"/>
          <w:sz w:val="20"/>
          <w:szCs w:val="20"/>
        </w:rPr>
        <w:t>12.36 No armazenamento das matérias-primas/alimento deverão ser realizados separadamente respeitando-se as devidas categorias:</w:t>
      </w:r>
    </w:p>
    <w:p>
      <w:pPr>
        <w:pStyle w:val="Normal"/>
        <w:spacing w:lineRule="auto" w:line="276" w:before="120" w:after="120"/>
        <w:ind w:left="1247" w:hanging="0"/>
        <w:jc w:val="both"/>
        <w:rPr>
          <w:rFonts w:ascii="Arial" w:hAnsi="Arial"/>
          <w:sz w:val="20"/>
          <w:szCs w:val="20"/>
        </w:rPr>
      </w:pPr>
      <w:r>
        <w:rPr>
          <w:rFonts w:cs="Arial"/>
          <w:color w:val="000000"/>
          <w:sz w:val="20"/>
          <w:szCs w:val="20"/>
        </w:rPr>
        <w:t>12.36.1  Alimentos secos ou não-perecíveis;</w:t>
      </w:r>
    </w:p>
    <w:p>
      <w:pPr>
        <w:pStyle w:val="Normal"/>
        <w:spacing w:lineRule="auto" w:line="276" w:before="120" w:after="120"/>
        <w:ind w:left="1247" w:hanging="0"/>
        <w:jc w:val="both"/>
        <w:rPr>
          <w:rFonts w:ascii="Arial" w:hAnsi="Arial"/>
          <w:sz w:val="20"/>
          <w:szCs w:val="20"/>
        </w:rPr>
      </w:pPr>
      <w:r>
        <w:rPr>
          <w:rFonts w:cs="Arial"/>
          <w:color w:val="000000"/>
          <w:sz w:val="20"/>
          <w:szCs w:val="20"/>
        </w:rPr>
        <w:t>12.36.2  Frutas, verduras e legumes;</w:t>
      </w:r>
    </w:p>
    <w:p>
      <w:pPr>
        <w:pStyle w:val="Normal"/>
        <w:spacing w:lineRule="auto" w:line="276" w:before="120" w:after="120"/>
        <w:ind w:left="1247" w:hanging="0"/>
        <w:jc w:val="both"/>
        <w:rPr>
          <w:rFonts w:ascii="Arial" w:hAnsi="Arial"/>
          <w:sz w:val="20"/>
          <w:szCs w:val="20"/>
        </w:rPr>
      </w:pPr>
      <w:r>
        <w:rPr>
          <w:rFonts w:cs="Arial"/>
          <w:color w:val="000000"/>
          <w:sz w:val="20"/>
          <w:szCs w:val="20"/>
        </w:rPr>
        <w:t>12.36.3  Alimentos congelados (batatas-fritas pré-cozidas, pizzas, salgadinhos);</w:t>
      </w:r>
    </w:p>
    <w:p>
      <w:pPr>
        <w:pStyle w:val="Normal"/>
        <w:spacing w:lineRule="auto" w:line="276" w:before="120" w:after="120"/>
        <w:ind w:left="1247" w:hanging="0"/>
        <w:jc w:val="both"/>
        <w:rPr>
          <w:rFonts w:ascii="Arial" w:hAnsi="Arial"/>
          <w:sz w:val="20"/>
          <w:szCs w:val="20"/>
        </w:rPr>
      </w:pPr>
      <w:r>
        <w:rPr>
          <w:rFonts w:cs="Arial"/>
          <w:color w:val="000000"/>
          <w:sz w:val="20"/>
          <w:szCs w:val="20"/>
        </w:rPr>
        <w:t>12.36.4  Leites, derivados e sobremesas a base de leite;</w:t>
      </w:r>
    </w:p>
    <w:p>
      <w:pPr>
        <w:pStyle w:val="Normal"/>
        <w:spacing w:lineRule="auto" w:line="276" w:before="120" w:after="120"/>
        <w:ind w:left="1247" w:hanging="0"/>
        <w:jc w:val="both"/>
        <w:rPr>
          <w:rFonts w:ascii="Arial" w:hAnsi="Arial"/>
          <w:sz w:val="20"/>
          <w:szCs w:val="20"/>
        </w:rPr>
      </w:pPr>
      <w:r>
        <w:rPr>
          <w:rFonts w:cs="Arial"/>
          <w:color w:val="000000"/>
          <w:sz w:val="20"/>
          <w:szCs w:val="20"/>
        </w:rPr>
        <w:t>12.36.5  Carnes, peixes e aves crus;</w:t>
      </w:r>
    </w:p>
    <w:p>
      <w:pPr>
        <w:pStyle w:val="Normal"/>
        <w:spacing w:lineRule="auto" w:line="276" w:before="120" w:after="120"/>
        <w:ind w:left="1247" w:hanging="0"/>
        <w:jc w:val="both"/>
        <w:rPr>
          <w:rFonts w:ascii="Arial" w:hAnsi="Arial"/>
          <w:sz w:val="20"/>
          <w:szCs w:val="20"/>
        </w:rPr>
      </w:pPr>
      <w:r>
        <w:rPr>
          <w:rFonts w:cs="Arial"/>
          <w:color w:val="000000"/>
          <w:sz w:val="20"/>
          <w:szCs w:val="20"/>
        </w:rPr>
        <w:t>12.36.6  Alimentos cozidos.</w:t>
      </w:r>
    </w:p>
    <w:p>
      <w:pPr>
        <w:pStyle w:val="Normal"/>
        <w:spacing w:lineRule="auto" w:line="276" w:before="120" w:after="120"/>
        <w:ind w:left="716" w:hanging="0"/>
        <w:jc w:val="both"/>
        <w:rPr>
          <w:rFonts w:ascii="Arial" w:hAnsi="Arial"/>
          <w:sz w:val="20"/>
          <w:szCs w:val="20"/>
        </w:rPr>
      </w:pPr>
      <w:r>
        <w:rPr>
          <w:rFonts w:cs="Arial"/>
          <w:color w:val="000000"/>
          <w:sz w:val="20"/>
          <w:szCs w:val="20"/>
        </w:rPr>
        <w:t>12.37 Produtos de limpeza devem ser armazenados separadamente dos alimentos;</w:t>
      </w:r>
    </w:p>
    <w:p>
      <w:pPr>
        <w:pStyle w:val="Normal"/>
        <w:spacing w:lineRule="auto" w:line="276" w:before="120" w:after="120"/>
        <w:ind w:left="716" w:hanging="0"/>
        <w:jc w:val="both"/>
        <w:rPr>
          <w:rFonts w:ascii="Arial" w:hAnsi="Arial"/>
          <w:sz w:val="20"/>
          <w:szCs w:val="20"/>
        </w:rPr>
      </w:pPr>
      <w:r>
        <w:rPr>
          <w:rFonts w:cs="Arial"/>
          <w:color w:val="000000"/>
          <w:sz w:val="20"/>
          <w:szCs w:val="20"/>
        </w:rPr>
        <w:t>12.38 Todas as latas amassadas ou enferrujadas, alimentos infestados ou fora do prazo de validade devem ser rejeitados;</w:t>
      </w:r>
    </w:p>
    <w:p>
      <w:pPr>
        <w:pStyle w:val="Normal"/>
        <w:spacing w:lineRule="auto" w:line="276" w:before="120" w:after="120"/>
        <w:ind w:left="716" w:hanging="0"/>
        <w:jc w:val="both"/>
        <w:rPr>
          <w:rFonts w:ascii="Arial" w:hAnsi="Arial"/>
          <w:sz w:val="20"/>
          <w:szCs w:val="20"/>
        </w:rPr>
      </w:pPr>
      <w:r>
        <w:rPr>
          <w:rFonts w:cs="Arial"/>
          <w:color w:val="000000"/>
          <w:sz w:val="20"/>
          <w:szCs w:val="20"/>
        </w:rPr>
        <w:t>12.39 Substituir as borrachas das portas dos freezers e geladeiras sempre que não estiverem em perfeito estado;</w:t>
      </w:r>
    </w:p>
    <w:p>
      <w:pPr>
        <w:pStyle w:val="Normal"/>
        <w:spacing w:lineRule="auto" w:line="276" w:before="120" w:after="120"/>
        <w:ind w:left="716" w:hanging="0"/>
        <w:jc w:val="both"/>
        <w:rPr>
          <w:rFonts w:ascii="Arial" w:hAnsi="Arial"/>
          <w:sz w:val="20"/>
          <w:szCs w:val="20"/>
        </w:rPr>
      </w:pPr>
      <w:r>
        <w:rPr>
          <w:rFonts w:cs="Arial"/>
          <w:color w:val="000000"/>
          <w:sz w:val="20"/>
          <w:szCs w:val="20"/>
        </w:rPr>
        <w:t>12.40 O pré-preparo e preparo das refeições deverá observar as seguintes condições: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12.40.1 Utilização de alimentos tratados de forma higiênica (ex: pasteurizados, fiscalizados pelas autoridades competentes, etc.);</w:t>
      </w:r>
    </w:p>
    <w:p>
      <w:pPr>
        <w:pStyle w:val="Normal"/>
        <w:spacing w:lineRule="auto" w:line="276" w:before="120" w:after="120"/>
        <w:ind w:left="1247" w:hanging="0"/>
        <w:jc w:val="both"/>
        <w:rPr>
          <w:rFonts w:ascii="Arial" w:hAnsi="Arial"/>
          <w:sz w:val="20"/>
          <w:szCs w:val="20"/>
        </w:rPr>
      </w:pPr>
      <w:r>
        <w:rPr>
          <w:rFonts w:cs="Arial"/>
          <w:color w:val="000000"/>
          <w:sz w:val="20"/>
          <w:szCs w:val="20"/>
        </w:rPr>
        <w:t>12.40.2 Cozinhar os alimentos até atingir a temperatura interna mínima de 70° C por pelo menos 15 minutos;</w:t>
      </w:r>
    </w:p>
    <w:p>
      <w:pPr>
        <w:pStyle w:val="Normal"/>
        <w:spacing w:lineRule="auto" w:line="276" w:before="120" w:after="120"/>
        <w:ind w:left="1247" w:hanging="0"/>
        <w:jc w:val="both"/>
        <w:rPr>
          <w:rFonts w:ascii="Arial" w:hAnsi="Arial"/>
          <w:sz w:val="20"/>
          <w:szCs w:val="20"/>
        </w:rPr>
      </w:pPr>
      <w:r>
        <w:rPr>
          <w:rFonts w:cs="Arial"/>
          <w:color w:val="000000"/>
          <w:sz w:val="20"/>
          <w:szCs w:val="20"/>
        </w:rPr>
        <w:t>12.40.3 Não permitir que os alimentos cozidos fiquem expostos por tempo prolongado à temperatura ambiente;</w:t>
      </w:r>
    </w:p>
    <w:p>
      <w:pPr>
        <w:pStyle w:val="Normal"/>
        <w:spacing w:lineRule="auto" w:line="276" w:before="120" w:after="120"/>
        <w:ind w:left="1247" w:hanging="0"/>
        <w:jc w:val="both"/>
        <w:rPr>
          <w:rFonts w:ascii="Arial" w:hAnsi="Arial"/>
          <w:sz w:val="20"/>
          <w:szCs w:val="20"/>
        </w:rPr>
      </w:pPr>
      <w:r>
        <w:rPr>
          <w:rFonts w:cs="Arial"/>
          <w:color w:val="000000"/>
          <w:sz w:val="20"/>
          <w:szCs w:val="20"/>
        </w:rPr>
        <w:t>12.40.4 Armazenar cuidadosamente os alimentos cozidos em condições de calor (acima de 60° C) ou de frio (abaixo de 10° C);</w:t>
      </w:r>
    </w:p>
    <w:p>
      <w:pPr>
        <w:pStyle w:val="Normal"/>
        <w:spacing w:lineRule="auto" w:line="276" w:before="120" w:after="120"/>
        <w:ind w:left="1247" w:hanging="0"/>
        <w:jc w:val="both"/>
        <w:rPr>
          <w:rFonts w:ascii="Arial" w:hAnsi="Arial"/>
          <w:sz w:val="20"/>
          <w:szCs w:val="20"/>
        </w:rPr>
      </w:pPr>
      <w:r>
        <w:rPr>
          <w:rFonts w:cs="Arial"/>
          <w:color w:val="000000"/>
          <w:sz w:val="20"/>
          <w:szCs w:val="20"/>
        </w:rPr>
        <w:t>12.40.5 Não permitir o contato entre os alimentos crus e cozidos;</w:t>
      </w:r>
    </w:p>
    <w:p>
      <w:pPr>
        <w:pStyle w:val="Normal"/>
        <w:spacing w:lineRule="auto" w:line="276" w:before="120" w:after="120"/>
        <w:ind w:left="1247" w:hanging="0"/>
        <w:jc w:val="both"/>
        <w:rPr>
          <w:rFonts w:ascii="Arial" w:hAnsi="Arial"/>
          <w:sz w:val="20"/>
          <w:szCs w:val="20"/>
        </w:rPr>
      </w:pPr>
      <w:r>
        <w:rPr>
          <w:rFonts w:cs="Arial"/>
          <w:color w:val="000000"/>
          <w:sz w:val="20"/>
          <w:szCs w:val="20"/>
        </w:rPr>
        <w:t>12.40.6 Lavar as mãos constantemente com água, sabão e manter unhas cortadas e sem esmalte;</w:t>
      </w:r>
    </w:p>
    <w:p>
      <w:pPr>
        <w:pStyle w:val="Normal"/>
        <w:spacing w:lineRule="auto" w:line="276" w:before="120" w:after="120"/>
        <w:ind w:left="1247" w:hanging="0"/>
        <w:jc w:val="both"/>
        <w:rPr>
          <w:rFonts w:ascii="Arial" w:hAnsi="Arial"/>
          <w:sz w:val="20"/>
          <w:szCs w:val="20"/>
        </w:rPr>
      </w:pPr>
      <w:r>
        <w:rPr>
          <w:rFonts w:cs="Arial"/>
          <w:color w:val="000000"/>
          <w:sz w:val="20"/>
          <w:szCs w:val="20"/>
        </w:rPr>
        <w:t>12.40.7 Desinfetar a mão após a lavagem, utilizando-se bactericida e solução de álcool;</w:t>
      </w:r>
    </w:p>
    <w:p>
      <w:pPr>
        <w:pStyle w:val="Normal"/>
        <w:spacing w:lineRule="auto" w:line="276" w:before="120" w:after="120"/>
        <w:ind w:left="1247" w:hanging="0"/>
        <w:jc w:val="both"/>
        <w:rPr>
          <w:rFonts w:ascii="Arial" w:hAnsi="Arial"/>
          <w:sz w:val="20"/>
          <w:szCs w:val="20"/>
        </w:rPr>
      </w:pPr>
      <w:r>
        <w:rPr>
          <w:rFonts w:cs="Arial"/>
          <w:color w:val="000000"/>
          <w:sz w:val="20"/>
          <w:szCs w:val="20"/>
        </w:rPr>
        <w:t>12.40.8 Utilizar sempre garfos ou pegadores na manipulação dos alimentos prontos;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12.40.9 Afastar da manipulação dos alimentos, funcionários que apresentem manchas, machucados e alergias ou estiverem doentes;</w:t>
      </w:r>
    </w:p>
    <w:p>
      <w:pPr>
        <w:pStyle w:val="Normal"/>
        <w:spacing w:lineRule="auto" w:line="276" w:before="120" w:after="120"/>
        <w:ind w:left="1247" w:hanging="0"/>
        <w:jc w:val="both"/>
        <w:rPr>
          <w:rFonts w:ascii="Arial" w:hAnsi="Arial"/>
          <w:sz w:val="20"/>
          <w:szCs w:val="20"/>
        </w:rPr>
      </w:pPr>
      <w:r>
        <w:rPr>
          <w:rFonts w:cs="Arial"/>
          <w:color w:val="000000"/>
          <w:sz w:val="20"/>
          <w:szCs w:val="20"/>
        </w:rPr>
        <w:t>12.40.10 Exigir a manutenção e limpeza de toda a estrutura física e equipamentos antes, durante e depois das preparações;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12.40.11 Manter produtos de limpeza e materiais de cozinha longe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12.40.12 Conservar os recipientes de lixo permanentemente tampados. Os funcionários devem lavar as mãos sempre que destampa-los ou removê-los;</w:t>
      </w:r>
    </w:p>
    <w:p>
      <w:pPr>
        <w:pStyle w:val="Normal"/>
        <w:spacing w:lineRule="auto" w:line="276" w:before="120" w:after="120"/>
        <w:ind w:left="1247" w:hanging="0"/>
        <w:jc w:val="both"/>
        <w:rPr>
          <w:rFonts w:ascii="Arial" w:hAnsi="Arial"/>
          <w:sz w:val="20"/>
          <w:szCs w:val="20"/>
        </w:rPr>
      </w:pPr>
      <w:r>
        <w:rPr>
          <w:rFonts w:cs="Arial"/>
          <w:color w:val="000000"/>
          <w:sz w:val="20"/>
          <w:szCs w:val="20"/>
        </w:rPr>
        <w:t>12.40.13 Evitar demasiada manipulação dos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12.40.14 Nunca apoiar as panelas no chão, caixotes, ou latões de lixo (mesmo quando vazias);</w:t>
      </w:r>
    </w:p>
    <w:p>
      <w:pPr>
        <w:pStyle w:val="Normal"/>
        <w:spacing w:lineRule="auto" w:line="276" w:before="120" w:after="120"/>
        <w:ind w:left="1247" w:hanging="0"/>
        <w:jc w:val="both"/>
        <w:rPr>
          <w:rFonts w:ascii="Arial" w:hAnsi="Arial"/>
          <w:sz w:val="20"/>
          <w:szCs w:val="20"/>
        </w:rPr>
      </w:pPr>
      <w:r>
        <w:rPr>
          <w:rFonts w:cs="Arial"/>
          <w:color w:val="000000"/>
          <w:sz w:val="20"/>
          <w:szCs w:val="20"/>
        </w:rPr>
        <w:t>12.40.15 Lavar frutas e verduras em água corrente e higienizá-las em solução de hipoclorito própria para alimentos, de acordo com as instruções do fabricante.</w:t>
      </w:r>
    </w:p>
    <w:p>
      <w:pPr>
        <w:pStyle w:val="Normal"/>
        <w:spacing w:lineRule="auto" w:line="276" w:before="120" w:after="120"/>
        <w:ind w:left="716" w:hanging="0"/>
        <w:jc w:val="both"/>
        <w:rPr>
          <w:rFonts w:ascii="Arial" w:hAnsi="Arial"/>
          <w:sz w:val="20"/>
          <w:szCs w:val="20"/>
        </w:rPr>
      </w:pPr>
      <w:r>
        <w:rPr>
          <w:rFonts w:cs="Arial"/>
          <w:color w:val="000000"/>
          <w:sz w:val="20"/>
          <w:szCs w:val="20"/>
        </w:rPr>
        <w:t>12.41 Quanto ao acondicionamento, transporte e distribuição das refeições deve observar:</w:t>
      </w:r>
    </w:p>
    <w:p>
      <w:pPr>
        <w:pStyle w:val="Normal"/>
        <w:spacing w:lineRule="auto" w:line="276" w:before="120" w:after="120"/>
        <w:ind w:left="1247" w:hanging="0"/>
        <w:jc w:val="both"/>
        <w:rPr>
          <w:rFonts w:ascii="Arial" w:hAnsi="Arial"/>
          <w:sz w:val="20"/>
          <w:szCs w:val="20"/>
        </w:rPr>
      </w:pPr>
      <w:r>
        <w:rPr>
          <w:rFonts w:cs="Arial"/>
          <w:color w:val="000000"/>
          <w:sz w:val="20"/>
          <w:szCs w:val="20"/>
        </w:rPr>
        <w:t>12.41.1  A utilização obrigatória de luvas, toucas e máscaras descartáveis pelos funcionários responsáveis pelo acondicionamento das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12.41.2 O planejamento adequado das atividades de preparo, acondicionamento em contêineres térmicos caso necessitem de transporte, de maneira a estabelecerem períodos mínimos de tempo entre as etapas, favorecendo o processo de distribuição e consumo o mais rapidamente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12.41.3 A utilização de veículos fechados para o transporte das refeições, em condições ideais de higienização, sendo vedado o transporte de outros materiais e/ou pessoas em conjunto com 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12.41.4 A não utilização de sobras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12.41.5 Evitar o transporte de saladas e preparações com molhos, maionese, etc.;</w:t>
      </w:r>
    </w:p>
    <w:p>
      <w:pPr>
        <w:pStyle w:val="Normal"/>
        <w:spacing w:lineRule="auto" w:line="276" w:before="120" w:after="120"/>
        <w:ind w:left="1247" w:hanging="0"/>
        <w:jc w:val="both"/>
        <w:rPr>
          <w:rFonts w:ascii="Arial" w:hAnsi="Arial"/>
          <w:sz w:val="20"/>
          <w:szCs w:val="20"/>
        </w:rPr>
      </w:pPr>
      <w:r>
        <w:rPr>
          <w:rFonts w:cs="Arial"/>
          <w:color w:val="000000"/>
          <w:sz w:val="20"/>
          <w:szCs w:val="20"/>
        </w:rPr>
        <w:t>12.41.6 Devem ser garantidas condições ideais de temperatura e tempo, ou seja, manutenção adequada da temperatura da embalagem até a distribuição no menor espaço de tempo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12.41.7 Retirar os alimentos do balcão térmico tão logo termine o horário de distribuição.</w:t>
      </w:r>
    </w:p>
    <w:p>
      <w:pPr>
        <w:pStyle w:val="Normal"/>
        <w:spacing w:lineRule="auto" w:line="276" w:before="120" w:after="120"/>
        <w:ind w:left="716" w:hanging="0"/>
        <w:jc w:val="both"/>
        <w:rPr>
          <w:rFonts w:ascii="Arial" w:hAnsi="Arial"/>
          <w:sz w:val="20"/>
          <w:szCs w:val="20"/>
        </w:rPr>
      </w:pPr>
      <w:r>
        <w:rPr>
          <w:rFonts w:cs="Arial"/>
          <w:color w:val="000000"/>
          <w:sz w:val="20"/>
          <w:szCs w:val="20"/>
        </w:rPr>
        <w:t>12.42 Toda saída e entrada de veículos, equipamentos da Concessionária deverão ser precedidos de identificação e registro em livro localizado na portaria do prédio.</w:t>
      </w:r>
    </w:p>
    <w:p>
      <w:pPr>
        <w:pStyle w:val="Normal"/>
        <w:spacing w:lineRule="auto" w:line="276" w:before="120" w:after="120"/>
        <w:ind w:left="716" w:hanging="0"/>
        <w:jc w:val="both"/>
        <w:rPr>
          <w:rFonts w:ascii="Arial" w:hAnsi="Arial"/>
          <w:sz w:val="20"/>
          <w:szCs w:val="20"/>
        </w:rPr>
      </w:pPr>
      <w:r>
        <w:rPr>
          <w:rFonts w:cs="Arial"/>
          <w:color w:val="000000"/>
          <w:sz w:val="20"/>
          <w:szCs w:val="20"/>
        </w:rPr>
        <w:t>12.43 Quanto à gestão ambiental, devem realizar as ações/atitudes a seguir descritas:</w:t>
      </w:r>
    </w:p>
    <w:p>
      <w:pPr>
        <w:pStyle w:val="Normal"/>
        <w:spacing w:lineRule="auto" w:line="276" w:before="120" w:after="120"/>
        <w:ind w:left="1304" w:hanging="0"/>
        <w:jc w:val="both"/>
        <w:rPr>
          <w:rFonts w:ascii="Arial" w:hAnsi="Arial"/>
          <w:sz w:val="20"/>
          <w:szCs w:val="20"/>
        </w:rPr>
      </w:pPr>
      <w:r>
        <w:rPr>
          <w:rFonts w:cs="Arial"/>
          <w:color w:val="000000"/>
          <w:sz w:val="20"/>
          <w:szCs w:val="20"/>
        </w:rPr>
        <w:t>12.43.1 Não jogar óleo de cozinha no sistema de esgoto;</w:t>
      </w:r>
    </w:p>
    <w:p>
      <w:pPr>
        <w:pStyle w:val="Normal"/>
        <w:spacing w:lineRule="auto" w:line="276" w:before="120" w:after="120"/>
        <w:ind w:left="1304" w:hanging="0"/>
        <w:jc w:val="both"/>
        <w:rPr>
          <w:rFonts w:ascii="Arial" w:hAnsi="Arial"/>
          <w:sz w:val="20"/>
          <w:szCs w:val="20"/>
        </w:rPr>
      </w:pPr>
      <w:r>
        <w:rPr>
          <w:rFonts w:cs="Arial"/>
          <w:color w:val="000000"/>
          <w:sz w:val="20"/>
          <w:szCs w:val="20"/>
        </w:rPr>
        <w:t>12.43.2 Dar preferência para aquisição de matéria-prima de empresas que sigam os princípios da responsabilidade ambiental;</w:t>
      </w:r>
    </w:p>
    <w:p>
      <w:pPr>
        <w:pStyle w:val="Normal"/>
        <w:spacing w:lineRule="auto" w:line="276" w:before="120" w:after="120"/>
        <w:ind w:left="1304" w:hanging="0"/>
        <w:jc w:val="both"/>
        <w:rPr>
          <w:rFonts w:ascii="Arial" w:hAnsi="Arial"/>
          <w:sz w:val="20"/>
          <w:szCs w:val="20"/>
        </w:rPr>
      </w:pPr>
      <w:r>
        <w:rPr>
          <w:rFonts w:cs="Arial"/>
          <w:color w:val="000000"/>
          <w:sz w:val="20"/>
          <w:szCs w:val="20"/>
        </w:rPr>
        <w:t>12.43.3 Usar eletrodomésticos com baixo consumo de energia;</w:t>
      </w:r>
    </w:p>
    <w:p>
      <w:pPr>
        <w:pStyle w:val="Normal"/>
        <w:spacing w:lineRule="auto" w:line="276" w:before="120" w:after="120"/>
        <w:ind w:left="1304" w:hanging="0"/>
        <w:jc w:val="both"/>
        <w:rPr>
          <w:rFonts w:ascii="Arial" w:hAnsi="Arial"/>
          <w:sz w:val="20"/>
          <w:szCs w:val="20"/>
        </w:rPr>
      </w:pPr>
      <w:r>
        <w:rPr>
          <w:rFonts w:cs="Arial"/>
          <w:color w:val="000000"/>
          <w:sz w:val="20"/>
          <w:szCs w:val="20"/>
        </w:rPr>
        <w:t>12.43.4 Usar de forma racional, economizando sempre que possível, a água e a elétrica;</w:t>
      </w:r>
    </w:p>
    <w:p>
      <w:pPr>
        <w:pStyle w:val="Normal"/>
        <w:spacing w:lineRule="auto" w:line="276" w:before="120" w:after="120"/>
        <w:ind w:left="1304" w:hanging="0"/>
        <w:jc w:val="both"/>
        <w:rPr>
          <w:rFonts w:ascii="Arial" w:hAnsi="Arial"/>
          <w:sz w:val="20"/>
          <w:szCs w:val="20"/>
        </w:rPr>
      </w:pPr>
      <w:r>
        <w:rPr>
          <w:rFonts w:cs="Arial"/>
          <w:color w:val="000000"/>
          <w:sz w:val="20"/>
          <w:szCs w:val="20"/>
        </w:rPr>
        <w:t>12.43.5 Evitar o uso de sacolas plásticas e de descartáveis.</w:t>
      </w:r>
    </w:p>
    <w:p>
      <w:pPr>
        <w:pStyle w:val="Normal"/>
        <w:spacing w:lineRule="auto" w:line="276" w:before="120" w:after="120"/>
        <w:ind w:left="716" w:hanging="0"/>
        <w:jc w:val="both"/>
        <w:rPr>
          <w:rFonts w:ascii="Arial" w:hAnsi="Arial"/>
          <w:sz w:val="20"/>
          <w:szCs w:val="20"/>
        </w:rPr>
      </w:pPr>
      <w:r>
        <w:rPr>
          <w:rFonts w:cs="Arial"/>
          <w:color w:val="000000"/>
          <w:sz w:val="20"/>
          <w:szCs w:val="20"/>
        </w:rPr>
        <w:t>12.44 Durante a prestação do serviço de restaurante/cantina, a Concessionária deverá possuir Alvará atualizado da Vigilância Sanitária, bem como seguir as Boas Práticas de Fabricação de Alimentos, de acordo com a legislação vigente (RDC 216/2014).</w:t>
      </w:r>
    </w:p>
    <w:p>
      <w:pPr>
        <w:pStyle w:val="Nivel1"/>
        <w:ind w:left="227" w:hanging="0"/>
        <w:rPr>
          <w:rFonts w:ascii="Arial" w:hAnsi="Arial"/>
          <w:sz w:val="20"/>
          <w:szCs w:val="20"/>
        </w:rPr>
      </w:pPr>
      <w:r>
        <w:rPr>
          <w:rFonts w:cs="Arial"/>
          <w:sz w:val="20"/>
          <w:szCs w:val="20"/>
        </w:rPr>
        <w:t xml:space="preserve">13. DA SUBCONTRATAÇÃO  </w:t>
      </w:r>
    </w:p>
    <w:p>
      <w:pPr>
        <w:pStyle w:val="Nivel1"/>
        <w:spacing w:before="195" w:after="0"/>
        <w:ind w:left="283" w:hanging="0"/>
        <w:rPr>
          <w:rFonts w:ascii="Arial" w:hAnsi="Arial"/>
          <w:sz w:val="20"/>
          <w:szCs w:val="20"/>
        </w:rPr>
      </w:pPr>
      <w:r>
        <w:rPr>
          <w:rFonts w:cs="Arial"/>
          <w:b w:val="false"/>
          <w:sz w:val="20"/>
          <w:szCs w:val="20"/>
        </w:rPr>
        <w:t>13.1 Não será admitida a subcontratação do objeto licitatório.</w:t>
      </w:r>
    </w:p>
    <w:p>
      <w:pPr>
        <w:pStyle w:val="Normal"/>
        <w:keepNext w:val="true"/>
        <w:keepLines/>
        <w:tabs>
          <w:tab w:val="clear" w:pos="708"/>
          <w:tab w:val="left" w:pos="0" w:leader="none"/>
        </w:tabs>
        <w:spacing w:lineRule="auto" w:line="276" w:before="480" w:after="0"/>
        <w:ind w:left="227" w:hanging="0"/>
        <w:jc w:val="both"/>
        <w:rPr>
          <w:rFonts w:ascii="Arial" w:hAnsi="Arial"/>
          <w:sz w:val="20"/>
          <w:szCs w:val="20"/>
        </w:rPr>
      </w:pPr>
      <w:r>
        <w:rPr>
          <w:rFonts w:cs="Arial"/>
          <w:b/>
          <w:iCs/>
          <w:color w:val="000000"/>
          <w:sz w:val="20"/>
          <w:szCs w:val="20"/>
        </w:rPr>
        <w:t>14. ALTERAÇÃO SUBJETIVA</w:t>
      </w:r>
    </w:p>
    <w:p>
      <w:pPr>
        <w:pStyle w:val="Normal"/>
        <w:spacing w:lineRule="auto" w:line="276" w:before="120" w:after="120"/>
        <w:ind w:left="425" w:hanging="0"/>
        <w:jc w:val="both"/>
        <w:rPr>
          <w:rFonts w:ascii="Arial" w:hAnsi="Arial"/>
          <w:sz w:val="20"/>
          <w:szCs w:val="20"/>
        </w:rPr>
      </w:pPr>
      <w:r>
        <w:rPr>
          <w:rFonts w:cs="Arial"/>
          <w:sz w:val="20"/>
          <w:szCs w:val="20"/>
          <w:lang w:eastAsia="en-US"/>
        </w:rPr>
        <w:t>14.1 É admissível a fusão, cisão ou incorporação da CONCESSIONÁRIA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spacing w:lineRule="auto" w:line="276" w:before="480" w:after="0"/>
        <w:ind w:left="227" w:hanging="0"/>
        <w:jc w:val="both"/>
        <w:rPr>
          <w:rFonts w:ascii="Arial" w:hAnsi="Arial"/>
          <w:sz w:val="20"/>
          <w:szCs w:val="20"/>
        </w:rPr>
      </w:pPr>
      <w:r>
        <w:rPr>
          <w:rFonts w:cs="Arial"/>
          <w:b/>
          <w:color w:val="000000"/>
          <w:sz w:val="20"/>
          <w:szCs w:val="20"/>
          <w:lang w:eastAsia="en-US"/>
        </w:rPr>
        <w:t xml:space="preserve">15. CONTROLE E FISCALIZAÇÃO DA EXECUÇÃO </w:t>
      </w:r>
    </w:p>
    <w:p>
      <w:pPr>
        <w:pStyle w:val="Normal"/>
        <w:spacing w:lineRule="auto" w:line="276" w:before="120" w:after="120"/>
        <w:ind w:left="737" w:hanging="0"/>
        <w:jc w:val="both"/>
        <w:rPr>
          <w:rFonts w:ascii="Arial" w:hAnsi="Arial"/>
          <w:sz w:val="20"/>
          <w:szCs w:val="20"/>
        </w:rPr>
      </w:pPr>
      <w:r>
        <w:rPr>
          <w:rFonts w:cs="Arial"/>
          <w:b/>
          <w:color w:val="000000"/>
          <w:sz w:val="20"/>
          <w:szCs w:val="20"/>
        </w:rPr>
        <w:t>15.1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15.2 O representante da </w:t>
      </w:r>
      <w:r>
        <w:rPr>
          <w:rFonts w:cs="Arial"/>
          <w:b/>
          <w:color w:val="000000"/>
          <w:sz w:val="20"/>
          <w:szCs w:val="20"/>
          <w:u w:val="single"/>
        </w:rPr>
        <w:t>Concedente</w:t>
      </w:r>
      <w:r>
        <w:rPr>
          <w:rFonts w:cs="Arial"/>
          <w:color w:val="000000"/>
          <w:sz w:val="20"/>
          <w:szCs w:val="20"/>
        </w:rPr>
        <w:t xml:space="preserve"> deverá promover o registro das ocorrências verificadas, adotando as providências necessárias ao fiel cumprimento das cláusulas contratuais, conforme o disposto nos §§ 1º e 2º do art. 67 da Lei nº 8.666, de 1993.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15.3 O descumprimento total ou parcial das obrigações e responsabilidades assumidas pela </w:t>
      </w:r>
      <w:r>
        <w:rPr>
          <w:rFonts w:cs="Arial"/>
          <w:b/>
          <w:color w:val="000000"/>
          <w:sz w:val="20"/>
          <w:szCs w:val="20"/>
          <w:u w:val="single"/>
        </w:rPr>
        <w:t xml:space="preserve">Concessionária </w:t>
      </w:r>
      <w:r>
        <w:rPr>
          <w:rFonts w:cs="Arial"/>
          <w:color w:val="000000"/>
          <w:sz w:val="20"/>
          <w:szCs w:val="20"/>
        </w:rPr>
        <w:t xml:space="preserve">ensejará a aplicação de sanções administrativas, previstas neste Termo de Referência e na legislação vigente, podendo culminar em rescisão contratual, conforme disposto nos artigos 77 e 87 da Lei nº 8.666, de 1993.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15.4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15.5 A fiscalização dos contratos avaliará constantemente a execução do objeto.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15.6 Durante a execução do objeto, o fiscal deverá monitorar constantemente o nível de qualidade dos serviços para evitar a sua degeneração, devendo intervir para requerer à </w:t>
      </w:r>
      <w:r>
        <w:rPr>
          <w:rFonts w:cs="Arial"/>
          <w:b/>
          <w:color w:val="000000"/>
          <w:sz w:val="20"/>
          <w:szCs w:val="20"/>
          <w:u w:val="single"/>
        </w:rPr>
        <w:t xml:space="preserve">CONCESSIONÁRIA </w:t>
      </w:r>
      <w:r>
        <w:rPr>
          <w:rFonts w:cs="Arial"/>
          <w:color w:val="000000"/>
          <w:sz w:val="20"/>
          <w:szCs w:val="20"/>
        </w:rPr>
        <w:t xml:space="preserve">a correção das faltas, falhas e irregularidades constatadas.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15.7 O fiscal deverá apresentar ao preposto da </w:t>
      </w:r>
      <w:r>
        <w:rPr>
          <w:rFonts w:cs="Arial"/>
          <w:b/>
          <w:color w:val="000000"/>
          <w:sz w:val="20"/>
          <w:szCs w:val="20"/>
          <w:u w:val="single"/>
        </w:rPr>
        <w:t xml:space="preserve">CONCESSIONÁRIA </w:t>
      </w:r>
      <w:r>
        <w:rPr>
          <w:rFonts w:cs="Arial"/>
          <w:color w:val="000000"/>
          <w:sz w:val="20"/>
          <w:szCs w:val="20"/>
        </w:rPr>
        <w:t xml:space="preserve">a avaliação da execução do objeto ou, se for o caso, a avaliação de desempenho e qualidade da prestação dos serviços realizada.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15.8 Em hipótese alguma, será admitido que a própria </w:t>
      </w:r>
      <w:r>
        <w:rPr>
          <w:rFonts w:cs="Arial"/>
          <w:b/>
          <w:color w:val="000000"/>
          <w:sz w:val="20"/>
          <w:szCs w:val="20"/>
          <w:u w:val="single"/>
        </w:rPr>
        <w:t xml:space="preserve">CONCESSIONÁRIA </w:t>
      </w:r>
      <w:r>
        <w:rPr>
          <w:rFonts w:cs="Arial"/>
          <w:color w:val="000000"/>
          <w:sz w:val="20"/>
          <w:szCs w:val="20"/>
        </w:rPr>
        <w:t xml:space="preserve">materialize a avaliação de desempenho e qualidade da prestação dos serviços realizada.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15.9 A </w:t>
      </w:r>
      <w:r>
        <w:rPr>
          <w:rFonts w:cs="Arial"/>
          <w:b/>
          <w:color w:val="000000"/>
          <w:sz w:val="20"/>
          <w:szCs w:val="20"/>
          <w:u w:val="single"/>
        </w:rPr>
        <w:t>CONCESSIONÁRIA</w:t>
      </w:r>
      <w:r>
        <w:rPr>
          <w:rFonts w:cs="Arial"/>
          <w:color w:val="000000"/>
          <w:sz w:val="20"/>
          <w:szCs w:val="20"/>
        </w:rPr>
        <w:t xml:space="preserve"> poderá apresentar justificativa para a prestação do serviço com menor nível de conformidade, que poderá ser aceita pelo fiscal, desde que comprovada a excepcionalidade da ocorrência, resultante exclusivamente de fatores imprevisíveis e alheios ao controle do prestador.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15.10 Na hipótese de comportamento contínuo de desconformidade da prestação do serviço em relação à qualidade exigida, bem como quando esta ultrapassar os níveis mínimos toleráveis previstos nos indicadores, além dos fatores redutores, devem ser aplicadas as sanções à </w:t>
      </w:r>
      <w:r>
        <w:rPr>
          <w:rFonts w:cs="Arial"/>
          <w:b/>
          <w:color w:val="000000"/>
          <w:sz w:val="20"/>
          <w:szCs w:val="20"/>
          <w:u w:val="single"/>
        </w:rPr>
        <w:t>CONCESSIONÁRIA</w:t>
      </w:r>
      <w:r>
        <w:rPr>
          <w:rFonts w:cs="Arial"/>
          <w:color w:val="000000"/>
          <w:sz w:val="20"/>
          <w:szCs w:val="20"/>
        </w:rPr>
        <w:t xml:space="preserve"> de acordo com as regras previstas neste Termo de Referência.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15.11 O fiscal poderá realizar avaliação diária, semanal ou mensal, desde que o período escolhido seja suficiente para avaliar ou, se for o caso, aferir o desempenho e qualidade da prestação dos serviços. </w:t>
      </w:r>
    </w:p>
    <w:p>
      <w:pPr>
        <w:pStyle w:val="Normal"/>
        <w:spacing w:lineRule="auto" w:line="276" w:before="120" w:after="120"/>
        <w:ind w:left="737" w:hanging="0"/>
        <w:jc w:val="both"/>
        <w:rPr>
          <w:rFonts w:ascii="Arial" w:hAnsi="Arial"/>
          <w:sz w:val="20"/>
          <w:szCs w:val="20"/>
        </w:rPr>
      </w:pPr>
      <w:r>
        <w:rPr>
          <w:rFonts w:cs="Arial"/>
          <w:b/>
          <w:color w:val="000000"/>
          <w:sz w:val="20"/>
          <w:szCs w:val="20"/>
        </w:rPr>
        <w:t>15.12 (Suprimido)</w:t>
      </w:r>
    </w:p>
    <w:p>
      <w:pPr>
        <w:pStyle w:val="Normal"/>
        <w:spacing w:lineRule="auto" w:line="276" w:before="120" w:after="120"/>
        <w:ind w:left="737" w:hanging="0"/>
        <w:jc w:val="both"/>
        <w:rPr>
          <w:rFonts w:ascii="Arial" w:hAnsi="Arial"/>
          <w:sz w:val="20"/>
          <w:szCs w:val="20"/>
        </w:rPr>
      </w:pPr>
      <w:r>
        <w:rPr>
          <w:rFonts w:cs="Arial"/>
          <w:color w:val="000000"/>
          <w:sz w:val="20"/>
          <w:szCs w:val="20"/>
        </w:rPr>
        <w:t>15.13 As disposições previstas nesta cláusula não excluem o disposto no Anexo VIII da Instrução Normativa SEGES/MP nº 05, de 2017, aplicável no que for pertinente à contratação.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15.14 A fiscalização de que trata esta cláusula não exclui nem reduz a responsabilidade da </w:t>
      </w:r>
      <w:r>
        <w:rPr>
          <w:rFonts w:cs="Arial"/>
          <w:b/>
          <w:color w:val="000000"/>
          <w:sz w:val="20"/>
          <w:szCs w:val="20"/>
          <w:u w:val="single"/>
        </w:rPr>
        <w:t>CONCESSIONÁRIA</w:t>
      </w:r>
      <w:r>
        <w:rPr>
          <w:rFonts w:cs="Arial"/>
          <w:color w:val="000000"/>
          <w:sz w:val="20"/>
          <w:szCs w:val="2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Pr>
          <w:rFonts w:cs="Arial"/>
          <w:b/>
          <w:color w:val="000000"/>
          <w:sz w:val="20"/>
          <w:szCs w:val="20"/>
          <w:u w:val="single"/>
        </w:rPr>
        <w:t>CONCEDENTE</w:t>
      </w:r>
      <w:r>
        <w:rPr>
          <w:rFonts w:cs="Arial"/>
          <w:b/>
          <w:color w:val="000000"/>
          <w:sz w:val="20"/>
          <w:szCs w:val="20"/>
        </w:rPr>
        <w:t xml:space="preserve"> </w:t>
      </w:r>
      <w:r>
        <w:rPr>
          <w:rFonts w:cs="Arial"/>
          <w:color w:val="000000"/>
          <w:sz w:val="20"/>
          <w:szCs w:val="20"/>
        </w:rPr>
        <w:t xml:space="preserve">ou de seus agentes, gestores e fiscais, de conformidade com o art. 70 da Lei nº 8.666, de 1993. </w:t>
      </w:r>
      <w:r>
        <w:rPr>
          <w:rFonts w:cs="Arial"/>
          <w:b/>
          <w:color w:val="000000"/>
          <w:sz w:val="20"/>
          <w:szCs w:val="20"/>
        </w:rPr>
        <w:t xml:space="preserve">(alterado) </w:t>
      </w:r>
    </w:p>
    <w:p>
      <w:pPr>
        <w:pStyle w:val="Normal"/>
        <w:widowControl w:val="false"/>
        <w:tabs>
          <w:tab w:val="clear" w:pos="708"/>
          <w:tab w:val="left" w:pos="0" w:leader="none"/>
        </w:tabs>
        <w:spacing w:lineRule="auto" w:line="360"/>
        <w:jc w:val="both"/>
        <w:rPr>
          <w:rFonts w:ascii="Arial" w:hAnsi="Arial"/>
          <w:sz w:val="20"/>
          <w:szCs w:val="20"/>
        </w:rPr>
      </w:pPr>
      <w:r>
        <w:rPr>
          <w:b/>
          <w:bCs/>
          <w:color w:val="000000"/>
          <w:sz w:val="20"/>
          <w:szCs w:val="20"/>
          <w:shd w:fill="FFFFFF" w:val="clear"/>
        </w:rPr>
        <w:t xml:space="preserve">16. </w:t>
      </w:r>
      <w:r>
        <w:rPr>
          <w:b/>
          <w:bCs/>
          <w:color w:val="000000"/>
          <w:sz w:val="20"/>
          <w:szCs w:val="20"/>
        </w:rPr>
        <w:t xml:space="preserve">CRITÉRIOS DE AFERIÇÃO DOS SERVIÇOS PRESTADO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Liberation Serif"/>
          <w:color w:val="000000"/>
          <w:sz w:val="20"/>
          <w:szCs w:val="20"/>
          <w:shd w:fill="FFFFFF" w:val="clear"/>
        </w:rPr>
        <w:t xml:space="preserve">16.1. </w:t>
      </w:r>
      <w:r>
        <w:rPr>
          <w:rFonts w:eastAsia="Liberation Serif" w:cs="Arial"/>
          <w:color w:val="000000"/>
          <w:sz w:val="20"/>
          <w:szCs w:val="20"/>
          <w:shd w:fill="FFFFFF" w:val="clear"/>
          <w:lang w:eastAsia="en-US"/>
        </w:rPr>
        <w:t xml:space="preserve">A fiscalização técnica dos contratos avaliará constantemente a execução do objeto e utilizará o CHECK LIST, conforme modelo previsto em Anexo, ou outro instrumento substituto para aferição da qualidade da prestação dos serviços, cabendo a análise dos seguintes pontos: </w:t>
      </w:r>
    </w:p>
    <w:p>
      <w:pPr>
        <w:pStyle w:val="Normal"/>
        <w:widowControl w:val="false"/>
        <w:spacing w:lineRule="auto" w:line="360"/>
        <w:ind w:left="1701" w:hanging="0"/>
        <w:rPr>
          <w:rFonts w:ascii="Arial" w:hAnsi="Arial"/>
          <w:sz w:val="20"/>
          <w:szCs w:val="20"/>
        </w:rPr>
      </w:pPr>
      <w:r>
        <w:rPr>
          <w:color w:val="000000"/>
          <w:sz w:val="20"/>
          <w:szCs w:val="20"/>
        </w:rPr>
        <w:t xml:space="preserve">a)Se a concessão não produz resultados, deixa de executar as obrigações, ou não executar com a qualidade mínima exigida as atividades concedidas; ou </w:t>
      </w:r>
    </w:p>
    <w:p>
      <w:pPr>
        <w:pStyle w:val="Normal"/>
        <w:widowControl w:val="false"/>
        <w:tabs>
          <w:tab w:val="clear" w:pos="708"/>
          <w:tab w:val="left" w:pos="0" w:leader="none"/>
        </w:tabs>
        <w:spacing w:lineRule="auto" w:line="360"/>
        <w:ind w:left="1701" w:hanging="0"/>
        <w:jc w:val="both"/>
        <w:rPr>
          <w:rFonts w:ascii="Arial" w:hAnsi="Arial"/>
          <w:sz w:val="20"/>
          <w:szCs w:val="20"/>
        </w:rPr>
      </w:pPr>
      <w:r>
        <w:rPr>
          <w:color w:val="000000"/>
          <w:sz w:val="20"/>
          <w:szCs w:val="20"/>
          <w:shd w:fill="FFFFFF" w:val="clear"/>
        </w:rPr>
        <w:t xml:space="preserve">b) Não utiliza os materiais e recursos humanos exigidos para a execução do serviço, ou utilizá-los com qualidade ou quantidade inferior à demandada.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Arial"/>
          <w:color w:val="000000"/>
          <w:sz w:val="20"/>
          <w:szCs w:val="20"/>
          <w:shd w:fill="FFFFFF" w:val="clear"/>
          <w:lang w:eastAsia="en-US"/>
        </w:rPr>
        <w:t xml:space="preserve">16.2. O questionário poderá ser aplicado na forma digital (EX: usando ferramentas do SUAP) ou presencial, desde que seja utilizado uma amostragem razoável. </w:t>
      </w:r>
    </w:p>
    <w:p>
      <w:pPr>
        <w:pStyle w:val="Normal"/>
        <w:widowControl w:val="false"/>
        <w:tabs>
          <w:tab w:val="clear" w:pos="708"/>
          <w:tab w:val="left" w:pos="0" w:leader="none"/>
        </w:tabs>
        <w:jc w:val="both"/>
        <w:rPr>
          <w:rFonts w:ascii="Arial" w:hAnsi="Arial" w:eastAsia="Liberation Serif" w:cs="Liberation Serif"/>
          <w:b/>
          <w:b/>
          <w:color w:val="000000"/>
          <w:sz w:val="20"/>
          <w:szCs w:val="20"/>
          <w:shd w:fill="FFFFFF" w:val="clear"/>
        </w:rPr>
      </w:pPr>
      <w:r>
        <w:rPr>
          <w:rFonts w:eastAsia="Liberation Serif" w:cs="Liberation Serif"/>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b/>
          <w:color w:val="000000"/>
          <w:sz w:val="20"/>
          <w:szCs w:val="20"/>
          <w:shd w:fill="FFFFFF" w:val="clear"/>
        </w:rPr>
        <w:t>17. DO PAGAMENTO</w:t>
      </w:r>
    </w:p>
    <w:p>
      <w:pPr>
        <w:pStyle w:val="Normal"/>
        <w:widowControl w:val="false"/>
        <w:tabs>
          <w:tab w:val="clear" w:pos="708"/>
          <w:tab w:val="left" w:pos="0" w:leader="none"/>
        </w:tabs>
        <w:spacing w:lineRule="auto" w:line="360"/>
        <w:jc w:val="both"/>
        <w:rPr>
          <w:b/>
          <w:b/>
          <w:bCs/>
          <w:u w:val="single"/>
        </w:rPr>
      </w:pPr>
      <w:r>
        <w:rPr>
          <w:b/>
          <w:bCs/>
          <w:color w:val="000000"/>
          <w:sz w:val="20"/>
          <w:szCs w:val="20"/>
          <w:u w:val="single"/>
          <w:shd w:fill="FFFFFF" w:val="clear"/>
        </w:rPr>
        <w:t xml:space="preserve">17.1. </w:t>
      </w:r>
      <w:r>
        <w:rPr>
          <w:rFonts w:cs="Arial"/>
          <w:b/>
          <w:bCs/>
          <w:color w:val="000000"/>
          <w:sz w:val="20"/>
          <w:szCs w:val="20"/>
          <w:u w:val="single"/>
          <w:shd w:fill="FFFFFF" w:val="clear"/>
        </w:rPr>
        <w:t>O pagamento será efetuado pela Concessionária até o</w:t>
      </w:r>
      <w:r>
        <w:rPr>
          <w:rFonts w:eastAsia="Arial" w:cs="Arial"/>
          <w:b/>
          <w:bCs/>
          <w:color w:val="000000"/>
          <w:sz w:val="20"/>
          <w:szCs w:val="20"/>
          <w:u w:val="single"/>
          <w:shd w:fill="FFFFFF" w:val="clear"/>
        </w:rPr>
        <w:t xml:space="preserve"> 5º</w:t>
      </w:r>
      <w:r>
        <w:rPr>
          <w:rFonts w:eastAsia="Arial" w:cs="Arial"/>
          <w:b/>
          <w:bCs/>
          <w:i/>
          <w:iCs/>
          <w:color w:val="000000"/>
          <w:sz w:val="20"/>
          <w:szCs w:val="20"/>
          <w:u w:val="single"/>
          <w:shd w:fill="FFFFFF" w:val="clear"/>
        </w:rPr>
        <w:t xml:space="preserve"> </w:t>
      </w:r>
      <w:r>
        <w:rPr>
          <w:rFonts w:eastAsia="Arial" w:cs="Arial"/>
          <w:b/>
          <w:bCs/>
          <w:color w:val="000000"/>
          <w:sz w:val="20"/>
          <w:szCs w:val="20"/>
          <w:u w:val="single"/>
          <w:shd w:fill="FFFFFF" w:val="clear"/>
        </w:rPr>
        <w:t xml:space="preserve">(quinto) </w:t>
      </w:r>
      <w:r>
        <w:rPr>
          <w:rFonts w:cs="Arial"/>
          <w:b/>
          <w:bCs/>
          <w:color w:val="000000"/>
          <w:sz w:val="20"/>
          <w:szCs w:val="20"/>
          <w:u w:val="single"/>
          <w:shd w:fill="FFFFFF" w:val="clear"/>
        </w:rPr>
        <w:t xml:space="preserve">dia útil do mês subsequente a prestação do serviço. </w:t>
      </w:r>
    </w:p>
    <w:p>
      <w:pPr>
        <w:pStyle w:val="Normal"/>
        <w:widowControl w:val="false"/>
        <w:tabs>
          <w:tab w:val="clear" w:pos="708"/>
          <w:tab w:val="left" w:pos="0" w:leader="none"/>
        </w:tabs>
        <w:spacing w:lineRule="auto" w:line="360"/>
        <w:jc w:val="both"/>
        <w:rPr>
          <w:b/>
          <w:b/>
          <w:bCs/>
          <w:u w:val="single"/>
        </w:rPr>
      </w:pPr>
      <w:r>
        <w:rPr>
          <w:b/>
          <w:bCs/>
          <w:color w:val="000000"/>
          <w:sz w:val="20"/>
          <w:szCs w:val="20"/>
          <w:u w:val="single"/>
          <w:shd w:fill="FFFFFF" w:val="clear"/>
        </w:rPr>
        <w:t xml:space="preserve">17.2. O Boleto da GRU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17.2.1. Constatando-se, junto ao SICAF, a situação de irregularidade do fornecedor contratado, deverão ser tomadas as providências previstas no do art. 31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17.3.</w:t>
      </w:r>
      <w:r>
        <w:rPr>
          <w:b/>
          <w:bCs/>
          <w:color w:val="000000"/>
          <w:sz w:val="20"/>
          <w:szCs w:val="20"/>
          <w:shd w:fill="FFFFFF" w:val="clear"/>
        </w:rPr>
        <w:t xml:space="preserve"> </w:t>
      </w:r>
      <w:r>
        <w:rPr>
          <w:bCs/>
          <w:color w:val="000000"/>
          <w:sz w:val="20"/>
          <w:szCs w:val="20"/>
          <w:shd w:fill="FFFFFF" w:val="clear"/>
        </w:rPr>
        <w:t xml:space="preserve">Havendo erro na apresentação do </w:t>
      </w:r>
      <w:r>
        <w:rPr>
          <w:color w:val="000000"/>
          <w:sz w:val="20"/>
          <w:szCs w:val="20"/>
          <w:shd w:fill="FFFFFF" w:val="clear"/>
        </w:rPr>
        <w:t xml:space="preserve">boleto da GRU, </w:t>
      </w:r>
      <w:r>
        <w:rPr>
          <w:bCs/>
          <w:color w:val="000000"/>
          <w:sz w:val="20"/>
          <w:szCs w:val="20"/>
          <w:shd w:fill="FFFFFF" w:val="clear"/>
        </w:rPr>
        <w:t xml:space="preserve">ou circunstância que impeça a liquidação da despesa, o pagamento ficará sobrestado até que a </w:t>
      </w:r>
      <w:r>
        <w:rPr>
          <w:color w:val="000000"/>
          <w:sz w:val="20"/>
          <w:szCs w:val="20"/>
          <w:shd w:fill="FFFFFF" w:val="clear"/>
        </w:rPr>
        <w:t>Concedente</w:t>
      </w:r>
      <w:r>
        <w:rPr>
          <w:bCs/>
          <w:color w:val="000000"/>
          <w:sz w:val="20"/>
          <w:szCs w:val="20"/>
          <w:shd w:fill="FFFFFF" w:val="clear"/>
        </w:rPr>
        <w:t xml:space="preserve"> providencie as medidas saneadoras. Nesta hipótese, o prazo para pagamento iniciar-se-á após a comprovação da regularização da situação, não acarretando qualquer ônus para a </w:t>
      </w:r>
      <w:r>
        <w:rPr>
          <w:rFonts w:cs="Times New Roman"/>
          <w:color w:val="000000"/>
          <w:sz w:val="20"/>
          <w:szCs w:val="20"/>
          <w:shd w:fill="FFFFFF" w:val="clear"/>
        </w:rPr>
        <w:t>Concessionária</w:t>
      </w:r>
      <w:r>
        <w:rPr>
          <w:color w:val="000000"/>
          <w:sz w:val="20"/>
          <w:szCs w:val="20"/>
          <w:shd w:fill="FFFFFF" w:val="clear"/>
        </w:rPr>
        <w:t xml:space="preserve">; </w:t>
      </w:r>
    </w:p>
    <w:p>
      <w:pPr>
        <w:pStyle w:val="Normal"/>
        <w:widowControl w:val="false"/>
        <w:tabs>
          <w:tab w:val="clear" w:pos="708"/>
          <w:tab w:val="left" w:pos="0" w:leader="none"/>
        </w:tabs>
        <w:spacing w:lineRule="auto" w:line="360"/>
        <w:jc w:val="both"/>
        <w:rPr>
          <w:rFonts w:ascii="Arial" w:hAnsi="Arial"/>
          <w:sz w:val="20"/>
          <w:szCs w:val="20"/>
        </w:rPr>
      </w:pPr>
      <w:r>
        <w:rPr>
          <w:bCs/>
          <w:color w:val="000000"/>
          <w:sz w:val="20"/>
          <w:szCs w:val="20"/>
          <w:shd w:fill="FFFFFF" w:val="clear"/>
        </w:rPr>
        <w:t>17.4. Será considerada data do pagamento o dia em que constar como emitida a ordem bancária para pagamento.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17.5. </w:t>
      </w:r>
      <w:r>
        <w:rPr>
          <w:rFonts w:cs="Arial"/>
          <w:color w:val="000000"/>
          <w:sz w:val="20"/>
          <w:szCs w:val="20"/>
          <w:shd w:fill="FFFFFF" w:val="clear"/>
          <w:lang w:eastAsia="en-US"/>
        </w:rPr>
        <w:t>Constatando-se, junto ao SICAF, a situação de irregularidade da CONCESSIONÁRIA, será providenciada sua notificação, por escrito, para que, no prazo de 5 (cinco) dias úteis, regularize sua situação ou, no mesmo prazo, apresente sua defesa. O prazo poderá ser prorrogado uma vez, por igual período, a critério da CONCEDENTE.</w:t>
      </w:r>
    </w:p>
    <w:p>
      <w:pPr>
        <w:pStyle w:val="Normal"/>
        <w:widowControl w:val="false"/>
        <w:tabs>
          <w:tab w:val="clear" w:pos="708"/>
          <w:tab w:val="left" w:pos="0" w:leader="none"/>
        </w:tabs>
        <w:spacing w:lineRule="auto" w:line="360"/>
        <w:jc w:val="both"/>
        <w:rPr>
          <w:rFonts w:ascii="Arial" w:hAnsi="Arial"/>
          <w:sz w:val="20"/>
          <w:szCs w:val="20"/>
        </w:rPr>
      </w:pPr>
      <w:r>
        <w:rPr>
          <w:rFonts w:cs="Arial"/>
          <w:color w:val="000000"/>
          <w:sz w:val="20"/>
          <w:szCs w:val="20"/>
          <w:shd w:fill="FFFFFF" w:val="clear"/>
          <w:lang w:eastAsia="en-US"/>
        </w:rPr>
        <w:t xml:space="preserve">17.6. </w:t>
      </w:r>
      <w:r>
        <w:rPr>
          <w:rFonts w:cs="Times New Roman"/>
          <w:color w:val="000000"/>
          <w:sz w:val="20"/>
          <w:szCs w:val="20"/>
          <w:shd w:fill="FFFFFF" w:val="clear"/>
          <w:lang w:eastAsia="en-US"/>
        </w:rPr>
        <w:t xml:space="preserve">Não havendo regularização ou sendo a defesa considerada improcedente, a Concedente deverá comunicar aos órgãos responsáveis pela fiscalização da regularidade fiscal quanto à inadimplência da CONCESSIONARIA, bem como quanto à existência de pagamento a ser efetuado, para que sejam acionados os meios pertinentes e necessários para garantir o recebimento de seus créditos.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17.7. Persistindo a irregularidade, a Concedente deverá adotar as medidas necessárias à rescisão contratual nos autos do processo administrativo correspondente, assegurada à CONCESSIONÁRIA a ampla defesa.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17.8.</w:t>
      </w:r>
      <w:r>
        <w:rPr>
          <w:rFonts w:cs="Times New Roman"/>
          <w:b/>
          <w:bCs/>
          <w:color w:val="000000"/>
          <w:sz w:val="20"/>
          <w:szCs w:val="20"/>
          <w:shd w:fill="FFFFFF" w:val="clear"/>
          <w:lang w:eastAsia="en-US"/>
        </w:rPr>
        <w:t xml:space="preserve"> </w:t>
      </w:r>
      <w:r>
        <w:rPr>
          <w:rFonts w:cs="Times New Roman"/>
          <w:bCs/>
          <w:color w:val="000000"/>
          <w:sz w:val="20"/>
          <w:szCs w:val="20"/>
          <w:shd w:fill="FFFFFF" w:val="clear"/>
          <w:lang w:eastAsia="en-US"/>
        </w:rPr>
        <w:t xml:space="preserve">Havendo a efetiva execução do objeto, os pagamentos serão realizados normalmente, até que se decida pela rescisão do contrato, caso a </w:t>
      </w:r>
      <w:r>
        <w:rPr>
          <w:rFonts w:cs="Times New Roman"/>
          <w:color w:val="000000"/>
          <w:sz w:val="20"/>
          <w:szCs w:val="20"/>
          <w:shd w:fill="FFFFFF" w:val="clear"/>
          <w:lang w:eastAsia="en-US"/>
        </w:rPr>
        <w:t>Concessionária</w:t>
      </w:r>
      <w:r>
        <w:rPr>
          <w:rFonts w:cs="Times New Roman"/>
          <w:bCs/>
          <w:color w:val="000000"/>
          <w:sz w:val="20"/>
          <w:szCs w:val="20"/>
          <w:shd w:fill="FFFFFF" w:val="clear"/>
          <w:lang w:eastAsia="en-US"/>
        </w:rPr>
        <w:t xml:space="preserve"> não regularize sua situação junto ao SICAF.</w:t>
      </w:r>
      <w:r>
        <w:rPr>
          <w:rFonts w:cs="Times New Roman"/>
          <w:b/>
          <w:bCs/>
          <w:color w:val="000000"/>
          <w:sz w:val="20"/>
          <w:szCs w:val="20"/>
          <w:shd w:fill="FFFFFF" w:val="clear"/>
          <w:lang w:eastAsia="en-US"/>
        </w:rPr>
        <w:t xml:space="preserve">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cs="Times New Roman"/>
          <w:bCs/>
          <w:color w:val="000000"/>
          <w:sz w:val="20"/>
          <w:szCs w:val="20"/>
          <w:shd w:fill="FFFFFF" w:val="clear"/>
        </w:rPr>
        <w:t>17.8.1. Será rescindido o contrato em execução com a</w:t>
      </w:r>
      <w:r>
        <w:rPr>
          <w:rFonts w:cs="Times New Roman"/>
          <w:color w:val="000000"/>
          <w:sz w:val="20"/>
          <w:szCs w:val="20"/>
          <w:shd w:fill="FFFFFF" w:val="clear"/>
        </w:rPr>
        <w:t xml:space="preserve"> Concessionária </w:t>
      </w:r>
      <w:r>
        <w:rPr>
          <w:rFonts w:cs="Times New Roman"/>
          <w:bCs/>
          <w:color w:val="000000"/>
          <w:sz w:val="20"/>
          <w:szCs w:val="20"/>
          <w:shd w:fill="FFFFFF" w:val="clear"/>
        </w:rPr>
        <w:t xml:space="preserve">inadimplente no SICAF, salvo por motivo de economicidade, segurança nacional ou outro de interesse público de alta relevância, devidamente justificado, em qualquer caso, pela máxima autoridade da CONCEDENTE.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17.9. Previamente à emissão do boleto da GRU,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17.10. </w:t>
      </w:r>
      <w:r>
        <w:rPr>
          <w:rFonts w:cs="Times New Roman"/>
          <w:bCs/>
          <w:color w:val="000000"/>
          <w:sz w:val="20"/>
          <w:szCs w:val="20"/>
          <w:shd w:fill="FFFFFF" w:val="clear"/>
          <w:lang w:eastAsia="en-US"/>
        </w:rPr>
        <w:t>É vedado à</w:t>
      </w:r>
      <w:r>
        <w:rPr>
          <w:rFonts w:cs="Times New Roman"/>
          <w:color w:val="000000"/>
          <w:sz w:val="20"/>
          <w:szCs w:val="20"/>
          <w:shd w:fill="FFFFFF" w:val="clear"/>
          <w:lang w:eastAsia="en-US"/>
        </w:rPr>
        <w:t xml:space="preserve"> cedência de espaço publico para exploração do serviço de cantina, </w:t>
      </w:r>
      <w:r>
        <w:rPr>
          <w:rFonts w:cs="Times New Roman"/>
          <w:bCs/>
          <w:color w:val="000000"/>
          <w:sz w:val="20"/>
          <w:szCs w:val="20"/>
          <w:shd w:fill="FFFFFF" w:val="clear"/>
          <w:lang w:eastAsia="en-US"/>
        </w:rPr>
        <w:t xml:space="preserve">à empresa privada que tenha em seu quadro societário servidor público da ativa do órgão CONCEDENTE , com fundamento na Lei de Diretrizes Orçamentárias vigente.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17.11. </w:t>
      </w:r>
      <w:r>
        <w:rPr>
          <w:rFonts w:cs="Times New Roman"/>
          <w:color w:val="000000"/>
          <w:sz w:val="20"/>
          <w:szCs w:val="20"/>
        </w:rPr>
        <w:t xml:space="preserve">Nos casos de eventuais atrasos de pagamento, desde que a </w:t>
      </w:r>
      <w:r>
        <w:rPr>
          <w:rFonts w:cs="Times New Roman"/>
          <w:color w:val="000000"/>
          <w:sz w:val="20"/>
          <w:szCs w:val="20"/>
          <w:shd w:fill="FFFFFF" w:val="clear"/>
        </w:rPr>
        <w:t>Concessionária</w:t>
      </w:r>
      <w:r>
        <w:rPr>
          <w:rFonts w:cs="Times New Roman"/>
          <w:color w:val="000000"/>
          <w:sz w:val="20"/>
          <w:szCs w:val="20"/>
        </w:rPr>
        <w:t xml:space="preserve">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pPr>
        <w:pStyle w:val="Normal"/>
        <w:spacing w:lineRule="auto" w:line="276"/>
        <w:ind w:left="426" w:hanging="0"/>
        <w:jc w:val="both"/>
        <w:rPr>
          <w:rFonts w:ascii="Arial" w:hAnsi="Arial"/>
          <w:sz w:val="20"/>
          <w:szCs w:val="20"/>
        </w:rPr>
      </w:pPr>
      <w:r>
        <w:rPr>
          <w:color w:val="000000"/>
          <w:sz w:val="20"/>
          <w:szCs w:val="20"/>
        </w:rPr>
        <w:t>EM = I x N x VP, sendo:</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EM = Encargos moratórios;</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N = Número de dias entre a data prevista para o pagamento e a do efetivo pagamento;</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VP = Valor da parcela a ser paga.</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I = Índice de compensação financeira = 0,00016438, assim apurado:</w:t>
      </w:r>
    </w:p>
    <w:p>
      <w:pPr>
        <w:pStyle w:val="Normal"/>
        <w:tabs>
          <w:tab w:val="clear" w:pos="708"/>
          <w:tab w:val="left" w:pos="1701" w:leader="none"/>
        </w:tabs>
        <w:spacing w:lineRule="auto" w:line="276"/>
        <w:ind w:left="454" w:hanging="0"/>
        <w:jc w:val="both"/>
        <w:rPr>
          <w:rFonts w:ascii="Arial" w:hAnsi="Arial"/>
          <w:color w:val="000000"/>
          <w:sz w:val="20"/>
          <w:szCs w:val="20"/>
        </w:rPr>
      </w:pPr>
      <w:r>
        <w:rPr>
          <w:color w:val="000000"/>
          <w:sz w:val="20"/>
          <w:szCs w:val="20"/>
        </w:rPr>
      </w:r>
    </w:p>
    <w:tbl>
      <w:tblPr>
        <w:tblW w:w="8647"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7"/>
        <w:gridCol w:w="441"/>
        <w:gridCol w:w="1246"/>
        <w:gridCol w:w="4812"/>
      </w:tblGrid>
      <w:tr>
        <w:trPr/>
        <w:tc>
          <w:tcPr>
            <w:tcW w:w="2147"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 = (TX)</w:t>
            </w:r>
          </w:p>
        </w:tc>
        <w:tc>
          <w:tcPr>
            <w:tcW w:w="441"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w:t>
            </w:r>
          </w:p>
        </w:tc>
        <w:tc>
          <w:tcPr>
            <w:tcW w:w="1246" w:type="dxa"/>
            <w:tcBorders>
              <w:bottom w:val="single" w:sz="4" w:space="0" w:color="000000"/>
            </w:tcBorders>
            <w:vAlign w:val="center"/>
          </w:tcPr>
          <w:p>
            <w:pPr>
              <w:pStyle w:val="Normal"/>
              <w:widowControl w:val="false"/>
              <w:tabs>
                <w:tab w:val="clear" w:pos="708"/>
                <w:tab w:val="left" w:pos="1701" w:leader="none"/>
              </w:tabs>
              <w:spacing w:lineRule="auto" w:line="276"/>
              <w:ind w:left="397" w:hanging="0"/>
              <w:jc w:val="both"/>
              <w:rPr>
                <w:rFonts w:ascii="Arial" w:hAnsi="Arial"/>
                <w:color w:val="000000"/>
                <w:sz w:val="20"/>
                <w:szCs w:val="20"/>
              </w:rPr>
            </w:pPr>
            <w:r>
              <w:rPr>
                <w:color w:val="000000"/>
                <w:sz w:val="20"/>
                <w:szCs w:val="20"/>
              </w:rPr>
              <w:t>I =( 6 / 100 )</w:t>
            </w:r>
          </w:p>
        </w:tc>
        <w:tc>
          <w:tcPr>
            <w:tcW w:w="4812" w:type="dxa"/>
            <w:vMerge w:val="restart"/>
            <w:tcBorders/>
            <w:vAlign w:val="center"/>
          </w:tcPr>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I = 0,00016438</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TX = Percentual da taxa anual = 6%</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r>
          </w:p>
        </w:tc>
      </w:tr>
      <w:tr>
        <w:trPr/>
        <w:tc>
          <w:tcPr>
            <w:tcW w:w="2147" w:type="dxa"/>
            <w:vMerge w:val="continue"/>
            <w:tcBorders/>
            <w:vAlign w:val="center"/>
          </w:tcPr>
          <w:p>
            <w:pPr>
              <w:pStyle w:val="Normal"/>
              <w:widowControl w:val="false"/>
              <w:numPr>
                <w:ilvl w:val="0"/>
                <w:numId w:val="33"/>
              </w:numPr>
              <w:rPr>
                <w:rFonts w:ascii="Arial" w:hAnsi="Arial"/>
                <w:sz w:val="20"/>
                <w:szCs w:val="20"/>
              </w:rPr>
            </w:pPr>
            <w:r>
              <w:rPr>
                <w:sz w:val="20"/>
                <w:szCs w:val="20"/>
              </w:rPr>
            </w:r>
          </w:p>
        </w:tc>
        <w:tc>
          <w:tcPr>
            <w:tcW w:w="441" w:type="dxa"/>
            <w:vMerge w:val="continue"/>
            <w:tcBorders/>
            <w:vAlign w:val="center"/>
          </w:tcPr>
          <w:p>
            <w:pPr>
              <w:pStyle w:val="Normal"/>
              <w:widowControl w:val="false"/>
              <w:numPr>
                <w:ilvl w:val="0"/>
                <w:numId w:val="34"/>
              </w:numPr>
              <w:rPr>
                <w:rFonts w:ascii="Arial" w:hAnsi="Arial"/>
                <w:sz w:val="20"/>
                <w:szCs w:val="20"/>
              </w:rPr>
            </w:pPr>
            <w:r>
              <w:rPr>
                <w:sz w:val="20"/>
                <w:szCs w:val="20"/>
              </w:rPr>
            </w:r>
          </w:p>
        </w:tc>
        <w:tc>
          <w:tcPr>
            <w:tcW w:w="1246" w:type="dxa"/>
            <w:tcBorders>
              <w:top w:val="single" w:sz="4" w:space="0" w:color="000000"/>
            </w:tcBorders>
            <w:vAlign w:val="center"/>
          </w:tcPr>
          <w:p>
            <w:pPr>
              <w:pStyle w:val="Normal"/>
              <w:widowControl w:val="false"/>
              <w:tabs>
                <w:tab w:val="clear" w:pos="708"/>
                <w:tab w:val="left" w:pos="1701" w:leader="none"/>
              </w:tabs>
              <w:spacing w:lineRule="auto" w:line="276"/>
              <w:ind w:left="644" w:hanging="0"/>
              <w:jc w:val="center"/>
              <w:rPr>
                <w:rFonts w:ascii="Arial" w:hAnsi="Arial"/>
                <w:color w:val="000000"/>
                <w:sz w:val="20"/>
                <w:szCs w:val="20"/>
              </w:rPr>
            </w:pPr>
            <w:r>
              <w:rPr>
                <w:color w:val="000000"/>
                <w:sz w:val="20"/>
                <w:szCs w:val="20"/>
              </w:rPr>
              <w:t>365</w:t>
            </w:r>
          </w:p>
        </w:tc>
        <w:tc>
          <w:tcPr>
            <w:tcW w:w="4812" w:type="dxa"/>
            <w:vMerge w:val="continue"/>
            <w:tcBorders/>
            <w:vAlign w:val="center"/>
          </w:tcPr>
          <w:p>
            <w:pPr>
              <w:pStyle w:val="Normal"/>
              <w:widowControl w:val="false"/>
              <w:numPr>
                <w:ilvl w:val="0"/>
                <w:numId w:val="35"/>
              </w:numPr>
              <w:rPr>
                <w:rFonts w:ascii="Arial" w:hAnsi="Arial"/>
                <w:sz w:val="20"/>
                <w:szCs w:val="20"/>
              </w:rPr>
            </w:pPr>
            <w:r>
              <w:rPr>
                <w:sz w:val="20"/>
                <w:szCs w:val="20"/>
              </w:rPr>
            </w:r>
          </w:p>
        </w:tc>
      </w:tr>
    </w:tbl>
    <w:p>
      <w:pPr>
        <w:pStyle w:val="Normal"/>
        <w:keepNext w:val="true"/>
        <w:keepLines/>
        <w:widowControl w:val="false"/>
        <w:tabs>
          <w:tab w:val="clear" w:pos="708"/>
          <w:tab w:val="left" w:pos="0" w:leader="none"/>
        </w:tabs>
        <w:spacing w:lineRule="auto" w:line="360"/>
        <w:ind w:left="1004" w:hanging="0"/>
        <w:jc w:val="both"/>
        <w:rPr>
          <w:rFonts w:ascii="Arial" w:hAnsi="Arial" w:cs="Times New Roman"/>
          <w:b/>
          <w:b/>
          <w:color w:val="000000"/>
          <w:sz w:val="20"/>
          <w:szCs w:val="20"/>
          <w:shd w:fill="FFFFFF" w:val="clear"/>
        </w:rPr>
      </w:pPr>
      <w:r>
        <w:rPr>
          <w:rFonts w:cs="Times New Roman"/>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17.12. </w:t>
      </w:r>
      <w:r>
        <w:rPr>
          <w:color w:val="000000"/>
          <w:sz w:val="20"/>
          <w:szCs w:val="20"/>
        </w:rPr>
        <w:t>Os valores mensais a serem pagos referentes à concessão de uso, deverão ser recolhidos através de boletos (GRU) emitidos pelo fiscal administrativo do contrato, com o vencimento para</w:t>
      </w:r>
      <w:r>
        <w:rPr>
          <w:color w:val="000000"/>
          <w:sz w:val="20"/>
          <w:szCs w:val="20"/>
          <w:shd w:fill="FFFFFF" w:val="clear"/>
        </w:rPr>
        <w:t xml:space="preserve"> o 5º dia útil do mês subsequente ao serviço prestado;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17.13. </w:t>
      </w:r>
      <w:r>
        <w:rPr>
          <w:color w:val="000000"/>
          <w:sz w:val="20"/>
          <w:szCs w:val="20"/>
        </w:rPr>
        <w:t xml:space="preserve">Durante os meses de recesso escolar e em outros períodos em que, eventualmente, a demanda por lanches seja comprovadamente reduzida, a requerimento expresso da </w:t>
      </w:r>
      <w:r>
        <w:rPr>
          <w:rFonts w:cs="Times New Roman"/>
          <w:color w:val="000000"/>
          <w:sz w:val="20"/>
          <w:szCs w:val="20"/>
          <w:shd w:fill="FFFFFF" w:val="clear"/>
        </w:rPr>
        <w:t>Concessionária</w:t>
      </w:r>
      <w:r>
        <w:rPr>
          <w:color w:val="000000"/>
          <w:sz w:val="20"/>
          <w:szCs w:val="20"/>
        </w:rPr>
        <w:t>, o valor pelo uso do espaço público decorrente da concessão onerosa poderá ser revisto pela Administração do Campus Petrolina do IFSertãoPE, em até 50% (cinquenta por cento) do valor contratado, a fim de manter o equilíbrio econômico-financeiro do contrato.</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cs="Arial"/>
          <w:b/>
          <w:color w:val="000000"/>
          <w:sz w:val="20"/>
          <w:szCs w:val="20"/>
          <w:shd w:fill="FFFFFF" w:val="clear"/>
        </w:rPr>
        <w:t>17.13.1. O requerimento para redução do valor do aluguel deverá ser entregue à Administração do Campus Petrolina do IFSertãoPE para análise do pedido.</w:t>
      </w:r>
    </w:p>
    <w:p>
      <w:pPr>
        <w:pStyle w:val="Nivel1"/>
        <w:spacing w:before="309" w:after="0"/>
        <w:rPr>
          <w:rFonts w:ascii="Arial" w:hAnsi="Arial"/>
          <w:sz w:val="20"/>
          <w:szCs w:val="20"/>
        </w:rPr>
      </w:pPr>
      <w:r>
        <w:rPr>
          <w:rFonts w:cs="Arial"/>
          <w:color w:val="auto"/>
          <w:sz w:val="20"/>
          <w:szCs w:val="20"/>
        </w:rPr>
        <w:t>18. REAJUSTE</w:t>
      </w:r>
    </w:p>
    <w:p>
      <w:pPr>
        <w:pStyle w:val="Nivel1"/>
        <w:spacing w:before="0" w:after="0"/>
        <w:rPr>
          <w:rFonts w:ascii="Arial" w:hAnsi="Arial"/>
          <w:sz w:val="20"/>
          <w:szCs w:val="20"/>
        </w:rPr>
      </w:pPr>
      <w:r>
        <w:rPr>
          <w:sz w:val="20"/>
          <w:szCs w:val="20"/>
        </w:rPr>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18.1. </w:t>
      </w:r>
      <w:r>
        <w:rPr>
          <w:rFonts w:eastAsia="Arial" w:cs="Arial"/>
          <w:color w:val="000000"/>
          <w:sz w:val="20"/>
          <w:szCs w:val="20"/>
        </w:rPr>
        <w:t xml:space="preserve">Os </w:t>
      </w:r>
      <w:r>
        <w:rPr>
          <w:rFonts w:cs="Times New Roman"/>
          <w:color w:val="000000"/>
          <w:sz w:val="20"/>
          <w:szCs w:val="20"/>
        </w:rPr>
        <w:t>valores</w:t>
      </w:r>
      <w:r>
        <w:rPr>
          <w:rFonts w:eastAsia="Arial" w:cs="Arial"/>
          <w:color w:val="000000"/>
          <w:sz w:val="20"/>
          <w:szCs w:val="20"/>
        </w:rPr>
        <w:t xml:space="preserve"> inicialmente </w:t>
      </w:r>
      <w:r>
        <w:rPr>
          <w:rFonts w:cs="Times New Roman"/>
          <w:color w:val="000000"/>
          <w:sz w:val="20"/>
          <w:szCs w:val="20"/>
        </w:rPr>
        <w:t xml:space="preserve">pactuados para a concessão </w:t>
      </w:r>
      <w:r>
        <w:rPr>
          <w:rFonts w:eastAsia="Arial" w:cs="Arial"/>
          <w:color w:val="000000"/>
          <w:sz w:val="20"/>
          <w:szCs w:val="20"/>
        </w:rPr>
        <w:t>são fixos e irreajustáveis no prazo de um ano contado da data</w:t>
      </w:r>
      <w:r>
        <w:rPr>
          <w:rFonts w:cs="Times New Roman"/>
          <w:color w:val="000000"/>
          <w:sz w:val="20"/>
          <w:szCs w:val="20"/>
        </w:rPr>
        <w:t xml:space="preserve"> de vigência do prazo contratual</w:t>
      </w:r>
      <w:r>
        <w:rPr>
          <w:rFonts w:eastAsia="Arial" w:cs="Arial"/>
          <w:color w:val="000000"/>
          <w:sz w:val="20"/>
          <w:szCs w:val="20"/>
        </w:rPr>
        <w:t>.</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18.2.</w:t>
      </w:r>
      <w:r>
        <w:rPr>
          <w:b/>
          <w:bCs/>
          <w:color w:val="000000"/>
          <w:sz w:val="20"/>
          <w:szCs w:val="20"/>
          <w:shd w:fill="FFFFFF" w:val="clear"/>
        </w:rPr>
        <w:t xml:space="preserve"> </w:t>
      </w:r>
      <w:r>
        <w:rPr>
          <w:rFonts w:eastAsia="Arial" w:cs="Arial"/>
          <w:bCs/>
          <w:color w:val="000000"/>
          <w:sz w:val="20"/>
          <w:szCs w:val="20"/>
        </w:rPr>
        <w:t xml:space="preserve">Após o interregno de um ano, os </w:t>
      </w:r>
      <w:r>
        <w:rPr>
          <w:color w:val="000000"/>
          <w:sz w:val="20"/>
          <w:szCs w:val="20"/>
        </w:rPr>
        <w:t>valores</w:t>
      </w:r>
      <w:r>
        <w:rPr>
          <w:rFonts w:eastAsia="Arial" w:cs="Arial"/>
          <w:bCs/>
          <w:color w:val="000000"/>
          <w:sz w:val="20"/>
          <w:szCs w:val="20"/>
        </w:rPr>
        <w:t xml:space="preserve"> iniciais da </w:t>
      </w:r>
      <w:r>
        <w:rPr>
          <w:color w:val="000000"/>
          <w:sz w:val="20"/>
          <w:szCs w:val="20"/>
        </w:rPr>
        <w:t xml:space="preserve">concessão </w:t>
      </w:r>
      <w:r>
        <w:rPr>
          <w:rFonts w:eastAsia="Arial" w:cs="Arial"/>
          <w:bCs/>
          <w:color w:val="000000"/>
          <w:sz w:val="20"/>
          <w:szCs w:val="20"/>
        </w:rPr>
        <w:t xml:space="preserve">serão reajustados, mediante a aplicação dos índices, pela </w:t>
      </w:r>
      <w:r>
        <w:rPr>
          <w:rFonts w:cs="Times New Roman"/>
          <w:color w:val="000000"/>
          <w:sz w:val="20"/>
          <w:szCs w:val="20"/>
          <w:shd w:fill="FFFFFF" w:val="clear"/>
          <w:lang w:eastAsia="en-US"/>
        </w:rPr>
        <w:t>Concedente</w:t>
      </w:r>
      <w:r>
        <w:rPr>
          <w:i/>
          <w:color w:val="000000"/>
          <w:sz w:val="20"/>
          <w:szCs w:val="20"/>
        </w:rPr>
        <w:t>.</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rPr>
        <w:t xml:space="preserve">18.2.1  Dentro do prazo de vigência do contrato e mediante solicitação da </w:t>
      </w:r>
      <w:r>
        <w:rPr>
          <w:rFonts w:cs="Times New Roman"/>
          <w:color w:val="000000"/>
          <w:sz w:val="20"/>
          <w:szCs w:val="20"/>
          <w:shd w:fill="FFFFFF" w:val="clear"/>
        </w:rPr>
        <w:t>Concessionária</w:t>
      </w:r>
      <w:r>
        <w:rPr>
          <w:color w:val="000000"/>
          <w:sz w:val="20"/>
          <w:szCs w:val="20"/>
        </w:rPr>
        <w:t xml:space="preserve">, os preços contratados poderão sofrer reajuste após o interregno de um ano, aplicando-se o índice de preços ao </w:t>
      </w:r>
      <w:r>
        <w:rPr>
          <w:color w:val="000000"/>
          <w:sz w:val="20"/>
          <w:szCs w:val="20"/>
          <w:shd w:fill="FFFFFF" w:val="clear"/>
        </w:rPr>
        <w:t>consumidor amplo – IPCA – Grupo Alimentação e Bebidas – Item Alimentação Fora do Domicílio no Brasil, divulgado pelo Instituto Brasileiro de Geografia e Estatística (IBGE). (incluso)</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 xml:space="preserve">18.2.2. </w:t>
      </w:r>
      <w:r>
        <w:rPr>
          <w:color w:val="000000"/>
          <w:sz w:val="20"/>
          <w:szCs w:val="20"/>
        </w:rPr>
        <w:t xml:space="preserve">A taxa mensal de utilização fixada </w:t>
      </w:r>
      <w:r>
        <w:rPr>
          <w:rFonts w:eastAsia="Times New Roman" w:cs="Tahoma"/>
          <w:color w:val="000000"/>
          <w:kern w:val="0"/>
          <w:sz w:val="20"/>
          <w:szCs w:val="20"/>
          <w:lang w:val="pt-BR" w:eastAsia="pt-BR" w:bidi="ar-SA"/>
        </w:rPr>
        <w:t>n</w:t>
      </w:r>
      <w:r>
        <w:rPr>
          <w:rFonts w:eastAsia="Times New Roman" w:cs="Tahoma"/>
          <w:color w:val="000000"/>
          <w:kern w:val="0"/>
          <w:sz w:val="20"/>
          <w:szCs w:val="20"/>
          <w:shd w:fill="auto" w:val="clear"/>
          <w:lang w:val="pt-BR" w:eastAsia="pt-BR" w:bidi="ar-SA"/>
        </w:rPr>
        <w:t xml:space="preserve">o subitem 10.2.6 será </w:t>
      </w:r>
      <w:r>
        <w:rPr>
          <w:rFonts w:eastAsia="Times New Roman" w:cs="Tahoma"/>
          <w:color w:val="000000"/>
          <w:kern w:val="0"/>
          <w:sz w:val="20"/>
          <w:szCs w:val="20"/>
          <w:lang w:val="pt-BR" w:eastAsia="pt-BR" w:bidi="ar-SA"/>
        </w:rPr>
        <w:t>re</w:t>
      </w:r>
      <w:r>
        <w:rPr>
          <w:color w:val="000000"/>
          <w:sz w:val="20"/>
          <w:szCs w:val="20"/>
        </w:rPr>
        <w:t xml:space="preserve">ajustada anualmente na data da renovação do contrato pelo Índice IGP-M – Índice Geral de Preços do Mercado/FGV. </w:t>
      </w:r>
      <w:r>
        <w:rPr>
          <w:color w:val="000000"/>
          <w:sz w:val="20"/>
          <w:szCs w:val="20"/>
          <w:shd w:fill="FFFFFF" w:val="clear"/>
        </w:rPr>
        <w:t>(incluso)</w:t>
      </w:r>
    </w:p>
    <w:p>
      <w:pPr>
        <w:pStyle w:val="Normal"/>
        <w:spacing w:lineRule="auto" w:line="276" w:before="120" w:after="120"/>
        <w:ind w:left="1418" w:hanging="0"/>
        <w:jc w:val="both"/>
        <w:rPr>
          <w:rFonts w:ascii="Arial" w:hAnsi="Arial"/>
          <w:sz w:val="20"/>
          <w:szCs w:val="20"/>
        </w:rPr>
      </w:pPr>
      <w:r>
        <w:rPr>
          <w:rFonts w:cs="Arial"/>
          <w:color w:val="000000"/>
          <w:sz w:val="20"/>
          <w:szCs w:val="20"/>
        </w:rPr>
        <w:t>R = V (I – Iº) / Iº, onde:</w:t>
      </w:r>
    </w:p>
    <w:p>
      <w:pPr>
        <w:pStyle w:val="Normal"/>
        <w:spacing w:lineRule="auto" w:line="276" w:before="120" w:after="120"/>
        <w:ind w:left="1418" w:hanging="0"/>
        <w:jc w:val="both"/>
        <w:rPr>
          <w:rFonts w:ascii="Arial" w:hAnsi="Arial"/>
          <w:sz w:val="20"/>
          <w:szCs w:val="20"/>
        </w:rPr>
      </w:pPr>
      <w:r>
        <w:rPr>
          <w:rFonts w:cs="Arial"/>
          <w:color w:val="000000"/>
          <w:sz w:val="20"/>
          <w:szCs w:val="20"/>
        </w:rPr>
        <w:t>R = Valor do reajuste procurado;</w:t>
      </w:r>
    </w:p>
    <w:p>
      <w:pPr>
        <w:pStyle w:val="Normal"/>
        <w:spacing w:lineRule="auto" w:line="276" w:before="120" w:after="120"/>
        <w:ind w:left="1418" w:hanging="0"/>
        <w:jc w:val="both"/>
        <w:rPr>
          <w:rFonts w:ascii="Arial" w:hAnsi="Arial"/>
          <w:sz w:val="20"/>
          <w:szCs w:val="20"/>
        </w:rPr>
      </w:pPr>
      <w:r>
        <w:rPr>
          <w:rFonts w:cs="Arial"/>
          <w:color w:val="000000"/>
          <w:sz w:val="20"/>
          <w:szCs w:val="20"/>
        </w:rPr>
        <w:t>V = Valor contratual a ser reajustado;</w:t>
      </w:r>
    </w:p>
    <w:p>
      <w:pPr>
        <w:pStyle w:val="Normal"/>
        <w:spacing w:lineRule="auto" w:line="276" w:before="120" w:after="120"/>
        <w:ind w:left="1418" w:hanging="0"/>
        <w:jc w:val="both"/>
        <w:rPr>
          <w:rFonts w:ascii="Arial" w:hAnsi="Arial"/>
          <w:sz w:val="20"/>
          <w:szCs w:val="20"/>
        </w:rPr>
      </w:pPr>
      <w:r>
        <w:rPr>
          <w:rFonts w:cs="Arial"/>
          <w:color w:val="000000"/>
          <w:sz w:val="20"/>
          <w:szCs w:val="20"/>
        </w:rPr>
        <w:t>Iº = índice inicial - refere-se ao índice de custos ou de preços correspondente à data fixada para entrega da proposta na licitação;</w:t>
      </w:r>
    </w:p>
    <w:p>
      <w:pPr>
        <w:pStyle w:val="Normal"/>
        <w:widowControl w:val="false"/>
        <w:tabs>
          <w:tab w:val="clear" w:pos="708"/>
          <w:tab w:val="left" w:pos="0" w:leader="none"/>
        </w:tabs>
        <w:spacing w:lineRule="auto" w:line="276" w:before="120" w:after="120"/>
        <w:ind w:left="1418" w:hanging="0"/>
        <w:jc w:val="both"/>
        <w:rPr>
          <w:rFonts w:ascii="Arial" w:hAnsi="Arial"/>
          <w:sz w:val="20"/>
          <w:szCs w:val="20"/>
        </w:rPr>
      </w:pPr>
      <w:r>
        <w:rPr>
          <w:rFonts w:cs="Arial"/>
          <w:color w:val="000000"/>
          <w:sz w:val="20"/>
          <w:szCs w:val="20"/>
          <w:shd w:fill="FFFFFF" w:val="clear"/>
        </w:rPr>
        <w:t>I = Índice relativo ao mês do reajustamento;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18.3. Nos reajustes subsequentes ao primeiro, o interregno mínimo de um ano será contado a partir dos efeitos financeiros do último reajuste.</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18.4. </w:t>
      </w:r>
      <w:r>
        <w:rPr>
          <w:rFonts w:eastAsia="Arial" w:cs="Arial"/>
          <w:color w:val="000000"/>
          <w:sz w:val="20"/>
          <w:szCs w:val="20"/>
        </w:rPr>
        <w:t xml:space="preserve">No caso de atraso ou não divulgação do índice de reajustamento, </w:t>
      </w:r>
      <w:r>
        <w:rPr>
          <w:color w:val="000000"/>
          <w:sz w:val="20"/>
          <w:szCs w:val="20"/>
        </w:rPr>
        <w:t>a</w:t>
      </w:r>
      <w:r>
        <w:rPr>
          <w:rFonts w:eastAsia="Arial" w:cs="Arial"/>
          <w:color w:val="000000"/>
          <w:sz w:val="20"/>
          <w:szCs w:val="20"/>
        </w:rPr>
        <w:t xml:space="preserve"> </w:t>
      </w:r>
      <w:r>
        <w:rPr>
          <w:rFonts w:cs="Times New Roman"/>
          <w:color w:val="000000"/>
          <w:sz w:val="20"/>
          <w:szCs w:val="20"/>
          <w:shd w:fill="FFFFFF" w:val="clear"/>
        </w:rPr>
        <w:t>Concessionária</w:t>
      </w:r>
      <w:r>
        <w:rPr>
          <w:b/>
          <w:color w:val="000000"/>
          <w:sz w:val="20"/>
          <w:szCs w:val="20"/>
        </w:rPr>
        <w:t xml:space="preserve"> </w:t>
      </w:r>
      <w:r>
        <w:rPr>
          <w:rFonts w:eastAsia="Arial" w:cs="Arial"/>
          <w:color w:val="000000"/>
          <w:sz w:val="20"/>
          <w:szCs w:val="20"/>
        </w:rPr>
        <w:t xml:space="preserve">pagará à </w:t>
      </w:r>
      <w:r>
        <w:rPr>
          <w:rFonts w:cs="Times New Roman"/>
          <w:color w:val="000000"/>
          <w:sz w:val="20"/>
          <w:szCs w:val="20"/>
          <w:shd w:fill="FFFFFF" w:val="clear"/>
          <w:lang w:eastAsia="en-US"/>
        </w:rPr>
        <w:t>Concedente</w:t>
      </w:r>
      <w:r>
        <w:rPr>
          <w:rFonts w:cs="Times New Roman"/>
          <w:b/>
          <w:bCs/>
          <w:color w:val="000000"/>
          <w:sz w:val="20"/>
          <w:szCs w:val="20"/>
          <w:shd w:fill="FFFFFF" w:val="clear"/>
          <w:lang w:eastAsia="en-US"/>
        </w:rPr>
        <w:t xml:space="preserve"> </w:t>
      </w:r>
      <w:r>
        <w:rPr>
          <w:rFonts w:eastAsia="Arial" w:cs="Arial"/>
          <w:color w:val="000000"/>
          <w:sz w:val="20"/>
          <w:szCs w:val="20"/>
        </w:rPr>
        <w:t>a importância calculada pela última variação conhecida, liquidando a diferença correspondente tão logo seja divulgado o índice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18.5. </w:t>
      </w:r>
      <w:r>
        <w:rPr>
          <w:rFonts w:eastAsia="Arial" w:cs="Arial"/>
          <w:color w:val="000000"/>
          <w:sz w:val="20"/>
          <w:szCs w:val="20"/>
        </w:rPr>
        <w:t>Nas aferições finais, o índice utilizado para reajuste será, obrigatoriamente, o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18.6. Caso o índice estabelecido para reajustamento venha a ser extinto ou de qualquer forma não possa mais ser utilizado, será adotado, em substituição, o que vier a ser determinado pela legislação então em vigor.</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18.7. Na ausência de previsão legal quanto ao índice substituto, as partes elegerão novo índice oficial, para reajustamento do preço do valor remanescente, por meio de termo aditivo.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18.8. O reajuste será realizado por apostilamento.</w:t>
      </w:r>
    </w:p>
    <w:p>
      <w:pPr>
        <w:pStyle w:val="Nivel1"/>
        <w:rPr>
          <w:rFonts w:ascii="Arial" w:hAnsi="Arial"/>
          <w:sz w:val="20"/>
          <w:szCs w:val="20"/>
        </w:rPr>
      </w:pPr>
      <w:r>
        <w:rPr>
          <w:rFonts w:cs="Arial"/>
          <w:color w:val="auto"/>
          <w:sz w:val="20"/>
          <w:szCs w:val="20"/>
        </w:rPr>
        <w:t>19. GARANTIA DA EXECUÇÃO</w:t>
      </w:r>
      <w:r>
        <w:rPr>
          <w:rFonts w:cs="Arial"/>
          <w:color w:val="780373"/>
          <w:sz w:val="20"/>
          <w:szCs w:val="20"/>
        </w:rPr>
        <w:t xml:space="preserve"> </w:t>
      </w:r>
    </w:p>
    <w:p>
      <w:pPr>
        <w:pStyle w:val="Normal"/>
        <w:spacing w:lineRule="auto" w:line="276"/>
        <w:rPr>
          <w:rFonts w:ascii="Arial" w:hAnsi="Arial" w:cs="Arial"/>
          <w:i/>
          <w:i/>
          <w:color w:val="FF0000"/>
          <w:sz w:val="20"/>
          <w:szCs w:val="20"/>
        </w:rPr>
      </w:pPr>
      <w:r>
        <w:rPr>
          <w:rFonts w:cs="Arial"/>
          <w:i/>
          <w:color w:val="FF0000"/>
          <w:sz w:val="20"/>
          <w:szCs w:val="20"/>
        </w:rPr>
      </w:r>
    </w:p>
    <w:p>
      <w:pPr>
        <w:pStyle w:val="Normal"/>
        <w:widowControl w:val="false"/>
        <w:tabs>
          <w:tab w:val="clear" w:pos="708"/>
          <w:tab w:val="left" w:pos="0" w:leader="none"/>
        </w:tabs>
        <w:spacing w:lineRule="auto" w:line="360"/>
        <w:ind w:left="18" w:hanging="0"/>
        <w:jc w:val="both"/>
        <w:rPr>
          <w:rFonts w:ascii="Arial" w:hAnsi="Arial"/>
          <w:sz w:val="20"/>
          <w:szCs w:val="20"/>
        </w:rPr>
      </w:pPr>
      <w:r>
        <w:rPr>
          <w:color w:val="000000"/>
          <w:sz w:val="20"/>
          <w:szCs w:val="20"/>
          <w:shd w:fill="FFFFFF" w:val="clear"/>
        </w:rPr>
        <w:t xml:space="preserve">  </w:t>
      </w:r>
      <w:r>
        <w:rPr>
          <w:color w:val="000000"/>
          <w:sz w:val="20"/>
          <w:szCs w:val="20"/>
          <w:shd w:fill="FFFFFF" w:val="clear"/>
        </w:rPr>
        <w:t xml:space="preserve">19.1. Não haverá exigência de garantia contratual da execução. </w:t>
      </w:r>
    </w:p>
    <w:p>
      <w:pPr>
        <w:pStyle w:val="Normal"/>
        <w:widowControl w:val="false"/>
        <w:tabs>
          <w:tab w:val="clear" w:pos="708"/>
          <w:tab w:val="left" w:pos="0" w:leader="none"/>
        </w:tabs>
        <w:suppressAutoHyphens w:val="true"/>
        <w:bidi w:val="0"/>
        <w:spacing w:lineRule="auto" w:line="360" w:before="0" w:after="0"/>
        <w:ind w:left="454" w:right="0" w:hanging="0"/>
        <w:jc w:val="both"/>
        <w:rPr>
          <w:rFonts w:ascii="Arial" w:hAnsi="Arial"/>
          <w:sz w:val="20"/>
          <w:szCs w:val="20"/>
        </w:rPr>
      </w:pPr>
      <w:r>
        <w:rPr>
          <w:rFonts w:cs="Arial"/>
          <w:i/>
          <w:color w:val="FF0000"/>
          <w:sz w:val="20"/>
          <w:szCs w:val="20"/>
          <w:shd w:fill="FFFFFF" w:val="clear"/>
        </w:rPr>
        <w:t xml:space="preserve"> </w:t>
      </w:r>
      <w:r>
        <w:rPr>
          <w:color w:val="000000"/>
          <w:sz w:val="20"/>
          <w:szCs w:val="20"/>
          <w:shd w:fill="FFFFFF" w:val="clear"/>
        </w:rPr>
        <w:t xml:space="preserve">19.1.1. A contratação não gera ônus para Administração(IFSertãoPE). </w:t>
      </w:r>
    </w:p>
    <w:p>
      <w:pPr>
        <w:pStyle w:val="Nivel1"/>
        <w:ind w:left="644" w:hanging="0"/>
        <w:rPr>
          <w:rFonts w:ascii="Arial" w:hAnsi="Arial"/>
          <w:sz w:val="20"/>
          <w:szCs w:val="20"/>
        </w:rPr>
      </w:pPr>
      <w:r>
        <w:rPr>
          <w:rFonts w:cs="Arial"/>
          <w:color w:val="auto"/>
          <w:sz w:val="20"/>
          <w:szCs w:val="20"/>
        </w:rPr>
        <w:t>20 DAS</w:t>
      </w:r>
      <w:r>
        <w:rPr>
          <w:rFonts w:cs="Arial"/>
          <w:sz w:val="20"/>
          <w:szCs w:val="20"/>
        </w:rPr>
        <w:t xml:space="preserve"> SANÇÕES ADMINISTRATIVAS</w:t>
      </w:r>
    </w:p>
    <w:p>
      <w:pPr>
        <w:pStyle w:val="Normal"/>
        <w:spacing w:lineRule="auto" w:line="276" w:before="120" w:after="120"/>
        <w:ind w:left="716" w:hanging="0"/>
        <w:jc w:val="both"/>
        <w:rPr>
          <w:rFonts w:ascii="Arial" w:hAnsi="Arial"/>
          <w:sz w:val="20"/>
          <w:szCs w:val="20"/>
        </w:rPr>
      </w:pPr>
      <w:r>
        <w:rPr>
          <w:rFonts w:cs="Arial"/>
          <w:sz w:val="20"/>
          <w:szCs w:val="20"/>
        </w:rPr>
        <w:t>20.1 Comete infração administrativa nos termos da Lei nº 10.520, de 2002, a CONCESSIONÁRIA  que:</w:t>
      </w:r>
    </w:p>
    <w:p>
      <w:pPr>
        <w:pStyle w:val="Normal"/>
        <w:numPr>
          <w:ilvl w:val="2"/>
          <w:numId w:val="36"/>
        </w:numPr>
        <w:spacing w:lineRule="auto" w:line="276" w:before="120" w:after="120"/>
        <w:ind w:left="1224" w:right="-30" w:hanging="504"/>
        <w:jc w:val="both"/>
        <w:rPr>
          <w:rFonts w:ascii="Arial" w:hAnsi="Arial"/>
          <w:sz w:val="20"/>
          <w:szCs w:val="20"/>
        </w:rPr>
      </w:pPr>
      <w:r>
        <w:rPr>
          <w:rFonts w:cs="Arial"/>
          <w:sz w:val="20"/>
          <w:szCs w:val="20"/>
        </w:rPr>
        <w:t>falhar na execução do contrato, pela inexecução, total ou parcial, de quaisquer das obrigações assumidas na contratação;</w:t>
      </w:r>
    </w:p>
    <w:p>
      <w:pPr>
        <w:pStyle w:val="Normal"/>
        <w:numPr>
          <w:ilvl w:val="2"/>
          <w:numId w:val="37"/>
        </w:numPr>
        <w:spacing w:lineRule="auto" w:line="276" w:before="120" w:after="120"/>
        <w:ind w:left="1224" w:right="-30" w:hanging="504"/>
        <w:jc w:val="both"/>
        <w:rPr>
          <w:rFonts w:ascii="Arial" w:hAnsi="Arial"/>
          <w:sz w:val="20"/>
          <w:szCs w:val="20"/>
        </w:rPr>
      </w:pPr>
      <w:r>
        <w:rPr>
          <w:rFonts w:cs="Arial"/>
          <w:sz w:val="20"/>
          <w:szCs w:val="20"/>
        </w:rPr>
        <w:t>ensejar o retardamento da execução do objeto;</w:t>
      </w:r>
    </w:p>
    <w:p>
      <w:pPr>
        <w:pStyle w:val="Normal"/>
        <w:numPr>
          <w:ilvl w:val="2"/>
          <w:numId w:val="38"/>
        </w:numPr>
        <w:spacing w:lineRule="auto" w:line="276" w:before="120" w:after="120"/>
        <w:ind w:left="1224" w:right="-30" w:hanging="504"/>
        <w:jc w:val="both"/>
        <w:rPr>
          <w:rFonts w:ascii="Arial" w:hAnsi="Arial"/>
          <w:sz w:val="20"/>
          <w:szCs w:val="20"/>
        </w:rPr>
      </w:pPr>
      <w:r>
        <w:rPr>
          <w:rFonts w:cs="Arial"/>
          <w:sz w:val="20"/>
          <w:szCs w:val="20"/>
        </w:rPr>
        <w:t>fraudar na execução do contrato;</w:t>
      </w:r>
    </w:p>
    <w:p>
      <w:pPr>
        <w:pStyle w:val="Normal"/>
        <w:numPr>
          <w:ilvl w:val="2"/>
          <w:numId w:val="39"/>
        </w:numPr>
        <w:spacing w:lineRule="auto" w:line="276" w:before="120" w:after="120"/>
        <w:ind w:left="1224" w:right="-30" w:hanging="504"/>
        <w:jc w:val="both"/>
        <w:rPr>
          <w:rFonts w:ascii="Arial" w:hAnsi="Arial"/>
          <w:sz w:val="20"/>
          <w:szCs w:val="20"/>
        </w:rPr>
      </w:pPr>
      <w:r>
        <w:rPr>
          <w:rFonts w:cs="Arial"/>
          <w:sz w:val="20"/>
          <w:szCs w:val="20"/>
        </w:rPr>
        <w:t>comportar-se de modo inidôneo; ou</w:t>
      </w:r>
    </w:p>
    <w:p>
      <w:pPr>
        <w:pStyle w:val="Normal"/>
        <w:numPr>
          <w:ilvl w:val="2"/>
          <w:numId w:val="40"/>
        </w:numPr>
        <w:spacing w:lineRule="auto" w:line="276" w:before="120" w:after="120"/>
        <w:ind w:left="1224" w:right="-30" w:hanging="504"/>
        <w:jc w:val="both"/>
        <w:rPr>
          <w:rFonts w:ascii="Arial" w:hAnsi="Arial"/>
          <w:sz w:val="20"/>
          <w:szCs w:val="20"/>
        </w:rPr>
      </w:pPr>
      <w:r>
        <w:rPr>
          <w:rFonts w:cs="Arial"/>
          <w:sz w:val="20"/>
          <w:szCs w:val="20"/>
        </w:rPr>
        <w:t>cometer fraude fiscal.</w:t>
      </w:r>
    </w:p>
    <w:p>
      <w:pPr>
        <w:pStyle w:val="Normal"/>
        <w:spacing w:lineRule="auto" w:line="276" w:before="120" w:after="120"/>
        <w:ind w:left="716" w:hanging="0"/>
        <w:jc w:val="both"/>
        <w:rPr>
          <w:rFonts w:ascii="Arial" w:hAnsi="Arial"/>
          <w:sz w:val="20"/>
          <w:szCs w:val="20"/>
        </w:rPr>
      </w:pPr>
      <w:r>
        <w:rPr>
          <w:rFonts w:cs="Arial"/>
          <w:sz w:val="20"/>
          <w:szCs w:val="20"/>
        </w:rPr>
        <w:t xml:space="preserve">20.2 Pela inexecução </w:t>
      </w:r>
      <w:r>
        <w:rPr>
          <w:rFonts w:cs="Arial"/>
          <w:sz w:val="20"/>
          <w:szCs w:val="20"/>
          <w:u w:val="single"/>
        </w:rPr>
        <w:t>total ou parcial</w:t>
      </w:r>
      <w:r>
        <w:rPr>
          <w:rFonts w:cs="Arial"/>
          <w:sz w:val="20"/>
          <w:szCs w:val="20"/>
        </w:rPr>
        <w:t xml:space="preserve"> do objeto deste contrato, a Administração pode aplicar à CONCESSIONÁRIA  as seguintes sanções:</w:t>
      </w:r>
    </w:p>
    <w:p>
      <w:pPr>
        <w:pStyle w:val="Normal"/>
        <w:numPr>
          <w:ilvl w:val="2"/>
          <w:numId w:val="41"/>
        </w:numPr>
        <w:spacing w:lineRule="auto" w:line="276" w:before="120" w:after="120"/>
        <w:jc w:val="both"/>
        <w:rPr>
          <w:rFonts w:ascii="Arial" w:hAnsi="Arial"/>
          <w:sz w:val="20"/>
          <w:szCs w:val="20"/>
        </w:rPr>
      </w:pPr>
      <w:r>
        <w:rPr>
          <w:rFonts w:cs="Arial"/>
          <w:b/>
          <w:bCs/>
          <w:sz w:val="20"/>
          <w:szCs w:val="20"/>
        </w:rPr>
        <w:t>Advertência por escrito</w:t>
      </w:r>
      <w:r>
        <w:rPr>
          <w:rFonts w:cs="Arial"/>
          <w:sz w:val="20"/>
          <w:szCs w:val="20"/>
        </w:rPr>
        <w:t>, quando do não cumprimento de quaisquer das obrigações contratuais consideradas faltas leves, assim entendidas aquelas que não acarretam prejuízos significativos para o serviço contratado;</w:t>
      </w:r>
    </w:p>
    <w:p>
      <w:pPr>
        <w:pStyle w:val="Normal"/>
        <w:numPr>
          <w:ilvl w:val="2"/>
          <w:numId w:val="42"/>
        </w:numPr>
        <w:spacing w:lineRule="auto" w:line="276" w:before="120" w:after="120"/>
        <w:jc w:val="both"/>
        <w:rPr>
          <w:rFonts w:ascii="Arial" w:hAnsi="Arial"/>
          <w:sz w:val="20"/>
          <w:szCs w:val="20"/>
        </w:rPr>
      </w:pPr>
      <w:r>
        <w:rPr>
          <w:rFonts w:cs="Arial"/>
          <w:b/>
          <w:bCs/>
          <w:sz w:val="20"/>
          <w:szCs w:val="20"/>
        </w:rPr>
        <w:t>Multa de</w:t>
      </w:r>
      <w:r>
        <w:rPr>
          <w:rFonts w:cs="Arial"/>
          <w:sz w:val="20"/>
          <w:szCs w:val="20"/>
        </w:rPr>
        <w:t xml:space="preserve">: </w:t>
      </w:r>
    </w:p>
    <w:p>
      <w:pPr>
        <w:pStyle w:val="Normal"/>
        <w:numPr>
          <w:ilvl w:val="3"/>
          <w:numId w:val="43"/>
        </w:numPr>
        <w:spacing w:lineRule="auto" w:line="276" w:before="120" w:after="120"/>
        <w:jc w:val="both"/>
        <w:rPr>
          <w:rFonts w:ascii="Arial" w:hAnsi="Arial"/>
          <w:sz w:val="20"/>
          <w:szCs w:val="20"/>
        </w:rPr>
      </w:pPr>
      <w:r>
        <w:rPr>
          <w:rFonts w:cs="Arial"/>
          <w:sz w:val="20"/>
          <w:szCs w:val="20"/>
        </w:rPr>
        <w:t xml:space="preserve">0,1% (um décimo por cento) até 0,2% (dois décimos por cento) por dia sobre o valor adjudicado em caso de atraso na execução dos serviços, limitada a incidência a </w:t>
      </w:r>
      <w:r>
        <w:rPr>
          <w:rFonts w:cs="Arial"/>
          <w:color w:val="FF0000"/>
          <w:sz w:val="20"/>
          <w:szCs w:val="20"/>
        </w:rPr>
        <w:t>15</w:t>
      </w:r>
      <w:r>
        <w:rPr>
          <w:rFonts w:cs="Arial"/>
          <w:sz w:val="20"/>
          <w:szCs w:val="20"/>
        </w:rPr>
        <w:t xml:space="preserve"> </w:t>
      </w:r>
      <w:r>
        <w:rPr>
          <w:rFonts w:cs="Arial"/>
          <w:color w:val="000000"/>
          <w:sz w:val="20"/>
          <w:szCs w:val="20"/>
        </w:rPr>
        <w:t xml:space="preserve">(quinze) dias. </w:t>
      </w:r>
      <w:r>
        <w:rPr>
          <w:rFonts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numPr>
          <w:ilvl w:val="3"/>
          <w:numId w:val="44"/>
        </w:numPr>
        <w:spacing w:lineRule="auto" w:line="276" w:before="120" w:after="120"/>
        <w:jc w:val="both"/>
        <w:rPr>
          <w:rFonts w:ascii="Arial" w:hAnsi="Arial"/>
          <w:sz w:val="20"/>
          <w:szCs w:val="20"/>
        </w:rPr>
      </w:pPr>
      <w:r>
        <w:rPr>
          <w:rFonts w:cs="Arial"/>
          <w:sz w:val="20"/>
          <w:szCs w:val="20"/>
        </w:rPr>
        <w:t>0,1% (um décimo por cento) até 10% (dez por cento) sobre o valor adjudicado, em caso de atraso na execução do objeto, por período superior ao previsto no subitem acima, ou de inexecução parcial da obrigação assumida;</w:t>
      </w:r>
    </w:p>
    <w:p>
      <w:pPr>
        <w:pStyle w:val="Normal"/>
        <w:numPr>
          <w:ilvl w:val="3"/>
          <w:numId w:val="45"/>
        </w:numPr>
        <w:spacing w:lineRule="auto" w:line="276" w:before="120" w:after="120"/>
        <w:jc w:val="both"/>
        <w:rPr>
          <w:rFonts w:ascii="Arial" w:hAnsi="Arial"/>
          <w:sz w:val="20"/>
          <w:szCs w:val="20"/>
        </w:rPr>
      </w:pPr>
      <w:r>
        <w:rPr>
          <w:rFonts w:cs="Arial"/>
          <w:sz w:val="20"/>
          <w:szCs w:val="20"/>
        </w:rPr>
        <w:t>0,1% (um décimo por cento) até 15% (quinze por cento) sobre o valor adjudicado, em caso de inexecução total da obrigação assumida;</w:t>
      </w:r>
    </w:p>
    <w:p>
      <w:pPr>
        <w:pStyle w:val="Normal"/>
        <w:numPr>
          <w:ilvl w:val="3"/>
          <w:numId w:val="46"/>
        </w:numPr>
        <w:spacing w:lineRule="auto" w:line="276" w:before="120" w:after="120"/>
        <w:jc w:val="both"/>
        <w:rPr>
          <w:rFonts w:ascii="Arial" w:hAnsi="Arial"/>
          <w:sz w:val="20"/>
          <w:szCs w:val="20"/>
        </w:rPr>
      </w:pPr>
      <w:r>
        <w:rPr>
          <w:rFonts w:cs="Arial"/>
          <w:sz w:val="20"/>
          <w:szCs w:val="20"/>
        </w:rPr>
        <w:t xml:space="preserve">0,2% a 3,2% por dia sobre o valor mensal do contrato, conforme detalhamento constante das </w:t>
      </w:r>
      <w:r>
        <w:rPr>
          <w:rFonts w:cs="Arial"/>
          <w:b/>
          <w:bCs/>
          <w:sz w:val="20"/>
          <w:szCs w:val="20"/>
        </w:rPr>
        <w:t>tabelas 1 e 2</w:t>
      </w:r>
      <w:r>
        <w:rPr>
          <w:rFonts w:cs="Arial"/>
          <w:sz w:val="20"/>
          <w:szCs w:val="20"/>
        </w:rPr>
        <w:t>, abaixo; e</w:t>
      </w:r>
    </w:p>
    <w:p>
      <w:pPr>
        <w:pStyle w:val="Normal"/>
        <w:numPr>
          <w:ilvl w:val="3"/>
          <w:numId w:val="47"/>
        </w:numPr>
        <w:spacing w:lineRule="auto" w:line="276" w:before="120" w:after="120"/>
        <w:jc w:val="both"/>
        <w:rPr>
          <w:rFonts w:ascii="Arial" w:hAnsi="Arial"/>
          <w:sz w:val="20"/>
          <w:szCs w:val="20"/>
        </w:rPr>
      </w:pPr>
      <w:r>
        <w:rPr>
          <w:rFonts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CONCEDENTE a promover a rescisão do contrato;</w:t>
      </w:r>
    </w:p>
    <w:p>
      <w:pPr>
        <w:pStyle w:val="Normal"/>
        <w:numPr>
          <w:ilvl w:val="3"/>
          <w:numId w:val="48"/>
        </w:numPr>
        <w:spacing w:lineRule="auto" w:line="276" w:before="120" w:after="120"/>
        <w:jc w:val="both"/>
        <w:rPr>
          <w:rFonts w:ascii="Arial" w:hAnsi="Arial"/>
          <w:sz w:val="20"/>
          <w:szCs w:val="20"/>
        </w:rPr>
      </w:pPr>
      <w:r>
        <w:rPr>
          <w:rFonts w:cs="Arial"/>
          <w:sz w:val="20"/>
          <w:szCs w:val="20"/>
        </w:rPr>
        <w:t>as penalidades de multa decorrentes de fatos diversos serão consideradas independentes entre si.</w:t>
      </w:r>
    </w:p>
    <w:p>
      <w:pPr>
        <w:pStyle w:val="Normal"/>
        <w:numPr>
          <w:ilvl w:val="2"/>
          <w:numId w:val="49"/>
        </w:numPr>
        <w:spacing w:before="0" w:after="0"/>
        <w:contextualSpacing/>
        <w:jc w:val="both"/>
        <w:rPr>
          <w:rFonts w:ascii="Arial" w:hAnsi="Arial"/>
          <w:sz w:val="20"/>
          <w:szCs w:val="20"/>
        </w:rPr>
      </w:pPr>
      <w:r>
        <w:rPr>
          <w:rFonts w:cs="Arial"/>
          <w:sz w:val="20"/>
          <w:szCs w:val="20"/>
        </w:rPr>
        <w:t xml:space="preserve">Suspensão de licitar e impedimento de contratar com o órgão, entidade ou unidade administrativa pela </w:t>
      </w:r>
      <w:r>
        <w:rPr>
          <w:rFonts w:cs="Arial"/>
          <w:bCs/>
          <w:sz w:val="20"/>
          <w:szCs w:val="20"/>
        </w:rPr>
        <w:t>qual</w:t>
      </w:r>
      <w:r>
        <w:rPr>
          <w:rFonts w:cs="Arial"/>
          <w:sz w:val="20"/>
          <w:szCs w:val="20"/>
        </w:rPr>
        <w:t xml:space="preserve"> a Administração Pública opera e atua concretamente, pelo prazo de até dois anos;</w:t>
      </w:r>
    </w:p>
    <w:p>
      <w:pPr>
        <w:pStyle w:val="Normal"/>
        <w:ind w:left="720" w:hanging="0"/>
        <w:jc w:val="both"/>
        <w:rPr>
          <w:rFonts w:ascii="Arial" w:hAnsi="Arial" w:cs="Arial"/>
          <w:sz w:val="20"/>
          <w:szCs w:val="20"/>
        </w:rPr>
      </w:pPr>
      <w:r>
        <w:rPr>
          <w:rFonts w:cs="Arial"/>
          <w:sz w:val="20"/>
          <w:szCs w:val="20"/>
        </w:rPr>
      </w:r>
    </w:p>
    <w:p>
      <w:pPr>
        <w:pStyle w:val="Normal"/>
        <w:numPr>
          <w:ilvl w:val="2"/>
          <w:numId w:val="50"/>
        </w:numPr>
        <w:spacing w:before="0" w:after="0"/>
        <w:contextualSpacing/>
        <w:jc w:val="both"/>
        <w:rPr>
          <w:rFonts w:ascii="Arial" w:hAnsi="Arial"/>
          <w:sz w:val="20"/>
          <w:szCs w:val="20"/>
        </w:rPr>
      </w:pPr>
      <w:r>
        <w:rPr>
          <w:rFonts w:cs="Arial"/>
          <w:sz w:val="20"/>
          <w:szCs w:val="20"/>
        </w:rPr>
        <w:t>Sanção de impedimento de licitar e contratar com órgãos e entidades da União, com o consequente descredenciamento no SICAF pelo prazo de até cinco anos.</w:t>
      </w:r>
    </w:p>
    <w:p>
      <w:pPr>
        <w:pStyle w:val="Normal"/>
        <w:jc w:val="both"/>
        <w:rPr>
          <w:rFonts w:ascii="Arial" w:hAnsi="Arial" w:cs="Arial"/>
          <w:sz w:val="20"/>
          <w:szCs w:val="20"/>
        </w:rPr>
      </w:pPr>
      <w:r>
        <w:rPr>
          <w:rFonts w:cs="Arial"/>
          <w:sz w:val="20"/>
          <w:szCs w:val="20"/>
        </w:rPr>
      </w:r>
    </w:p>
    <w:p>
      <w:pPr>
        <w:pStyle w:val="Normal"/>
        <w:numPr>
          <w:ilvl w:val="2"/>
          <w:numId w:val="51"/>
        </w:numPr>
        <w:spacing w:before="0" w:after="0"/>
        <w:contextualSpacing/>
        <w:jc w:val="both"/>
        <w:rPr>
          <w:rFonts w:ascii="Arial" w:hAnsi="Arial"/>
          <w:sz w:val="20"/>
          <w:szCs w:val="20"/>
        </w:rPr>
      </w:pPr>
      <w:r>
        <w:rPr>
          <w:rFonts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CONCESSIONÁRIA ressarcir a CONCEDENTE pelos prejuízos causados; </w:t>
      </w:r>
    </w:p>
    <w:p>
      <w:pPr>
        <w:pStyle w:val="Normal"/>
        <w:spacing w:lineRule="auto" w:line="276" w:before="120" w:after="120"/>
        <w:ind w:left="716" w:hanging="0"/>
        <w:jc w:val="both"/>
        <w:rPr>
          <w:rFonts w:ascii="Arial" w:hAnsi="Arial"/>
          <w:sz w:val="20"/>
          <w:szCs w:val="20"/>
        </w:rPr>
      </w:pPr>
      <w:r>
        <w:rPr>
          <w:rFonts w:cs="Arial"/>
          <w:sz w:val="20"/>
          <w:szCs w:val="20"/>
        </w:rPr>
        <w:t>20.3 A Sanção de impedimento de licitar e contratar prevista no subitem “iv” também é aplicável em quaisquer das hipóteses previstas como infração administrativa neste Termo de Referência.</w:t>
      </w:r>
    </w:p>
    <w:p>
      <w:pPr>
        <w:pStyle w:val="Normal"/>
        <w:spacing w:lineRule="auto" w:line="276" w:before="120" w:after="120"/>
        <w:ind w:left="716" w:hanging="0"/>
        <w:jc w:val="both"/>
        <w:rPr>
          <w:rFonts w:ascii="Arial" w:hAnsi="Arial"/>
          <w:sz w:val="20"/>
          <w:szCs w:val="20"/>
        </w:rPr>
      </w:pPr>
      <w:r>
        <w:rPr>
          <w:rFonts w:cs="Arial"/>
          <w:sz w:val="20"/>
          <w:szCs w:val="20"/>
        </w:rPr>
        <w:t>20.4 As sanções previstas nos subitens “i”, “iii”, “iv” e “v” poderão ser aplicadas à CONCESSIONÁRIA  juntamente com as de multa, descontando-a dos pagamentos a serem efetuados.</w:t>
      </w:r>
    </w:p>
    <w:p>
      <w:pPr>
        <w:pStyle w:val="Normal"/>
        <w:spacing w:lineRule="auto" w:line="276" w:before="120" w:after="120"/>
        <w:ind w:left="716" w:hanging="0"/>
        <w:jc w:val="both"/>
        <w:rPr>
          <w:rFonts w:ascii="Arial" w:hAnsi="Arial"/>
          <w:sz w:val="20"/>
          <w:szCs w:val="20"/>
        </w:rPr>
      </w:pPr>
      <w:r>
        <w:rPr>
          <w:rFonts w:cs="Arial"/>
          <w:sz w:val="20"/>
          <w:szCs w:val="20"/>
        </w:rPr>
        <w:t>20.5 Para efeito de aplicação de multas, às infrações são atribuídos graus, de acordo com as tabelas 1 e 2:</w:t>
      </w:r>
    </w:p>
    <w:p>
      <w:pPr>
        <w:pStyle w:val="Normal"/>
        <w:spacing w:lineRule="auto" w:line="276" w:before="120" w:after="120"/>
        <w:ind w:right="-30" w:hanging="0"/>
        <w:jc w:val="center"/>
        <w:rPr>
          <w:rFonts w:ascii="Arial" w:hAnsi="Arial"/>
          <w:sz w:val="20"/>
          <w:szCs w:val="20"/>
        </w:rPr>
      </w:pPr>
      <w:r>
        <w:rPr>
          <w:rFonts w:cs="Arial"/>
          <w:b/>
          <w:bCs/>
          <w:sz w:val="20"/>
          <w:szCs w:val="20"/>
        </w:rPr>
        <w:t>Tabela 1</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3573"/>
        <w:gridCol w:w="5606"/>
      </w:tblGrid>
      <w:tr>
        <w:trPr>
          <w:trHeight w:val="180" w:hRule="atLeast"/>
        </w:trPr>
        <w:tc>
          <w:tcPr>
            <w:tcW w:w="357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c>
          <w:tcPr>
            <w:tcW w:w="560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CORRESPONDÊNCIA</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0,8%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1,6%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3,2% ao dia sobre o valor mensal do contrato</w:t>
            </w:r>
          </w:p>
        </w:tc>
      </w:tr>
    </w:tbl>
    <w:p>
      <w:pPr>
        <w:pStyle w:val="Normal"/>
        <w:spacing w:lineRule="auto" w:line="276" w:before="120" w:after="120"/>
        <w:ind w:right="-30" w:hanging="0"/>
        <w:jc w:val="center"/>
        <w:rPr>
          <w:rFonts w:ascii="Arial" w:hAnsi="Arial"/>
          <w:sz w:val="20"/>
          <w:szCs w:val="20"/>
        </w:rPr>
      </w:pPr>
      <w:r>
        <w:rPr>
          <w:rFonts w:cs="Arial"/>
          <w:b/>
          <w:bCs/>
          <w:sz w:val="20"/>
          <w:szCs w:val="20"/>
        </w:rPr>
        <w:t>Tabela 2</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Retirar funcionários ou encarregados do serviço durante o expediente, sem a anuência prévia do CONCEDENTE,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6</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Registrar e controlar, diariamente, a assiduidade e a pontualidade de seu pessoal,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Providenciar treinamento para seus funcionários conforme previsto na relação de obrigações da CONCESSIONÁRIA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bl>
    <w:p>
      <w:pPr>
        <w:pStyle w:val="Normal"/>
        <w:spacing w:lineRule="auto" w:line="276" w:before="120" w:after="120"/>
        <w:ind w:left="716" w:right="-30" w:hanging="0"/>
        <w:jc w:val="both"/>
        <w:rPr>
          <w:rFonts w:ascii="Arial" w:hAnsi="Arial"/>
          <w:sz w:val="20"/>
          <w:szCs w:val="20"/>
        </w:rPr>
      </w:pPr>
      <w:r>
        <w:rPr>
          <w:rFonts w:cs="Arial"/>
          <w:sz w:val="20"/>
          <w:szCs w:val="20"/>
        </w:rPr>
        <w:t>20.6 Também ficam sujeitas às penalidades do art. 87, III e IV da Lei nº 8.666, de 1993, as empresas ou profissionais que:</w:t>
      </w:r>
    </w:p>
    <w:p>
      <w:pPr>
        <w:pStyle w:val="Normal"/>
        <w:spacing w:lineRule="auto" w:line="276" w:before="120" w:after="120"/>
        <w:ind w:left="1922" w:right="-30" w:hanging="0"/>
        <w:jc w:val="both"/>
        <w:rPr>
          <w:rFonts w:ascii="Arial" w:hAnsi="Arial"/>
          <w:sz w:val="20"/>
          <w:szCs w:val="20"/>
        </w:rPr>
      </w:pPr>
      <w:r>
        <w:rPr>
          <w:rFonts w:cs="Arial"/>
          <w:sz w:val="20"/>
          <w:szCs w:val="20"/>
        </w:rPr>
        <w:t>20.6.1 tenham sofrido condenação definitiva por praticar, por meio dolosos, fraude fiscal no recolhimento de quaisquer tributos;</w:t>
      </w:r>
    </w:p>
    <w:p>
      <w:pPr>
        <w:pStyle w:val="Normal"/>
        <w:spacing w:lineRule="auto" w:line="276" w:before="120" w:after="120"/>
        <w:ind w:left="1922" w:right="-30" w:hanging="0"/>
        <w:jc w:val="both"/>
        <w:rPr>
          <w:rFonts w:ascii="Arial" w:hAnsi="Arial"/>
          <w:sz w:val="20"/>
          <w:szCs w:val="20"/>
        </w:rPr>
      </w:pPr>
      <w:r>
        <w:rPr>
          <w:rFonts w:cs="Arial"/>
          <w:sz w:val="20"/>
          <w:szCs w:val="20"/>
        </w:rPr>
        <w:t>20.6.2 tenham praticado atos ilícitos visando a frustrar os objetivos da licitação;</w:t>
      </w:r>
    </w:p>
    <w:p>
      <w:pPr>
        <w:pStyle w:val="Normal"/>
        <w:spacing w:lineRule="auto" w:line="276" w:before="120" w:after="120"/>
        <w:ind w:left="1922" w:right="-30" w:hanging="0"/>
        <w:jc w:val="both"/>
        <w:rPr>
          <w:rFonts w:ascii="Arial" w:hAnsi="Arial"/>
          <w:sz w:val="20"/>
          <w:szCs w:val="20"/>
        </w:rPr>
      </w:pPr>
      <w:r>
        <w:rPr>
          <w:rFonts w:cs="Arial"/>
          <w:sz w:val="20"/>
          <w:szCs w:val="20"/>
        </w:rPr>
        <w:t xml:space="preserve">20.6.3 demonstrem não possuir idoneidade para contratar com a Administração em virtude de atos ilícitos praticados. </w:t>
      </w:r>
    </w:p>
    <w:p>
      <w:pPr>
        <w:pStyle w:val="Normal"/>
        <w:spacing w:lineRule="auto" w:line="276" w:before="120" w:after="120"/>
        <w:ind w:left="716" w:right="-30" w:hanging="0"/>
        <w:jc w:val="both"/>
        <w:rPr>
          <w:rFonts w:ascii="Arial" w:hAnsi="Arial"/>
          <w:sz w:val="20"/>
          <w:szCs w:val="20"/>
        </w:rPr>
      </w:pPr>
      <w:r>
        <w:rPr>
          <w:rFonts w:cs="Arial"/>
          <w:sz w:val="20"/>
          <w:szCs w:val="20"/>
        </w:rPr>
        <w:t>20.7 A aplicação de qualquer das penalidades previstas realizar-se-á em processo administrativo que assegurará o contraditório e a ampla defesa à CONCESSIONÁRIA, observando-se o procedimento previsto na Lei nº 8.666, de 1993, e subsidiariamente a Lei nº 9.784, de 1999.</w:t>
      </w:r>
    </w:p>
    <w:p>
      <w:pPr>
        <w:pStyle w:val="Normal"/>
        <w:spacing w:lineRule="auto" w:line="276" w:before="120" w:after="120"/>
        <w:ind w:left="716" w:right="-30" w:hanging="0"/>
        <w:jc w:val="both"/>
        <w:rPr>
          <w:rFonts w:ascii="Arial" w:hAnsi="Arial"/>
          <w:sz w:val="20"/>
          <w:szCs w:val="20"/>
        </w:rPr>
      </w:pPr>
      <w:r>
        <w:rPr>
          <w:sz w:val="20"/>
          <w:szCs w:val="20"/>
        </w:rPr>
        <w:t>20.8 As multas devidas e/ou prejuízos causados à CONCEDENTE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left="1922" w:right="-30" w:hanging="0"/>
        <w:jc w:val="both"/>
        <w:rPr>
          <w:rFonts w:ascii="Arial" w:hAnsi="Arial"/>
          <w:sz w:val="20"/>
          <w:szCs w:val="20"/>
        </w:rPr>
      </w:pPr>
      <w:r>
        <w:rPr>
          <w:sz w:val="20"/>
          <w:szCs w:val="20"/>
        </w:rPr>
        <w:t xml:space="preserve">20.8.1 Caso a CONCEDENTE determine, a multa deverá ser recolhida no prazo máximo </w:t>
      </w:r>
      <w:r>
        <w:rPr>
          <w:color w:val="000000"/>
          <w:sz w:val="20"/>
          <w:szCs w:val="20"/>
        </w:rPr>
        <w:t>de15 (qu</w:t>
      </w:r>
      <w:r>
        <w:rPr>
          <w:sz w:val="20"/>
          <w:szCs w:val="20"/>
        </w:rPr>
        <w:t>inze) dias, a contar da data do recebimento da comunicação enviada pela autoridade competente.</w:t>
      </w:r>
    </w:p>
    <w:p>
      <w:pPr>
        <w:pStyle w:val="Normal"/>
        <w:spacing w:lineRule="auto" w:line="276" w:before="120" w:after="120"/>
        <w:ind w:left="716" w:right="-30" w:hanging="0"/>
        <w:jc w:val="both"/>
        <w:rPr>
          <w:rFonts w:ascii="Arial" w:hAnsi="Arial"/>
          <w:sz w:val="20"/>
          <w:szCs w:val="20"/>
        </w:rPr>
      </w:pPr>
      <w:r>
        <w:rPr>
          <w:sz w:val="20"/>
          <w:szCs w:val="20"/>
        </w:rPr>
        <w:t>20.9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120" w:after="120"/>
        <w:ind w:left="716" w:right="-30" w:hanging="0"/>
        <w:jc w:val="both"/>
        <w:rPr>
          <w:rFonts w:ascii="Arial" w:hAnsi="Arial"/>
          <w:sz w:val="20"/>
          <w:szCs w:val="20"/>
        </w:rPr>
      </w:pPr>
      <w:r>
        <w:rPr>
          <w:sz w:val="20"/>
          <w:szCs w:val="20"/>
        </w:rPr>
        <w:t>20.10A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0"/>
          <w:numId w:val="0"/>
        </w:numPr>
        <w:ind w:left="716" w:hanging="0"/>
        <w:rPr>
          <w:rFonts w:ascii="Arial" w:hAnsi="Arial"/>
          <w:sz w:val="20"/>
          <w:szCs w:val="20"/>
        </w:rPr>
      </w:pPr>
      <w:r>
        <w:rPr>
          <w:rFonts w:cs="Arial" w:ascii="Arial" w:hAnsi="Arial"/>
          <w:sz w:val="20"/>
          <w:szCs w:val="20"/>
        </w:rPr>
        <w:t xml:space="preserve">20.11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0"/>
          <w:numId w:val="0"/>
        </w:numPr>
        <w:ind w:left="716" w:hanging="0"/>
        <w:rPr>
          <w:rFonts w:ascii="Arial" w:hAnsi="Arial"/>
          <w:sz w:val="20"/>
          <w:szCs w:val="20"/>
        </w:rPr>
      </w:pPr>
      <w:r>
        <w:rPr>
          <w:rFonts w:cs="Arial" w:ascii="Arial" w:hAnsi="Arial"/>
          <w:sz w:val="20"/>
          <w:szCs w:val="20"/>
        </w:rPr>
        <w:t>20.12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0"/>
          <w:numId w:val="0"/>
        </w:numPr>
        <w:ind w:left="716" w:hanging="0"/>
        <w:rPr>
          <w:rFonts w:ascii="Arial" w:hAnsi="Arial"/>
          <w:sz w:val="20"/>
          <w:szCs w:val="20"/>
        </w:rPr>
      </w:pPr>
      <w:r>
        <w:rPr>
          <w:rFonts w:cs="Arial" w:ascii="Arial" w:hAnsi="Arial"/>
          <w:sz w:val="20"/>
          <w:szCs w:val="20"/>
        </w:rPr>
        <w:t xml:space="preserve">20.13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before="120" w:after="120"/>
        <w:ind w:left="716" w:right="-30" w:hanging="0"/>
        <w:jc w:val="both"/>
        <w:rPr>
          <w:rFonts w:ascii="Arial" w:hAnsi="Arial"/>
          <w:sz w:val="20"/>
          <w:szCs w:val="20"/>
        </w:rPr>
      </w:pPr>
      <w:r>
        <w:rPr>
          <w:rFonts w:cs="Arial"/>
          <w:sz w:val="20"/>
          <w:szCs w:val="20"/>
        </w:rPr>
        <w:t>20.14 As penalidades serão obrigatoriamente registradas no SICAF.</w:t>
      </w:r>
    </w:p>
    <w:p>
      <w:pPr>
        <w:pStyle w:val="Nivel1"/>
        <w:tabs>
          <w:tab w:val="clear" w:pos="708"/>
          <w:tab w:val="left" w:pos="570" w:leader="none"/>
        </w:tabs>
        <w:ind w:left="57" w:hanging="0"/>
        <w:rPr>
          <w:rFonts w:ascii="Arial" w:hAnsi="Arial"/>
          <w:sz w:val="20"/>
          <w:szCs w:val="20"/>
        </w:rPr>
      </w:pPr>
      <w:r>
        <w:rPr>
          <w:rFonts w:cs="Arial"/>
          <w:bCs/>
          <w:sz w:val="20"/>
          <w:szCs w:val="20"/>
        </w:rPr>
        <w:t>21 CRITÉRIOS DE SELEÇÃO DO FORNECEDOR.</w:t>
      </w:r>
    </w:p>
    <w:p>
      <w:pPr>
        <w:pStyle w:val="Normal"/>
        <w:spacing w:lineRule="auto" w:line="276" w:before="120" w:after="120"/>
        <w:ind w:left="510" w:hanging="0"/>
        <w:jc w:val="both"/>
        <w:rPr>
          <w:rFonts w:ascii="Arial" w:hAnsi="Arial"/>
          <w:sz w:val="20"/>
          <w:szCs w:val="20"/>
        </w:rPr>
      </w:pPr>
      <w:r>
        <w:rPr>
          <w:rFonts w:cs="Arial"/>
          <w:sz w:val="20"/>
          <w:szCs w:val="20"/>
        </w:rPr>
        <w:t>20.1 As exigências de habilitação jurídica e de regularidade fiscal e trabalhista são as usuais para a generalidade dos objetos, conforme disciplinado no edital.</w:t>
      </w:r>
    </w:p>
    <w:p>
      <w:pPr>
        <w:pStyle w:val="Normal"/>
        <w:spacing w:lineRule="auto" w:line="276" w:before="120" w:after="120"/>
        <w:ind w:left="425" w:hanging="0"/>
        <w:jc w:val="both"/>
        <w:rPr>
          <w:rFonts w:ascii="Arial" w:hAnsi="Arial"/>
          <w:sz w:val="20"/>
          <w:szCs w:val="20"/>
        </w:rPr>
      </w:pPr>
      <w:r>
        <w:rPr>
          <w:rFonts w:cs="Arial"/>
          <w:sz w:val="20"/>
          <w:szCs w:val="20"/>
        </w:rPr>
        <w:t>20.2 Os critérios de qualificação econômico-financeira a serem atendidos pelo fornecedor estão previstos no edital.</w:t>
      </w:r>
    </w:p>
    <w:p>
      <w:pPr>
        <w:pStyle w:val="Normal"/>
        <w:spacing w:lineRule="auto" w:line="276" w:before="120" w:after="120"/>
        <w:ind w:left="425" w:hanging="0"/>
        <w:jc w:val="both"/>
        <w:rPr>
          <w:rFonts w:ascii="Arial" w:hAnsi="Arial"/>
          <w:sz w:val="20"/>
          <w:szCs w:val="20"/>
        </w:rPr>
      </w:pPr>
      <w:r>
        <w:rPr>
          <w:rFonts w:cs="Arial"/>
          <w:sz w:val="20"/>
          <w:szCs w:val="20"/>
        </w:rPr>
        <w:t>20.3 Os critérios de qualificação técnica a serem atendidos pelo fornecedor serão:</w:t>
      </w:r>
    </w:p>
    <w:p>
      <w:pPr>
        <w:pStyle w:val="Normal"/>
        <w:spacing w:lineRule="auto" w:line="276"/>
        <w:ind w:left="716" w:hanging="0"/>
        <w:jc w:val="both"/>
        <w:rPr>
          <w:rFonts w:ascii="Arial" w:hAnsi="Arial"/>
          <w:sz w:val="20"/>
          <w:szCs w:val="20"/>
        </w:rPr>
      </w:pPr>
      <w:r>
        <w:rPr>
          <w:rFonts w:cs="Arial"/>
          <w:sz w:val="20"/>
          <w:szCs w:val="20"/>
        </w:rPr>
        <w:t>21.3.1. Comprovação de aptidão para a prestação dos serviços em características, quantidades e prazos compatíveis com o objeto desta licitação, ou com o item pertinente, por período não inferior a 1 (um) ano, mediante a apresentação de documentos que comprovem experiência na área.</w:t>
      </w:r>
    </w:p>
    <w:p>
      <w:pPr>
        <w:pStyle w:val="Normal"/>
        <w:ind w:left="716" w:hanging="0"/>
        <w:jc w:val="both"/>
        <w:rPr>
          <w:rFonts w:ascii="Arial" w:hAnsi="Arial" w:cs="Arial"/>
          <w:sz w:val="20"/>
          <w:szCs w:val="20"/>
        </w:rPr>
      </w:pPr>
      <w:r>
        <w:rPr>
          <w:rFonts w:cs="Arial"/>
          <w:sz w:val="20"/>
          <w:szCs w:val="20"/>
        </w:rPr>
      </w:r>
    </w:p>
    <w:p>
      <w:pPr>
        <w:pStyle w:val="Normal"/>
        <w:ind w:left="716" w:hanging="0"/>
        <w:rPr>
          <w:rFonts w:ascii="Arial" w:hAnsi="Arial"/>
          <w:sz w:val="20"/>
          <w:szCs w:val="20"/>
        </w:rPr>
      </w:pPr>
      <w:r>
        <w:rPr>
          <w:rFonts w:cs="Arial"/>
          <w:sz w:val="20"/>
          <w:szCs w:val="20"/>
        </w:rPr>
        <w:t>21.4. Os critérios de aceitabilidade de preços serão:</w:t>
      </w:r>
    </w:p>
    <w:p>
      <w:pPr>
        <w:pStyle w:val="Normal"/>
        <w:ind w:left="716" w:hanging="0"/>
        <w:rPr>
          <w:rFonts w:ascii="Arial" w:hAnsi="Arial" w:cs="Arial"/>
          <w:sz w:val="20"/>
          <w:szCs w:val="20"/>
        </w:rPr>
      </w:pPr>
      <w:r>
        <w:rPr>
          <w:rFonts w:cs="Arial"/>
          <w:sz w:val="20"/>
          <w:szCs w:val="20"/>
        </w:rPr>
      </w:r>
    </w:p>
    <w:p>
      <w:pPr>
        <w:pStyle w:val="Normal"/>
        <w:ind w:left="716" w:hanging="0"/>
        <w:jc w:val="both"/>
        <w:rPr/>
      </w:pPr>
      <w:r>
        <w:rPr>
          <w:rFonts w:cs="Arial"/>
          <w:color w:val="000000"/>
          <w:sz w:val="20"/>
          <w:szCs w:val="20"/>
        </w:rPr>
        <w:t xml:space="preserve">21.4.1. </w:t>
      </w:r>
      <w:r>
        <w:rPr>
          <w:rFonts w:cs="Arial"/>
          <w:b/>
          <w:bCs/>
          <w:color w:val="000000"/>
          <w:sz w:val="20"/>
          <w:szCs w:val="20"/>
        </w:rPr>
        <w:t xml:space="preserve">Valor Global: </w:t>
      </w:r>
      <w:r>
        <w:rPr>
          <w:rFonts w:eastAsia="Times New Roman" w:cs="Arial"/>
          <w:b/>
          <w:bCs/>
          <w:color w:val="000000"/>
          <w:kern w:val="0"/>
          <w:sz w:val="20"/>
          <w:szCs w:val="20"/>
          <w:lang w:val="pt-BR" w:eastAsia="pt-BR" w:bidi="ar-SA"/>
        </w:rPr>
        <w:t xml:space="preserve">R$ </w:t>
      </w:r>
      <w:r>
        <w:rPr>
          <w:rFonts w:eastAsia="Times New Roman" w:cs="Arial"/>
          <w:b/>
          <w:bCs/>
          <w:color w:val="000000"/>
          <w:kern w:val="0"/>
          <w:sz w:val="20"/>
          <w:szCs w:val="20"/>
          <w:lang w:val="pt-BR" w:eastAsia="pt-BR" w:bidi="ar-SA"/>
        </w:rPr>
        <w:t>210,94</w:t>
      </w:r>
      <w:r>
        <w:rPr>
          <w:rFonts w:eastAsia="Times New Roman" w:cs="Arial"/>
          <w:b/>
          <w:bCs/>
          <w:color w:val="000000"/>
          <w:kern w:val="0"/>
          <w:sz w:val="20"/>
          <w:szCs w:val="20"/>
          <w:lang w:val="pt-BR" w:eastAsia="pt-BR" w:bidi="ar-SA"/>
        </w:rPr>
        <w:t xml:space="preserve"> (</w:t>
      </w:r>
      <w:r>
        <w:rPr>
          <w:rFonts w:eastAsia="Times New Roman" w:cs="Arial"/>
          <w:b/>
          <w:bCs/>
          <w:color w:val="000000"/>
          <w:kern w:val="0"/>
          <w:sz w:val="20"/>
          <w:szCs w:val="20"/>
          <w:lang w:val="pt-BR" w:eastAsia="pt-BR" w:bidi="ar-SA"/>
        </w:rPr>
        <w:t xml:space="preserve">duzentos e dez reais </w:t>
      </w:r>
      <w:r>
        <w:rPr>
          <w:rFonts w:eastAsia="Times New Roman" w:cs="Arial"/>
          <w:b/>
          <w:bCs/>
          <w:color w:val="000000"/>
          <w:kern w:val="0"/>
          <w:sz w:val="20"/>
          <w:szCs w:val="20"/>
          <w:lang w:val="pt-BR" w:eastAsia="pt-BR" w:bidi="ar-SA"/>
        </w:rPr>
        <w:t xml:space="preserve">e noventa e </w:t>
      </w:r>
      <w:r>
        <w:rPr>
          <w:rFonts w:eastAsia="Times New Roman" w:cs="Arial"/>
          <w:b/>
          <w:bCs/>
          <w:color w:val="000000"/>
          <w:kern w:val="0"/>
          <w:sz w:val="20"/>
          <w:szCs w:val="20"/>
          <w:lang w:val="pt-BR" w:eastAsia="pt-BR" w:bidi="ar-SA"/>
        </w:rPr>
        <w:t>quatro</w:t>
      </w:r>
      <w:r>
        <w:rPr>
          <w:rFonts w:eastAsia="Times New Roman" w:cs="Arial"/>
          <w:b/>
          <w:bCs/>
          <w:color w:val="000000"/>
          <w:kern w:val="0"/>
          <w:sz w:val="20"/>
          <w:szCs w:val="20"/>
          <w:lang w:val="pt-BR" w:eastAsia="pt-BR" w:bidi="ar-SA"/>
        </w:rPr>
        <w:t xml:space="preserve"> centavos),</w:t>
      </w:r>
      <w:r>
        <w:rPr>
          <w:rFonts w:eastAsia="Times New Roman" w:cs="Arial"/>
          <w:b/>
          <w:bCs/>
          <w:color w:val="FF0000"/>
          <w:kern w:val="0"/>
          <w:sz w:val="20"/>
          <w:szCs w:val="20"/>
          <w:lang w:val="pt-BR" w:eastAsia="pt-BR" w:bidi="ar-SA"/>
        </w:rPr>
        <w:t xml:space="preserve"> </w:t>
      </w:r>
      <w:r>
        <w:rPr>
          <w:rFonts w:eastAsia="Times New Roman" w:cs="Arial"/>
          <w:b/>
          <w:bCs/>
          <w:color w:val="000000"/>
          <w:kern w:val="0"/>
          <w:sz w:val="20"/>
          <w:szCs w:val="20"/>
          <w:lang w:val="pt-BR" w:eastAsia="pt-BR" w:bidi="ar-SA"/>
        </w:rPr>
        <w:t>confo</w:t>
      </w:r>
      <w:r>
        <w:rPr>
          <w:rFonts w:cs="Arial"/>
          <w:color w:val="000000"/>
          <w:sz w:val="20"/>
          <w:szCs w:val="20"/>
        </w:rPr>
        <w:t xml:space="preserve">rme planilha de composição de preços presente no </w:t>
      </w:r>
      <w:r>
        <w:rPr>
          <w:rFonts w:cs="Arial"/>
          <w:b/>
          <w:bCs/>
          <w:color w:val="000000"/>
          <w:sz w:val="20"/>
          <w:szCs w:val="20"/>
        </w:rPr>
        <w:t xml:space="preserve">subitem 1.1.1 </w:t>
      </w:r>
      <w:r>
        <w:rPr>
          <w:rFonts w:cs="Arial"/>
          <w:color w:val="000000"/>
          <w:sz w:val="20"/>
          <w:szCs w:val="20"/>
        </w:rPr>
        <w:t>deste Termo de Referência.</w:t>
      </w:r>
    </w:p>
    <w:p>
      <w:pPr>
        <w:pStyle w:val="Normal"/>
        <w:ind w:left="716" w:hanging="0"/>
        <w:rPr>
          <w:rFonts w:ascii="Arial" w:hAnsi="Arial" w:cs="Arial"/>
          <w:color w:val="FF0000"/>
          <w:sz w:val="20"/>
          <w:szCs w:val="20"/>
        </w:rPr>
      </w:pPr>
      <w:r>
        <w:rPr>
          <w:rFonts w:cs="Arial"/>
          <w:color w:val="FF0000"/>
          <w:sz w:val="20"/>
          <w:szCs w:val="20"/>
        </w:rPr>
      </w:r>
    </w:p>
    <w:p>
      <w:pPr>
        <w:pStyle w:val="Normal"/>
        <w:ind w:left="716" w:hanging="0"/>
        <w:rPr>
          <w:rFonts w:ascii="Arial" w:hAnsi="Arial"/>
          <w:sz w:val="20"/>
          <w:szCs w:val="20"/>
        </w:rPr>
      </w:pPr>
      <w:r>
        <w:rPr>
          <w:rFonts w:cs="Arial"/>
          <w:sz w:val="20"/>
          <w:szCs w:val="20"/>
        </w:rPr>
        <w:t xml:space="preserve">21.4.2 O critério de julgamento da proposta será o </w:t>
      </w:r>
      <w:r>
        <w:rPr>
          <w:rFonts w:cs="Arial"/>
          <w:color w:val="000000"/>
          <w:sz w:val="20"/>
          <w:szCs w:val="20"/>
        </w:rPr>
        <w:t>Menor Preço do Item obtido a partir da aplicação do</w:t>
      </w:r>
      <w:r>
        <w:rPr>
          <w:rFonts w:cs="Arial"/>
          <w:sz w:val="20"/>
          <w:szCs w:val="20"/>
        </w:rPr>
        <w:t xml:space="preserve"> </w:t>
      </w:r>
      <w:r>
        <w:rPr>
          <w:rFonts w:cs="Arial"/>
          <w:b/>
          <w:sz w:val="20"/>
          <w:szCs w:val="20"/>
        </w:rPr>
        <w:t xml:space="preserve">Maior Desconto Global sobre </w:t>
      </w:r>
      <w:r>
        <w:rPr>
          <w:rFonts w:cs="Arial"/>
          <w:color w:val="000000"/>
          <w:sz w:val="20"/>
          <w:szCs w:val="20"/>
        </w:rPr>
        <w:t xml:space="preserve">o valor presente no </w:t>
      </w:r>
      <w:r>
        <w:rPr>
          <w:rFonts w:cs="Arial"/>
          <w:color w:val="000000"/>
          <w:sz w:val="20"/>
          <w:szCs w:val="20"/>
        </w:rPr>
        <w:t>subitem 1.1.1</w:t>
      </w:r>
      <w:r>
        <w:rPr>
          <w:rFonts w:cs="Arial"/>
          <w:color w:val="000000"/>
          <w:sz w:val="20"/>
          <w:szCs w:val="20"/>
        </w:rPr>
        <w:t xml:space="preserve"> do Termo de Referência (</w:t>
      </w:r>
      <w:r>
        <w:rPr>
          <w:rFonts w:cs="Arial"/>
          <w:b/>
          <w:color w:val="000000"/>
          <w:sz w:val="20"/>
          <w:szCs w:val="20"/>
        </w:rPr>
        <w:t>Valor geral estimado do cardápio básico)</w:t>
      </w:r>
      <w:r>
        <w:rPr>
          <w:rFonts w:cs="Arial"/>
          <w:sz w:val="20"/>
          <w:szCs w:val="20"/>
        </w:rPr>
        <w:t>.</w:t>
      </w:r>
    </w:p>
    <w:p>
      <w:pPr>
        <w:pStyle w:val="Normal"/>
        <w:ind w:left="716" w:hanging="0"/>
        <w:rPr>
          <w:rFonts w:ascii="Arial" w:hAnsi="Arial" w:cs="Arial"/>
          <w:sz w:val="20"/>
          <w:szCs w:val="20"/>
        </w:rPr>
      </w:pPr>
      <w:r>
        <w:rPr>
          <w:rFonts w:cs="Arial"/>
          <w:sz w:val="20"/>
          <w:szCs w:val="20"/>
        </w:rPr>
      </w:r>
    </w:p>
    <w:p>
      <w:pPr>
        <w:pStyle w:val="Normal"/>
        <w:ind w:left="716" w:hanging="0"/>
        <w:jc w:val="both"/>
        <w:rPr>
          <w:b/>
          <w:b/>
          <w:bCs/>
          <w:color w:val="000000"/>
          <w:u w:val="single"/>
        </w:rPr>
      </w:pPr>
      <w:r>
        <w:rPr>
          <w:rFonts w:cs="Arial"/>
          <w:b/>
          <w:bCs/>
          <w:color w:val="000000"/>
          <w:sz w:val="20"/>
          <w:szCs w:val="20"/>
          <w:u w:val="single"/>
        </w:rPr>
        <w:t>21.4.2.1 O vencedor do certame deverá aplicar o desconto linear e proporcional nos itens pertencentes ao cardápio básico situado no</w:t>
      </w:r>
      <w:r>
        <w:rPr>
          <w:rFonts w:cs="Arial"/>
          <w:b/>
          <w:bCs/>
          <w:color w:val="000000"/>
          <w:sz w:val="20"/>
          <w:szCs w:val="20"/>
          <w:u w:val="single"/>
        </w:rPr>
        <w:t xml:space="preserve"> subitem 1.5.3. </w:t>
      </w:r>
    </w:p>
    <w:p>
      <w:pPr>
        <w:pStyle w:val="Normal"/>
        <w:spacing w:lineRule="auto" w:line="276" w:before="120" w:after="120"/>
        <w:ind w:left="1361" w:hanging="0"/>
        <w:jc w:val="both"/>
        <w:rPr>
          <w:b/>
          <w:b/>
          <w:bCs/>
          <w:color w:val="000000"/>
          <w:u w:val="single"/>
        </w:rPr>
      </w:pPr>
      <w:r>
        <w:rPr>
          <w:rFonts w:cs="Arial"/>
          <w:b/>
          <w:bCs/>
          <w:color w:val="000000"/>
          <w:sz w:val="20"/>
          <w:szCs w:val="20"/>
          <w:u w:val="single"/>
        </w:rPr>
        <w:t>21.4.2.1.1 O desconto ofertado pela licitante vencedora será aplicado no valor unitário de cada kit de lanche e refeição para os alunos regularmente matriculados no IFSertãoPE na execução contratual.</w:t>
      </w:r>
    </w:p>
    <w:p>
      <w:pPr>
        <w:pStyle w:val="Normal"/>
        <w:spacing w:lineRule="auto" w:line="276" w:before="120" w:after="120"/>
        <w:ind w:left="432" w:right="-17" w:hanging="0"/>
        <w:jc w:val="both"/>
        <w:rPr>
          <w:rFonts w:ascii="Arial" w:hAnsi="Arial"/>
          <w:sz w:val="20"/>
          <w:szCs w:val="20"/>
        </w:rPr>
      </w:pPr>
      <w:r>
        <w:rPr>
          <w:rFonts w:cs="Arial"/>
          <w:sz w:val="20"/>
          <w:szCs w:val="20"/>
        </w:rPr>
        <w:t>21.5 As regras de desempate entre propostas são as discriminadas no edital.</w:t>
      </w:r>
    </w:p>
    <w:p>
      <w:pPr>
        <w:pStyle w:val="Nivel1"/>
        <w:ind w:left="340" w:hanging="0"/>
        <w:rPr>
          <w:rFonts w:ascii="Arial" w:hAnsi="Arial"/>
          <w:sz w:val="20"/>
          <w:szCs w:val="20"/>
        </w:rPr>
      </w:pPr>
      <w:r>
        <w:rPr>
          <w:rFonts w:cs="Arial"/>
          <w:bCs/>
          <w:sz w:val="20"/>
          <w:szCs w:val="20"/>
        </w:rPr>
        <w:t>22. ESTIMATIVA DE PREÇOS E PREÇOS REFERENCIAIS.</w:t>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Normal"/>
        <w:spacing w:lineRule="auto" w:line="276" w:before="120" w:after="120"/>
        <w:ind w:left="716" w:hanging="0"/>
        <w:jc w:val="both"/>
        <w:rPr>
          <w:rFonts w:ascii="Arial" w:hAnsi="Arial"/>
          <w:sz w:val="20"/>
          <w:szCs w:val="20"/>
        </w:rPr>
      </w:pPr>
      <w:r>
        <w:rPr>
          <w:rFonts w:cs="Arial"/>
          <w:sz w:val="20"/>
          <w:szCs w:val="20"/>
        </w:rPr>
        <w:t>22.1 O valor de referência para a contratação, para fins de aplicação do maior desconto, será aquele prese</w:t>
      </w:r>
      <w:r>
        <w:rPr>
          <w:rFonts w:cs="Arial"/>
          <w:color w:val="000000"/>
          <w:sz w:val="20"/>
          <w:szCs w:val="20"/>
        </w:rPr>
        <w:t>nte no</w:t>
      </w:r>
      <w:r>
        <w:rPr>
          <w:rFonts w:cs="Arial"/>
          <w:color w:val="000000"/>
          <w:sz w:val="20"/>
          <w:szCs w:val="20"/>
        </w:rPr>
        <w:t xml:space="preserve"> subitem 1.1.1</w:t>
      </w:r>
    </w:p>
    <w:p>
      <w:pPr>
        <w:pStyle w:val="Nivel1"/>
        <w:tabs>
          <w:tab w:val="clear" w:pos="708"/>
          <w:tab w:val="left" w:pos="345" w:leader="none"/>
          <w:tab w:val="left" w:pos="390" w:leader="none"/>
        </w:tabs>
        <w:ind w:left="624" w:hanging="0"/>
        <w:rPr>
          <w:rFonts w:ascii="Arial" w:hAnsi="Arial"/>
          <w:sz w:val="20"/>
          <w:szCs w:val="20"/>
        </w:rPr>
      </w:pPr>
      <w:r>
        <w:rPr>
          <w:rFonts w:eastAsia="Times New Roman" w:cs="Arial"/>
          <w:bCs/>
          <w:color w:val="auto"/>
          <w:sz w:val="20"/>
          <w:szCs w:val="20"/>
        </w:rPr>
        <w:t>23 DOS RECURSOS ORÇAMENTÁRIOS.</w:t>
      </w:r>
    </w:p>
    <w:p>
      <w:pPr>
        <w:pStyle w:val="Normal"/>
        <w:spacing w:lineRule="auto" w:line="276" w:before="120" w:after="120"/>
        <w:ind w:left="716" w:hanging="0"/>
        <w:jc w:val="both"/>
        <w:rPr>
          <w:rFonts w:ascii="Arial" w:hAnsi="Arial"/>
          <w:sz w:val="20"/>
          <w:szCs w:val="20"/>
        </w:rPr>
      </w:pPr>
      <w:r>
        <w:rPr>
          <w:color w:val="000000"/>
          <w:sz w:val="20"/>
          <w:szCs w:val="20"/>
        </w:rPr>
        <w:t>23.1 Não se aplica por se tratar de Concessão temporária do direito de uso de espaço físico para exploração econômica</w:t>
      </w:r>
    </w:p>
    <w:p>
      <w:pPr>
        <w:pStyle w:val="Normal"/>
        <w:spacing w:lineRule="auto" w:line="276" w:before="120" w:after="120"/>
        <w:ind w:left="850" w:firstLine="566"/>
        <w:jc w:val="both"/>
        <w:rPr>
          <w:rFonts w:ascii="Arial" w:hAnsi="Arial" w:cs="Arial"/>
          <w:i/>
          <w:i/>
          <w:iCs/>
          <w:color w:val="FF0000"/>
          <w:sz w:val="20"/>
          <w:szCs w:val="20"/>
          <w:highlight w:val="yellow"/>
        </w:rPr>
      </w:pPr>
      <w:r>
        <w:rPr>
          <w:rFonts w:cs="Arial"/>
          <w:i/>
          <w:iCs/>
          <w:color w:val="FF0000"/>
          <w:sz w:val="20"/>
          <w:szCs w:val="20"/>
          <w:highlight w:val="yellow"/>
        </w:rPr>
      </w:r>
    </w:p>
    <w:p>
      <w:pPr>
        <w:pStyle w:val="Normal"/>
        <w:spacing w:before="0" w:after="360"/>
        <w:ind w:left="360" w:hanging="0"/>
        <w:rPr>
          <w:rFonts w:ascii="Arial" w:hAnsi="Arial"/>
          <w:sz w:val="20"/>
          <w:szCs w:val="20"/>
        </w:rPr>
      </w:pPr>
      <w:r>
        <w:rPr>
          <w:rFonts w:cs="Arial"/>
          <w:b/>
          <w:color w:val="000000"/>
          <w:sz w:val="20"/>
          <w:szCs w:val="20"/>
        </w:rPr>
        <w:t>Anexos:</w:t>
      </w:r>
    </w:p>
    <w:p>
      <w:pPr>
        <w:pStyle w:val="Normal"/>
        <w:spacing w:before="0" w:after="18"/>
        <w:ind w:left="360" w:hanging="0"/>
        <w:rPr>
          <w:rFonts w:ascii="Arial" w:hAnsi="Arial"/>
          <w:sz w:val="20"/>
          <w:szCs w:val="20"/>
        </w:rPr>
      </w:pPr>
      <w:r>
        <w:rPr>
          <w:rFonts w:cs="Arial"/>
          <w:color w:val="000000"/>
          <w:sz w:val="20"/>
          <w:szCs w:val="20"/>
        </w:rPr>
        <w:t>I – Memorial Descritivo</w:t>
      </w:r>
    </w:p>
    <w:p>
      <w:pPr>
        <w:pStyle w:val="Normal"/>
        <w:spacing w:before="0" w:after="360"/>
        <w:ind w:left="360" w:hanging="0"/>
        <w:rPr>
          <w:rFonts w:ascii="Arial" w:hAnsi="Arial"/>
          <w:sz w:val="20"/>
          <w:szCs w:val="20"/>
        </w:rPr>
      </w:pPr>
      <w:r>
        <w:rPr>
          <w:rFonts w:cs="Arial"/>
          <w:color w:val="000000"/>
          <w:sz w:val="20"/>
          <w:szCs w:val="20"/>
        </w:rPr>
        <w:t>II – Estudo Técnico Preliminar e seus anexos.</w:t>
      </w:r>
    </w:p>
    <w:p>
      <w:pPr>
        <w:pStyle w:val="Normal"/>
        <w:spacing w:before="0" w:after="189"/>
        <w:ind w:left="360" w:hanging="0"/>
        <w:jc w:val="right"/>
        <w:rPr>
          <w:rFonts w:ascii="Arial" w:hAnsi="Arial"/>
          <w:sz w:val="20"/>
          <w:szCs w:val="20"/>
        </w:rPr>
      </w:pPr>
      <w:r>
        <w:rPr>
          <w:rFonts w:cs="Arial"/>
          <w:color w:val="000000"/>
          <w:sz w:val="20"/>
          <w:szCs w:val="20"/>
        </w:rPr>
        <w:t>Petrolina-PE, ______ de julho de 2022.</w:t>
      </w:r>
    </w:p>
    <w:p>
      <w:pPr>
        <w:pStyle w:val="Normal"/>
        <w:spacing w:before="0" w:after="360"/>
        <w:rPr>
          <w:rFonts w:ascii="Arial" w:hAnsi="Arial" w:cs="Arial"/>
          <w:color w:val="000000"/>
          <w:sz w:val="20"/>
          <w:szCs w:val="20"/>
        </w:rPr>
      </w:pPr>
      <w:r>
        <w:rPr>
          <w:rFonts w:cs="Arial"/>
          <w:color w:val="000000"/>
          <w:sz w:val="20"/>
          <w:szCs w:val="20"/>
        </w:rPr>
      </w:r>
    </w:p>
    <w:p>
      <w:pPr>
        <w:pStyle w:val="Normal"/>
        <w:spacing w:before="0" w:after="360"/>
        <w:rPr>
          <w:rFonts w:ascii="Arial" w:hAnsi="Arial" w:cs="Arial"/>
          <w:color w:val="000000"/>
          <w:sz w:val="20"/>
          <w:szCs w:val="20"/>
        </w:rPr>
      </w:pPr>
      <w:r>
        <w:rPr>
          <w:rFonts w:cs="Arial"/>
          <w:color w:val="000000"/>
          <w:sz w:val="20"/>
          <w:szCs w:val="20"/>
        </w:rPr>
      </w:r>
    </w:p>
    <w:p>
      <w:pPr>
        <w:pStyle w:val="Normal"/>
        <w:spacing w:before="0" w:after="360"/>
        <w:ind w:left="360" w:hanging="0"/>
        <w:rPr>
          <w:rFonts w:ascii="Arial" w:hAnsi="Arial" w:cs="Arial"/>
          <w:color w:val="000000"/>
          <w:sz w:val="20"/>
          <w:szCs w:val="20"/>
        </w:rPr>
      </w:pPr>
      <w:r>
        <w:rPr>
          <w:rFonts w:cs="Arial"/>
          <w:color w:val="000000"/>
          <w:sz w:val="20"/>
          <w:szCs w:val="20"/>
        </w:rPr>
      </w:r>
    </w:p>
    <w:p>
      <w:pPr>
        <w:pStyle w:val="Standard"/>
        <w:jc w:val="center"/>
        <w:rPr>
          <w:rFonts w:ascii="Arial" w:hAnsi="Arial"/>
          <w:sz w:val="20"/>
          <w:szCs w:val="20"/>
        </w:rPr>
      </w:pPr>
      <w:r>
        <w:rPr>
          <w:rFonts w:cs="Arial" w:ascii="Arial" w:hAnsi="Arial"/>
          <w:b/>
          <w:sz w:val="20"/>
          <w:szCs w:val="20"/>
          <w:lang w:val="pt-BR"/>
        </w:rPr>
        <w:t>Reinaldo de Souza Dantas</w:t>
      </w:r>
      <w:r>
        <w:rPr>
          <w:rFonts w:cs="Arial" w:ascii="Arial" w:hAnsi="Arial"/>
          <w:b/>
          <w:bCs/>
          <w:color w:val="auto"/>
          <w:sz w:val="20"/>
          <w:szCs w:val="20"/>
          <w:lang w:val="pt-BR"/>
        </w:rPr>
        <w:t xml:space="preserve"> </w:t>
      </w:r>
    </w:p>
    <w:p>
      <w:pPr>
        <w:pStyle w:val="Standard"/>
        <w:jc w:val="center"/>
        <w:rPr>
          <w:rFonts w:ascii="Arial" w:hAnsi="Arial"/>
          <w:sz w:val="20"/>
          <w:szCs w:val="20"/>
        </w:rPr>
      </w:pPr>
      <w:r>
        <w:rPr>
          <w:rFonts w:cs="Arial" w:ascii="Arial" w:hAnsi="Arial"/>
          <w:b/>
          <w:bCs/>
          <w:color w:val="auto"/>
          <w:sz w:val="20"/>
          <w:szCs w:val="20"/>
          <w:lang w:val="pt-BR"/>
        </w:rPr>
        <w:t>Diretor de Administração e Planejamento</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Normal"/>
        <w:spacing w:lineRule="auto" w:line="276" w:before="120" w:after="120"/>
        <w:ind w:right="-30" w:hanging="0"/>
        <w:jc w:val="both"/>
        <w:rPr>
          <w:rFonts w:ascii="Arial" w:hAnsi="Arial" w:cs="Arial"/>
          <w:b/>
          <w:b/>
          <w:color w:val="000000"/>
          <w:sz w:val="20"/>
          <w:szCs w:val="20"/>
        </w:rPr>
      </w:pPr>
      <w:r>
        <w:rPr>
          <w:rFonts w:cs="Arial"/>
          <w:b/>
          <w:color w:val="000000"/>
          <w:sz w:val="20"/>
          <w:szCs w:val="20"/>
        </w:rPr>
      </w:r>
    </w:p>
    <w:p>
      <w:pPr>
        <w:pStyle w:val="Normal"/>
        <w:spacing w:before="0" w:after="246"/>
        <w:jc w:val="both"/>
        <w:rPr>
          <w:rFonts w:ascii="Arial" w:hAnsi="Arial"/>
          <w:sz w:val="20"/>
          <w:szCs w:val="20"/>
        </w:rPr>
      </w:pPr>
      <w:r>
        <w:rPr>
          <w:rFonts w:cs="Arial"/>
          <w:b/>
          <w:color w:val="000000"/>
          <w:sz w:val="20"/>
          <w:szCs w:val="20"/>
        </w:rPr>
        <w:t>APROVO o</w:t>
      </w:r>
      <w:r>
        <w:rPr>
          <w:rFonts w:cs="Arial"/>
          <w:color w:val="000000"/>
          <w:sz w:val="20"/>
          <w:szCs w:val="20"/>
        </w:rPr>
        <w:t xml:space="preserve"> presente Termo de Referência de acordo com o </w:t>
      </w:r>
      <w:r>
        <w:rPr>
          <w:color w:val="000009"/>
          <w:sz w:val="20"/>
          <w:szCs w:val="20"/>
        </w:rPr>
        <w:t xml:space="preserve">inciso I do Artigo 3º da Lei nº 10.520/2002 </w:t>
      </w:r>
      <w:r>
        <w:rPr>
          <w:rFonts w:cs="Arial"/>
          <w:color w:val="000000"/>
          <w:sz w:val="20"/>
          <w:szCs w:val="20"/>
        </w:rPr>
        <w:t>, cuja finalidade é subsidiar os licitantes de todas as informações necessárias a Concessão Onerosa de Uso de bem público imóvel, referente ao espaço cantina/restaurante, do Instituto Federal do Sertão Pernambucano – Campus Petrolina, estando presentes os elementos necessários à identificação do objeto, seu custo e todos os critérios para participação de forma clara e concisa.</w:t>
      </w:r>
    </w:p>
    <w:p>
      <w:pPr>
        <w:pStyle w:val="Normal"/>
        <w:spacing w:before="0" w:after="189"/>
        <w:ind w:left="360" w:hanging="0"/>
        <w:jc w:val="right"/>
        <w:rPr>
          <w:rFonts w:ascii="Arial" w:hAnsi="Arial"/>
          <w:sz w:val="20"/>
          <w:szCs w:val="20"/>
        </w:rPr>
      </w:pPr>
      <w:r>
        <w:rPr>
          <w:rFonts w:cs="Arial"/>
          <w:color w:val="000000"/>
          <w:sz w:val="20"/>
          <w:szCs w:val="20"/>
        </w:rPr>
        <w:t>Petrolina-PE, ______ de julho de 2022.</w:t>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sz w:val="20"/>
          <w:szCs w:val="20"/>
        </w:rPr>
      </w:pPr>
      <w:r>
        <w:rPr>
          <w:rFonts w:cs="Arial" w:ascii="Arial" w:hAnsi="Arial"/>
          <w:b/>
          <w:sz w:val="20"/>
          <w:szCs w:val="20"/>
          <w:lang w:val="pt-BR"/>
        </w:rPr>
        <w:t>Fabiano de Almeida Marinho</w:t>
      </w:r>
    </w:p>
    <w:p>
      <w:pPr>
        <w:pStyle w:val="Standard"/>
        <w:jc w:val="center"/>
        <w:rPr>
          <w:rFonts w:ascii="Arial" w:hAnsi="Arial"/>
          <w:sz w:val="20"/>
          <w:szCs w:val="20"/>
        </w:rPr>
      </w:pPr>
      <w:r>
        <w:rPr>
          <w:rFonts w:cs="Arial" w:ascii="Arial" w:hAnsi="Arial"/>
          <w:b/>
          <w:bCs/>
          <w:color w:val="auto"/>
          <w:sz w:val="20"/>
          <w:szCs w:val="20"/>
          <w:lang w:val="pt-BR"/>
        </w:rPr>
        <w:t>Diretor Geral</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Normal"/>
        <w:spacing w:before="0" w:after="360"/>
        <w:ind w:left="360" w:hanging="0"/>
        <w:rPr>
          <w:rFonts w:ascii="Arial" w:hAnsi="Arial" w:cs="Arial"/>
          <w:b/>
          <w:b/>
          <w:color w:val="000000"/>
          <w:sz w:val="20"/>
          <w:szCs w:val="20"/>
        </w:rPr>
      </w:pPr>
      <w:r>
        <w:rPr>
          <w:rFonts w:cs="Arial"/>
          <w:b/>
          <w:color w:val="000000"/>
          <w:sz w:val="20"/>
          <w:szCs w:val="20"/>
        </w:rPr>
      </w:r>
    </w:p>
    <w:p>
      <w:pPr>
        <w:pStyle w:val="Normal"/>
        <w:rPr>
          <w:rFonts w:ascii="Arial" w:hAnsi="Arial" w:cs="Arial"/>
          <w:color w:val="000000"/>
          <w:sz w:val="20"/>
          <w:szCs w:val="20"/>
        </w:rPr>
      </w:pPr>
      <w:r>
        <w:rPr>
          <w:rFonts w:cs="Arial"/>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sz w:val="20"/>
          <w:szCs w:val="20"/>
        </w:rPr>
      </w:r>
    </w:p>
    <w:p>
      <w:pPr>
        <w:pStyle w:val="Normal"/>
        <w:ind w:hanging="0"/>
        <w:rPr>
          <w:rFonts w:ascii="Arial" w:hAnsi="Arial"/>
          <w:b/>
          <w:b/>
          <w:color w:val="000000"/>
          <w:sz w:val="20"/>
          <w:szCs w:val="20"/>
        </w:rPr>
      </w:pPr>
      <w:r>
        <w:rPr>
          <w:b/>
          <w:color w:val="000000"/>
          <w:sz w:val="20"/>
          <w:szCs w:val="20"/>
        </w:rPr>
      </w:r>
    </w:p>
    <w:p>
      <w:pPr>
        <w:pStyle w:val="Normal"/>
        <w:ind w:left="360" w:hanging="0"/>
        <w:rPr>
          <w:rFonts w:ascii="Arial" w:hAnsi="Arial"/>
          <w:b/>
          <w:b/>
          <w:color w:val="000000"/>
          <w:sz w:val="20"/>
          <w:szCs w:val="20"/>
        </w:rPr>
      </w:pPr>
      <w:r>
        <w:rPr>
          <w:b/>
          <w:color w:val="000000"/>
        </w:rPr>
      </w:r>
    </w:p>
    <w:p>
      <w:pPr>
        <w:pStyle w:val="Normal"/>
        <w:spacing w:lineRule="auto" w:line="276"/>
        <w:jc w:val="center"/>
        <w:rPr>
          <w:b/>
          <w:b/>
          <w:color w:val="000000"/>
        </w:rPr>
      </w:pPr>
      <w:r>
        <w:rPr>
          <w:b/>
          <w:color w:val="000000"/>
        </w:rPr>
      </w:r>
    </w:p>
    <w:p>
      <w:pPr>
        <w:pStyle w:val="Normal"/>
        <w:spacing w:lineRule="auto" w:line="276"/>
        <w:jc w:val="center"/>
        <w:rPr>
          <w:rFonts w:ascii="Arial" w:hAnsi="Arial"/>
          <w:sz w:val="20"/>
          <w:szCs w:val="20"/>
        </w:rPr>
      </w:pPr>
      <w:r>
        <w:rPr>
          <w:b/>
          <w:color w:val="000000"/>
          <w:sz w:val="20"/>
          <w:szCs w:val="20"/>
        </w:rPr>
        <w:t>ANEXO I</w:t>
      </w:r>
    </w:p>
    <w:p>
      <w:pPr>
        <w:pStyle w:val="Normal"/>
        <w:jc w:val="center"/>
        <w:rPr>
          <w:rFonts w:ascii="Arial" w:hAnsi="Arial"/>
          <w:sz w:val="20"/>
          <w:szCs w:val="20"/>
        </w:rPr>
      </w:pPr>
      <w:r>
        <w:rPr>
          <w:b/>
          <w:color w:val="000000"/>
          <w:sz w:val="20"/>
          <w:szCs w:val="20"/>
        </w:rPr>
        <w:t xml:space="preserve">MEMORIAL DESCRITIVO </w:t>
      </w:r>
    </w:p>
    <w:p>
      <w:pPr>
        <w:pStyle w:val="Normal"/>
        <w:jc w:val="center"/>
        <w:rPr>
          <w:rFonts w:ascii="Arial" w:hAnsi="Arial"/>
          <w:b/>
          <w:b/>
          <w:color w:val="000000"/>
          <w:sz w:val="20"/>
          <w:szCs w:val="20"/>
        </w:rPr>
      </w:pPr>
      <w:r>
        <w:rPr>
          <w:b/>
          <w:color w:val="000000"/>
          <w:sz w:val="20"/>
          <w:szCs w:val="20"/>
        </w:rPr>
      </w:r>
    </w:p>
    <w:p>
      <w:pPr>
        <w:pStyle w:val="Normal"/>
        <w:rPr>
          <w:rFonts w:ascii="Arial" w:hAnsi="Arial"/>
          <w:sz w:val="20"/>
          <w:szCs w:val="20"/>
        </w:rPr>
      </w:pPr>
      <w:r>
        <w:rPr>
          <w:b/>
          <w:color w:val="000000"/>
          <w:sz w:val="20"/>
          <w:szCs w:val="20"/>
        </w:rPr>
        <w:t>Nome do imóvel</w:t>
        <w:tab/>
        <w:tab/>
        <w:t>-</w:t>
        <w:tab/>
        <w:t>Cantina do IFSertãoPE</w:t>
        <w:tab/>
      </w:r>
    </w:p>
    <w:p>
      <w:pPr>
        <w:pStyle w:val="Normal"/>
        <w:jc w:val="both"/>
        <w:rPr>
          <w:rFonts w:ascii="Arial" w:hAnsi="Arial"/>
          <w:sz w:val="20"/>
          <w:szCs w:val="20"/>
        </w:rPr>
      </w:pPr>
      <w:r>
        <w:rPr>
          <w:b/>
          <w:color w:val="000000"/>
          <w:sz w:val="20"/>
          <w:szCs w:val="20"/>
        </w:rPr>
        <w:t>Endereço do imóvel</w:t>
        <w:tab/>
        <w:t>-</w:t>
        <w:tab/>
        <w:t>Rua Maria Luzia de Araújo Gomes Cabral, 791 - João de Deus, Petrolina - PE, 56316-686, Fone (87) 2101-4300.</w:t>
      </w:r>
    </w:p>
    <w:p>
      <w:pPr>
        <w:pStyle w:val="Normal"/>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Trata-se o presente memorial da descrição do espaço físico em alvenaria anexo ao refeitóri</w:t>
      </w:r>
      <w:r>
        <w:rPr>
          <w:sz w:val="20"/>
          <w:szCs w:val="20"/>
        </w:rPr>
        <w:t>o</w:t>
      </w:r>
      <w:r>
        <w:rPr>
          <w:color w:val="000000"/>
          <w:sz w:val="20"/>
          <w:szCs w:val="20"/>
        </w:rPr>
        <w:t xml:space="preserve"> e a Copa principal do Campus Petrolina denominado “lanchonete” que totaliza 6</w:t>
      </w:r>
      <w:r>
        <w:rPr>
          <w:sz w:val="20"/>
          <w:szCs w:val="20"/>
        </w:rPr>
        <w:t>3,82 (sessenta e três vírgula oitenta e dois)</w:t>
      </w:r>
      <w:r>
        <w:rPr>
          <w:color w:val="000000"/>
          <w:sz w:val="20"/>
          <w:szCs w:val="20"/>
        </w:rPr>
        <w:t xml:space="preserve"> m² comp</w:t>
      </w:r>
      <w:r>
        <w:rPr>
          <w:sz w:val="20"/>
          <w:szCs w:val="20"/>
        </w:rPr>
        <w:t>osta de 04 (quatro) espaços distintos denominado ESTOQUE: 7,15 (sete vírgula quinze) m²; COCÇÃO 16,95 (dezesseis vírgula noventa e cinco) m²; PREPARO 14,79 (quatorze vírgula setenta e nove) m² e CANTINA 24,93 (vinte e quatro vírgula noventa e três) m²</w:t>
      </w:r>
      <w:r>
        <w:rPr>
          <w:color w:val="000000"/>
          <w:sz w:val="20"/>
          <w:szCs w:val="20"/>
        </w:rPr>
        <w:t xml:space="preserve">.  A </w:t>
      </w:r>
      <w:r>
        <w:rPr>
          <w:sz w:val="20"/>
          <w:szCs w:val="20"/>
        </w:rPr>
        <w:t>área</w:t>
      </w:r>
      <w:r>
        <w:rPr>
          <w:color w:val="000000"/>
          <w:sz w:val="20"/>
          <w:szCs w:val="20"/>
        </w:rPr>
        <w:t xml:space="preserve"> denominada </w:t>
      </w:r>
      <w:r>
        <w:rPr>
          <w:sz w:val="20"/>
          <w:szCs w:val="20"/>
        </w:rPr>
        <w:t>“</w:t>
      </w:r>
      <w:r>
        <w:rPr>
          <w:color w:val="000000"/>
          <w:sz w:val="20"/>
          <w:szCs w:val="20"/>
        </w:rPr>
        <w:t>RECEBIMENTO</w:t>
      </w:r>
      <w:r>
        <w:rPr>
          <w:sz w:val="20"/>
          <w:szCs w:val="20"/>
        </w:rPr>
        <w:t>”</w:t>
      </w:r>
      <w:r>
        <w:rPr>
          <w:color w:val="000000"/>
          <w:sz w:val="20"/>
          <w:szCs w:val="20"/>
        </w:rPr>
        <w:t xml:space="preserve"> </w:t>
      </w:r>
      <w:r>
        <w:rPr>
          <w:sz w:val="20"/>
          <w:szCs w:val="20"/>
        </w:rPr>
        <w:t xml:space="preserve">é de uso comum a lanchonete e ao refeitório e não será computada para fins de aluguel. </w:t>
      </w:r>
      <w:r>
        <w:rPr>
          <w:color w:val="000000"/>
          <w:sz w:val="20"/>
          <w:szCs w:val="20"/>
        </w:rPr>
        <w:t xml:space="preserve">A </w:t>
      </w:r>
      <w:r>
        <w:rPr>
          <w:sz w:val="20"/>
          <w:szCs w:val="20"/>
        </w:rPr>
        <w:t>estrutura</w:t>
      </w:r>
      <w:r>
        <w:rPr>
          <w:color w:val="000000"/>
          <w:sz w:val="20"/>
          <w:szCs w:val="20"/>
        </w:rPr>
        <w:t xml:space="preserve"> d</w:t>
      </w:r>
      <w:r>
        <w:rPr>
          <w:sz w:val="20"/>
          <w:szCs w:val="20"/>
        </w:rPr>
        <w:t xml:space="preserve">a “lanchonete” </w:t>
      </w:r>
      <w:r>
        <w:rPr>
          <w:color w:val="000000"/>
          <w:sz w:val="20"/>
          <w:szCs w:val="20"/>
        </w:rPr>
        <w:t xml:space="preserve">é contígua ao refeitório e o acesso principal também o é. Sua entrada </w:t>
      </w:r>
      <w:r>
        <w:rPr>
          <w:sz w:val="20"/>
          <w:szCs w:val="20"/>
        </w:rPr>
        <w:t>dá-se</w:t>
      </w:r>
      <w:r>
        <w:rPr>
          <w:color w:val="000000"/>
          <w:sz w:val="20"/>
          <w:szCs w:val="20"/>
        </w:rPr>
        <w:t xml:space="preserve"> pela lateral direita do </w:t>
      </w:r>
      <w:r>
        <w:rPr>
          <w:sz w:val="20"/>
          <w:szCs w:val="20"/>
        </w:rPr>
        <w:t>refeitório</w:t>
      </w:r>
      <w:r>
        <w:rPr>
          <w:color w:val="000000"/>
          <w:sz w:val="20"/>
          <w:szCs w:val="20"/>
        </w:rPr>
        <w:t xml:space="preserve"> no corredor de acesso ao Setor Médico.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A frente é em vidro temperado transparente de correr para o atendimento do público da cantina/restaurante com altura de 1,50 metros e com divisórias na parte de baixo em alvenaria de bloco cerâmico e divisórias com bancada em concreto, tendo ainda uma bancada de granito para o apoio dos alimentos no atendimento. Existe uma entrada </w:t>
      </w:r>
      <w:r>
        <w:rPr>
          <w:sz w:val="20"/>
          <w:szCs w:val="20"/>
        </w:rPr>
        <w:t xml:space="preserve">na CANTINA que </w:t>
      </w:r>
      <w:r>
        <w:rPr>
          <w:color w:val="000000"/>
          <w:sz w:val="20"/>
          <w:szCs w:val="20"/>
        </w:rPr>
        <w:t>leva a 03 (três) portas internas, em vidro temperado,  de giro com todas as ferragens e fechadura em todos os ambientes internos e na outra porta (RECEBIMENTO) que dar acesso a mesma grade de ferro da entrada das merendeiras e também a um WC, 01 em frente que leva a “lanchonete” e 01 à esquerda que encerra na copa principal. Neste espaço (</w:t>
      </w:r>
      <w:r>
        <w:rPr>
          <w:sz w:val="20"/>
          <w:szCs w:val="20"/>
        </w:rPr>
        <w:t xml:space="preserve">RECEBIMENTO) </w:t>
      </w:r>
      <w:r>
        <w:rPr>
          <w:color w:val="000000"/>
          <w:sz w:val="20"/>
          <w:szCs w:val="20"/>
        </w:rPr>
        <w:t xml:space="preserve">comum tem-se 01 (uma) pia em inox INSI 530 equipada com dispensadores de sabão </w:t>
      </w:r>
      <w:r>
        <w:rPr>
          <w:sz w:val="20"/>
          <w:szCs w:val="20"/>
        </w:rPr>
        <w:t>líquido</w:t>
      </w:r>
      <w:r>
        <w:rPr>
          <w:color w:val="000000"/>
          <w:sz w:val="20"/>
          <w:szCs w:val="20"/>
        </w:rPr>
        <w:t xml:space="preserve"> e papel toalha, devidamente fixados na parede imediatamente acima da pia. A porta de acesso à lanchonete é de  folha de vidro temperado com fechadura 90 x 210 metros. É possível verificar que o espaço tem duas delimitações físicas: Externa e Interna. O </w:t>
      </w:r>
      <w:r>
        <w:rPr>
          <w:b/>
          <w:color w:val="000000"/>
          <w:sz w:val="20"/>
          <w:szCs w:val="20"/>
          <w:u w:val="single"/>
        </w:rPr>
        <w:t>ambiente externo (AE)</w:t>
      </w:r>
      <w:r>
        <w:rPr>
          <w:color w:val="000000"/>
          <w:sz w:val="20"/>
          <w:szCs w:val="20"/>
        </w:rPr>
        <w:t xml:space="preserve"> é o local de comercialização de alimentos e este é delimitado por um portal que separa as áreas internas e externas e um balcão de alvenaria no limite da AE com o pátio que dá acesso ao auditório e também local onde se realiza refeições. O balcão de atendimento é em alvenaria e sua “bancada” é em granito. As paredes da AE são revestidas com revestimento cerâmico de 10 x 10cm na cor verde e com rejunte na mesma cor, nas áreas que </w:t>
      </w:r>
      <w:r>
        <w:rPr>
          <w:sz w:val="20"/>
          <w:szCs w:val="20"/>
        </w:rPr>
        <w:t>têm</w:t>
      </w:r>
      <w:r>
        <w:rPr>
          <w:color w:val="000000"/>
          <w:sz w:val="20"/>
          <w:szCs w:val="20"/>
        </w:rPr>
        <w:t xml:space="preserve"> os balcões de granito e as cubas inox, sendo pintadas com tinta acrílica nas demais áreas. Não apresenta fissuras estruturais ou qualquer defeito no momento desta vistoria, pois foi concluída a pouco tempo. O vão entre o balcão e o teto é livre durante o atendimento e fechado com um vidro temperado tipo janela de correr com fechadura por toda sua extensão. A </w:t>
      </w:r>
      <w:r>
        <w:rPr>
          <w:b/>
          <w:color w:val="000000"/>
          <w:sz w:val="20"/>
          <w:szCs w:val="20"/>
        </w:rPr>
        <w:t xml:space="preserve">área interna (AI) </w:t>
      </w:r>
      <w:r>
        <w:rPr>
          <w:color w:val="000000"/>
          <w:sz w:val="20"/>
          <w:szCs w:val="20"/>
        </w:rPr>
        <w:t xml:space="preserve">tem divisões em alvenaria para </w:t>
      </w:r>
      <w:r>
        <w:rPr>
          <w:sz w:val="20"/>
          <w:szCs w:val="20"/>
        </w:rPr>
        <w:t>depósito</w:t>
      </w:r>
      <w:r>
        <w:rPr>
          <w:color w:val="000000"/>
          <w:sz w:val="20"/>
          <w:szCs w:val="20"/>
        </w:rPr>
        <w:t xml:space="preserve"> de gêneros alimentício, depósito de material de limpeza e objetos pessoas</w:t>
      </w:r>
      <w:r>
        <w:rPr>
          <w:sz w:val="20"/>
          <w:szCs w:val="20"/>
        </w:rPr>
        <w:t xml:space="preserve"> </w:t>
      </w:r>
      <w:r>
        <w:rPr>
          <w:color w:val="000000"/>
          <w:sz w:val="20"/>
          <w:szCs w:val="20"/>
        </w:rPr>
        <w:t xml:space="preserve">e uma área para uso diverso de produção da cantina/restaurante com bancadas de granito e cubas inox, existindo revestimento cerâmico 20 x 40 cm na cor branca e rejunte branco, nos locais que tem as cubas de lavatório com suas torneiras inox e sifão inox, as portas existentes de 80 x 210 cm em vidro temperado com fechadura e de giro no </w:t>
      </w:r>
      <w:r>
        <w:rPr>
          <w:sz w:val="20"/>
          <w:szCs w:val="20"/>
        </w:rPr>
        <w:t>depósito</w:t>
      </w:r>
      <w:r>
        <w:rPr>
          <w:color w:val="000000"/>
          <w:sz w:val="20"/>
          <w:szCs w:val="20"/>
        </w:rPr>
        <w:t xml:space="preserve"> na ligação da produção para a área de atendimento e mais duas portas 90 x 210 cm na entrada de ligação da área de atendimento para o pátio e da entrada das merendeiras para o interior da cantina,  tais espaços e as delimitações são feitas estritamente por paredes de alvenaria revestidas com massa única e pintadas com tinta </w:t>
      </w:r>
      <w:r>
        <w:rPr>
          <w:sz w:val="20"/>
          <w:szCs w:val="20"/>
        </w:rPr>
        <w:t>acrílica.</w:t>
      </w:r>
      <w:r>
        <w:rPr>
          <w:color w:val="000000"/>
          <w:sz w:val="20"/>
          <w:szCs w:val="20"/>
        </w:rPr>
        <w:t xml:space="preserve"> O </w:t>
      </w:r>
      <w:r>
        <w:rPr>
          <w:sz w:val="20"/>
          <w:szCs w:val="20"/>
        </w:rPr>
        <w:t>depósito</w:t>
      </w:r>
      <w:r>
        <w:rPr>
          <w:color w:val="000000"/>
          <w:sz w:val="20"/>
          <w:szCs w:val="20"/>
        </w:rPr>
        <w:t xml:space="preserve"> de gêneros alimentícios tem suas paredes revestidas. As demais áreas, incluindo o acesso comum com a copa principal do Campus, são revestidas com azulejo branco 15x15, rejuntadas na mesma cor e sem frestas aparentes ou fissuras estruturais. Este espaço é equipado com balcão de 5,0 x 0, 55 metros e confeccionado em aço inox INSI 530 e afixado em muretas de alvenarias. A área de produção da cantina/restaurante é equipada com balcões de granito e cubas inox, com torneiras e sifão inox, totalizando três cubas inox e um lavatório em louça. O espaço de atendimento tem azulejo verde 15 x 15 cm até o teto e um balcão em granito com uma cuba inox e torneira e sifão inox.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el</w:t>
      </w:r>
      <w:r>
        <w:rPr>
          <w:sz w:val="20"/>
          <w:szCs w:val="20"/>
        </w:rPr>
        <w:t>étrico</w:t>
      </w:r>
      <w:r>
        <w:rPr>
          <w:color w:val="000000"/>
          <w:sz w:val="20"/>
          <w:szCs w:val="20"/>
        </w:rPr>
        <w:t xml:space="preserve"> é todo em rede monofásica e 220 V. Todo o espaço é equipado com tomadas elétricas 2P+T, 15ª, padrão novo, com interruptores e tomadas embutidas e espelho de marca, as luminárias em tubos e lâmpadas em LED.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Todo o piso é em granilite polido e com divisórias de vidros 1,0 x 1,0 metros. O teto tipo laje e na cor branca sem infiltrações aparentes. A iluminação é monofásica, em 220 V, através de lâmpadas </w:t>
      </w:r>
      <w:r>
        <w:rPr>
          <w:sz w:val="20"/>
          <w:szCs w:val="20"/>
        </w:rPr>
        <w:t>fluorescentes</w:t>
      </w:r>
      <w:r>
        <w:rPr>
          <w:color w:val="000000"/>
          <w:sz w:val="20"/>
          <w:szCs w:val="20"/>
        </w:rPr>
        <w:t xml:space="preserve"> em LED.</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de água é compartilhado com a rede hidráulica do IF Sertão PE e a alimentação vem da caixa d’água geral. O fornecimento primário é a concessionária pública COMPESA. A disponibilização é estritamente através de torneiras manuais.</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A rede de esgoto também é compartilhada e o lançamento dar-se na rede coletora do sistema público.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espaço não possui acesso veicular.</w:t>
      </w:r>
    </w:p>
    <w:p>
      <w:pPr>
        <w:pStyle w:val="Normal"/>
        <w:spacing w:before="0" w:after="360"/>
        <w:ind w:left="360" w:hanging="0"/>
        <w:rPr>
          <w:rFonts w:ascii="Arial" w:hAnsi="Arial"/>
          <w:sz w:val="20"/>
          <w:szCs w:val="20"/>
        </w:rPr>
      </w:pPr>
      <w:r>
        <w:rPr/>
      </w:r>
    </w:p>
    <w:sectPr>
      <w:headerReference w:type="default" r:id="rId2"/>
      <w:footerReference w:type="default" r:id="rId3"/>
      <w:type w:val="nextPage"/>
      <w:pgSz w:w="11906" w:h="16838"/>
      <w:pgMar w:left="1701" w:right="1134" w:gutter="0" w:header="709" w:top="1418" w:footer="709" w:bottom="1418"/>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Contínuos sem dedicação exclusiva de mão de obra</w:t>
    </w:r>
  </w:p>
  <w:p>
    <w:pPr>
      <w:pStyle w:val="Rodap"/>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s>
      <w:rPr/>
    </w:pPr>
    <w:r>
      <w:drawing>
        <wp:anchor behindDoc="1" distT="0" distB="0" distL="0" distR="0" simplePos="0" locked="0" layoutInCell="0" allowOverlap="1" relativeHeight="35">
          <wp:simplePos x="0" y="0"/>
          <wp:positionH relativeFrom="column">
            <wp:posOffset>-489585</wp:posOffset>
          </wp:positionH>
          <wp:positionV relativeFrom="paragraph">
            <wp:posOffset>-230505</wp:posOffset>
          </wp:positionV>
          <wp:extent cx="1423035" cy="562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69">
          <wp:simplePos x="0" y="0"/>
          <wp:positionH relativeFrom="column">
            <wp:posOffset>2604770</wp:posOffset>
          </wp:positionH>
          <wp:positionV relativeFrom="paragraph">
            <wp:posOffset>-90170</wp:posOffset>
          </wp:positionV>
          <wp:extent cx="529590" cy="51943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pPr>
    <w:r>
      <w:rPr>
        <w:rFonts w:cs="Arial"/>
        <w:b/>
        <w:bCs/>
        <w:color w:val="000000"/>
        <w:sz w:val="16"/>
        <w:szCs w:val="16"/>
      </w:rPr>
      <w:t>INSTITUTO FEDERAL DE EDUCAÇÃO, CIÊNCIA E TECNOLOGIA DO SERTÃO PERNAMBUCANO</w:t>
    </w:r>
  </w:p>
  <w:p>
    <w:pPr>
      <w:pStyle w:val="NoSpacing"/>
      <w:pBdr>
        <w:bottom w:val="single" w:sz="4" w:space="1" w:color="000001"/>
      </w:pBdr>
      <w:jc w:val="center"/>
      <w:rPr>
        <w:rFonts w:ascii="Arial" w:hAnsi="Arial" w:cs="Bookman Old Style"/>
        <w:b/>
        <w:b/>
        <w:bCs/>
        <w:sz w:val="16"/>
        <w:szCs w:val="16"/>
      </w:rPr>
    </w:pPr>
    <w:r>
      <w:rPr>
        <w:rFonts w:cs="Bookman Old Style" w:ascii="Arial" w:hAnsi="Arial"/>
        <w:b/>
        <w:bCs/>
        <w:sz w:val="16"/>
        <w:szCs w:val="16"/>
      </w:rPr>
      <w:t>CAMPUS PETROLINA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502" w:hanging="360"/>
      </w:pPr>
      <w:rPr>
        <w:dstrike w:val="false"/>
        <w:strike w:val="false"/>
        <w:sz w:val="20"/>
        <w:i w:val="false"/>
        <w:b/>
        <w:rFonts w:ascii="Arial" w:hAnsi="Arial"/>
      </w:rPr>
    </w:lvl>
    <w:lvl w:ilvl="1">
      <w:start w:val="1"/>
      <w:numFmt w:val="decimal"/>
      <w:lvlText w:val="%1.%2."/>
      <w:lvlJc w:val="left"/>
      <w:pPr>
        <w:tabs>
          <w:tab w:val="num" w:pos="0"/>
        </w:tabs>
        <w:ind w:left="858" w:hanging="432"/>
      </w:pPr>
      <w:rPr>
        <w:dstrike w:val="false"/>
        <w:strike w:val="false"/>
        <w:b w:val="false"/>
        <w:rFonts w:ascii="Arial" w:hAnsi="Arial"/>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0">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1">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4"/>
  </w:num>
  <w:num w:numId="30">
    <w:abstractNumId w:val="4"/>
  </w:num>
  <w:num w:numId="31">
    <w:abstractNumId w:val="4"/>
  </w:num>
  <w:num w:numId="32">
    <w:abstractNumId w:val="4"/>
  </w:num>
  <w:num w:numId="33">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4">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5">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6">
    <w:abstractNumId w:val="12"/>
    <w:lvlOverride w:ilvl="2">
      <w:startOverride w:val="1"/>
    </w:lvlOverride>
  </w:num>
  <w:num w:numId="37">
    <w:abstractNumId w:val="12"/>
  </w:num>
  <w:num w:numId="38">
    <w:abstractNumId w:val="12"/>
  </w:num>
  <w:num w:numId="39">
    <w:abstractNumId w:val="12"/>
  </w:num>
  <w:num w:numId="40">
    <w:abstractNumId w:val="12"/>
  </w:num>
  <w:num w:numId="41">
    <w:abstractNumId w:val="17"/>
    <w:lvlOverride w:ilvl="2">
      <w:startOverride w:val="1"/>
    </w:lvlOverride>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lang w:val="x-none" w:eastAsia="x-none"/>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sz w:val="22"/>
      <w:szCs w:val="22"/>
    </w:rPr>
  </w:style>
  <w:style w:type="paragraph" w:styleId="Ttu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Linkdainternetvisitado" w:customStyle="1">
    <w:name w:val="Link da internet visitado"/>
    <w:basedOn w:val="DefaultParagraphFont"/>
    <w:semiHidden/>
    <w:unhideWhenUsed/>
    <w:rsid w:val="00114978"/>
    <w:rPr>
      <w:color w:val="800080" w:themeColor="followedHyperlink"/>
      <w:u w:val="single"/>
    </w:rPr>
  </w:style>
  <w:style w:type="character" w:styleId="Marcadores" w:customStyle="1">
    <w:name w:val="Marcadores"/>
    <w:qFormat/>
    <w:rPr>
      <w:rFonts w:ascii="OpenSymbol" w:hAnsi="OpenSymbol" w:eastAsia="OpenSymbol" w:cs="OpenSymbol"/>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qFormat/>
    <w:rsid w:val="000a23da"/>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customStyle="1">
    <w:name w:val="Cabeçalho e Rodapé"/>
    <w:basedOn w:val="Normal"/>
    <w:qFormat/>
    <w:pPr/>
    <w:rPr/>
  </w:style>
  <w:style w:type="paragraph" w:styleId="Cabealho">
    <w:name w:val="Header"/>
    <w:basedOn w:val="Normal"/>
    <w:link w:val="CabealhoChar"/>
    <w:unhideWhenUsed/>
    <w:rsid w:val="00db64ef"/>
    <w:pPr>
      <w:tabs>
        <w:tab w:val="clear" w:pos="708"/>
        <w:tab w:val="center" w:pos="4252" w:leader="none"/>
        <w:tab w:val="right" w:pos="8504" w:leader="none"/>
      </w:tabs>
    </w:pPr>
    <w:rPr/>
  </w:style>
  <w:style w:type="paragraph" w:styleId="Rodap">
    <w:name w:val="Footer"/>
    <w:basedOn w:val="Normal"/>
    <w:link w:val="RodapChar"/>
    <w:uiPriority w:val="99"/>
    <w:unhideWhenUsed/>
    <w:rsid w:val="00db64ef"/>
    <w:pPr>
      <w:tabs>
        <w:tab w:val="clear" w:pos="708"/>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outlineLvl w:val="9"/>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outlineLvl w:val="9"/>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08"/>
        <w:tab w:val="left" w:pos="360" w:leader="none"/>
        <w:tab w:val="left" w:pos="567" w:leader="none"/>
      </w:tabs>
      <w:jc w:val="both"/>
      <w:outlineLvl w:val="9"/>
    </w:pPr>
    <w:rPr>
      <w:rFonts w:ascii="Ecofont_Spranq_eco_Sans" w:hAnsi="Ecofont_Spranq_eco_Sans" w:cs="Times New Roman"/>
      <w:b/>
      <w:bCs/>
      <w:color w:val="auto"/>
      <w:sz w:val="20"/>
      <w:szCs w:val="20"/>
    </w:rPr>
  </w:style>
  <w:style w:type="paragraph" w:styleId="GradeColoridanfase11" w:customStyle="1">
    <w:name w:val="Grade Colorida - Ênfase 11"/>
    <w:basedOn w:val="Normal"/>
    <w:next w:val="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numPr>
        <w:ilvl w:val="0"/>
        <w:numId w:val="2"/>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d7051d"/>
    <w:pPr>
      <w:tabs>
        <w:tab w:val="clear" w:pos="708"/>
        <w:tab w:val="left" w:pos="360" w:leader="none"/>
      </w:tabs>
      <w:ind w:left="644" w:hanging="432"/>
    </w:pPr>
    <w:rPr>
      <w:rFonts w:cs="Arial"/>
      <w:b/>
    </w:rPr>
  </w:style>
  <w:style w:type="paragraph" w:styleId="Nivel3" w:customStyle="1">
    <w:name w:val="Nivel 3"/>
    <w:basedOn w:val="Nivel2"/>
    <w:qFormat/>
    <w:rsid w:val="00d7051d"/>
    <w:pPr>
      <w:tabs>
        <w:tab w:val="clear" w:pos="708"/>
        <w:tab w:val="left" w:pos="360" w:leader="none"/>
      </w:tabs>
      <w:ind w:left="1922" w:hanging="0"/>
    </w:pPr>
    <w:rPr>
      <w:rFonts w:cs="Arial"/>
      <w:color w:val="000000"/>
    </w:rPr>
  </w:style>
  <w:style w:type="paragraph" w:styleId="Nivel4" w:customStyle="1">
    <w:name w:val="Nivel 4"/>
    <w:basedOn w:val="Nivel3"/>
    <w:qFormat/>
    <w:rsid w:val="00d7051d"/>
    <w:pPr>
      <w:ind w:left="2491" w:hanging="0"/>
    </w:pPr>
    <w:rPr>
      <w:color w:val="auto"/>
    </w:rPr>
  </w:style>
  <w:style w:type="paragraph" w:styleId="Nivel5" w:customStyle="1">
    <w:name w:val="Nivel 5"/>
    <w:basedOn w:val="Nivel4"/>
    <w:qFormat/>
    <w:rsid w:val="00d7051d"/>
    <w:pPr>
      <w:ind w:left="3485" w:hanging="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en-US" w:eastAsia="en-US" w:bidi="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1E7196-F035-4094-A57A-D59D4F7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Application>LibreOffice/7.2.5.2$Windows_X86_64 LibreOffice_project/499f9727c189e6ef3471021d6132d4c694f357e5</Application>
  <AppVersion>15.0000</AppVersion>
  <Pages>34</Pages>
  <Words>11524</Words>
  <Characters>64846</Characters>
  <CharactersWithSpaces>75574</CharactersWithSpaces>
  <Paragraphs>976</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2021-06-24T17:23:00Z</dcterms:created>
  <dc:creator>Adriano</dc:creator>
  <dc:description/>
  <dc:language>pt-BR</dc:language>
  <cp:lastModifiedBy/>
  <cp:lastPrinted>2017-09-20T11:39:00Z</cp:lastPrinted>
  <dcterms:modified xsi:type="dcterms:W3CDTF">2022-07-14T17:19:18Z</dcterms:modified>
  <cp:revision>107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