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0"/>
          <w:szCs w:val="20"/>
        </w:rPr>
      </w:pPr>
      <w:r>
        <w:rPr>
          <w:rFonts w:cs="Arial" w:ascii="Arial" w:hAnsi="Arial"/>
          <w:b/>
          <w:bCs/>
          <w:iCs/>
          <w:color w:val="000000"/>
          <w:sz w:val="20"/>
          <w:szCs w:val="20"/>
        </w:rPr>
        <w:t>ANEXO II</w:t>
      </w:r>
    </w:p>
    <w:p>
      <w:pPr>
        <w:pStyle w:val="Normal"/>
        <w:jc w:val="center"/>
        <w:rPr>
          <w:rFonts w:ascii="Arial" w:hAnsi="Arial" w:cs="Arial"/>
          <w:sz w:val="20"/>
          <w:szCs w:val="20"/>
        </w:rPr>
      </w:pPr>
      <w:r>
        <w:rPr/>
      </w:r>
    </w:p>
    <w:p>
      <w:pPr>
        <w:pStyle w:val="Normal"/>
        <w:jc w:val="center"/>
        <w:rPr>
          <w:rFonts w:ascii="Arial" w:hAnsi="Arial" w:cs="Arial"/>
          <w:sz w:val="20"/>
          <w:szCs w:val="20"/>
        </w:rPr>
      </w:pPr>
      <w:r>
        <w:rPr>
          <w:rFonts w:cs="Arial" w:ascii="Arial" w:hAnsi="Arial"/>
          <w:b/>
          <w:bCs/>
          <w:iCs/>
          <w:color w:val="000000"/>
          <w:sz w:val="20"/>
          <w:szCs w:val="20"/>
        </w:rPr>
        <w:t>ATA DE REGISTRO DE PREÇOS</w:t>
      </w:r>
    </w:p>
    <w:p>
      <w:pPr>
        <w:pStyle w:val="Normal"/>
        <w:jc w:val="center"/>
        <w:rPr>
          <w:rFonts w:ascii="Arial" w:hAnsi="Arial" w:cs="Arial"/>
          <w:sz w:val="20"/>
          <w:szCs w:val="20"/>
        </w:rPr>
      </w:pPr>
      <w:r>
        <w:rPr>
          <w:rFonts w:cs="Arial" w:ascii="Arial" w:hAnsi="Arial"/>
          <w:b/>
          <w:bCs/>
          <w:iCs/>
          <w:color w:val="000000"/>
          <w:sz w:val="20"/>
          <w:szCs w:val="20"/>
        </w:rPr>
        <w:t>INSTITUTO FEDERAL DE EDUCAÇÃO, CIÊNCIA E TECNOLOGIA DO SERTÃO PERNAMBUCANO</w:t>
      </w:r>
    </w:p>
    <w:p>
      <w:pPr>
        <w:pStyle w:val="Normal"/>
        <w:widowControl w:val="false"/>
        <w:ind w:right="-30" w:hanging="0"/>
        <w:jc w:val="center"/>
        <w:rPr>
          <w:rFonts w:ascii="Arial" w:hAnsi="Arial" w:cs="Arial"/>
          <w:bCs/>
          <w:sz w:val="20"/>
          <w:szCs w:val="20"/>
        </w:rPr>
      </w:pPr>
      <w:r>
        <w:rPr>
          <w:rFonts w:cs="Arial" w:ascii="Arial" w:hAnsi="Arial"/>
          <w:bCs/>
          <w:sz w:val="20"/>
          <w:szCs w:val="20"/>
        </w:rPr>
        <w:t>N.º .........</w:t>
      </w:r>
    </w:p>
    <w:p>
      <w:pPr>
        <w:pStyle w:val="Normal"/>
        <w:widowControl w:val="false"/>
        <w:ind w:right="-30" w:hanging="0"/>
        <w:jc w:val="both"/>
        <w:rPr>
          <w:rFonts w:ascii="Arial" w:hAnsi="Arial" w:cs="Arial"/>
          <w:sz w:val="20"/>
          <w:szCs w:val="20"/>
        </w:rPr>
      </w:pPr>
      <w:r>
        <w:rPr>
          <w:rFonts w:cs="Arial" w:ascii="Arial" w:hAnsi="Arial"/>
          <w:sz w:val="20"/>
          <w:szCs w:val="20"/>
        </w:rPr>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t xml:space="preserve">O(A) </w:t>
      </w:r>
      <w:r>
        <w:rPr>
          <w:rFonts w:cs="Arial" w:ascii="Arial" w:hAnsi="Arial"/>
          <w:b/>
          <w:bCs/>
          <w:sz w:val="20"/>
          <w:szCs w:val="20"/>
        </w:rPr>
        <w:t>INSTITUTO FEDERAL DE EDUCAÇÃO, CIÊNCIA E TECNOLOGIA DO SERTÃO PERNAMBUCANO</w:t>
      </w:r>
      <w:r>
        <w:rPr>
          <w:rFonts w:cs="Arial" w:ascii="Arial" w:hAnsi="Arial"/>
          <w:sz w:val="20"/>
          <w:szCs w:val="20"/>
        </w:rPr>
        <w:t>, com sede no(a</w:t>
      </w:r>
      <w:r>
        <w:rPr>
          <w:rFonts w:cs="Arial" w:ascii="Arial" w:hAnsi="Arial"/>
          <w:sz w:val="20"/>
          <w:szCs w:val="20"/>
        </w:rPr>
        <w:t xml:space="preserve">) </w:t>
      </w:r>
      <w:r>
        <w:rPr>
          <w:rFonts w:cs="Arial" w:ascii="Arial" w:hAnsi="Arial"/>
          <w:b/>
          <w:bCs/>
          <w:sz w:val="20"/>
          <w:szCs w:val="20"/>
        </w:rPr>
        <w:t>RUA ARISTARCO LOPES, 240, CENTRO, PETROLINA-PE, CEP-56.320-</w:t>
      </w:r>
      <w:r>
        <w:rPr>
          <w:rFonts w:cs="Arial" w:ascii="Arial" w:hAnsi="Arial"/>
          <w:b/>
          <w:bCs/>
          <w:sz w:val="20"/>
          <w:szCs w:val="20"/>
        </w:rPr>
        <w:t>100</w:t>
      </w:r>
      <w:r>
        <w:rPr>
          <w:rFonts w:cs="Arial" w:ascii="Arial" w:hAnsi="Arial"/>
          <w:b/>
          <w:bCs/>
          <w:sz w:val="20"/>
          <w:szCs w:val="20"/>
        </w:rPr>
        <w:t xml:space="preserve">, na cidade de </w:t>
      </w:r>
      <w:r>
        <w:rPr>
          <w:rFonts w:cs="Arial" w:ascii="Arial" w:hAnsi="Arial"/>
          <w:b/>
          <w:bCs/>
          <w:sz w:val="20"/>
          <w:szCs w:val="20"/>
        </w:rPr>
        <w:t>PETROLINA/PE</w:t>
      </w:r>
      <w:r>
        <w:rPr>
          <w:rFonts w:cs="Arial" w:ascii="Arial" w:hAnsi="Arial"/>
          <w:b/>
          <w:bCs/>
          <w:sz w:val="20"/>
          <w:szCs w:val="20"/>
        </w:rPr>
        <w:t>,</w:t>
      </w:r>
      <w:r>
        <w:rPr>
          <w:rFonts w:cs="Arial" w:ascii="Arial" w:hAnsi="Arial"/>
          <w:sz w:val="20"/>
          <w:szCs w:val="20"/>
        </w:rPr>
        <w:t xml:space="preserve"> inscrito(a) no CNPJ/MF sob o nº </w:t>
      </w:r>
      <w:r>
        <w:rPr>
          <w:rFonts w:cs="Arial" w:ascii="Arial" w:hAnsi="Arial"/>
          <w:b/>
          <w:bCs/>
          <w:sz w:val="20"/>
          <w:szCs w:val="20"/>
        </w:rPr>
        <w:t>10.830.301/0001-04</w:t>
      </w:r>
      <w:r>
        <w:rPr>
          <w:rFonts w:cs="Arial" w:ascii="Arial" w:hAnsi="Arial"/>
          <w:b/>
          <w:bCs/>
          <w:sz w:val="20"/>
          <w:szCs w:val="20"/>
        </w:rPr>
        <w:t>,</w:t>
      </w:r>
      <w:r>
        <w:rPr>
          <w:rFonts w:cs="Arial" w:ascii="Arial" w:hAnsi="Arial"/>
          <w:sz w:val="20"/>
          <w:szCs w:val="20"/>
        </w:rPr>
        <w:t xml:space="preserve"> neste ato representado(a) pelo(a) </w:t>
      </w:r>
      <w:r>
        <w:rPr>
          <w:rFonts w:cs="Arial" w:ascii="Arial" w:hAnsi="Arial"/>
          <w:b/>
          <w:bCs/>
          <w:sz w:val="20"/>
          <w:szCs w:val="20"/>
        </w:rPr>
        <w:t>Magnífica Reitora Sra. Leopoldina Veras Camelo</w:t>
      </w:r>
      <w:r>
        <w:rPr>
          <w:rFonts w:cs="Arial" w:ascii="Arial" w:hAnsi="Arial"/>
          <w:sz w:val="20"/>
          <w:szCs w:val="20"/>
        </w:rPr>
        <w:t>, nomeado(a) pela Portaria nº ...... de ..... de ...... de 200..., publicada no ....... de ..... de ....... de ....., portador da matrícula funcional nº ...................,, considerando o julgamento da licitação na modalidade de pregão, na forma eletrônica,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bCs/>
          <w:sz w:val="20"/>
          <w:szCs w:val="20"/>
        </w:rPr>
      </w:pPr>
      <w:r>
        <w:rPr>
          <w:rFonts w:cs="Arial" w:ascii="Arial" w:hAnsi="Arial"/>
          <w:b/>
          <w:bCs/>
          <w:sz w:val="20"/>
          <w:szCs w:val="20"/>
        </w:rPr>
        <w:t>DO OBJETO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A presente Ata tem por objeto o registro de preços para a eventual aquisição d</w:t>
      </w:r>
      <w:r>
        <w:rPr>
          <w:rFonts w:cs="Arial" w:ascii="Arial" w:hAnsi="Arial"/>
          <w:sz w:val="20"/>
          <w:szCs w:val="20"/>
        </w:rPr>
        <w:t xml:space="preserve">e </w:t>
      </w:r>
      <w:r>
        <w:rPr>
          <w:rFonts w:cs="Arial" w:ascii="Arial" w:hAnsi="Arial"/>
          <w:b/>
          <w:bCs/>
          <w:color w:val="000000"/>
          <w:sz w:val="20"/>
          <w:szCs w:val="20"/>
        </w:rPr>
        <w:t>Aquisição de materiais e medicamentos odontológicos e hospitalares para o IF - Sertão - PE</w:t>
      </w:r>
      <w:r>
        <w:rPr>
          <w:rFonts w:cs="Arial" w:ascii="Arial" w:hAnsi="Arial"/>
          <w:sz w:val="20"/>
          <w:szCs w:val="20"/>
        </w:rPr>
        <w:t xml:space="preserve">, especificado(s) no(s) item(ns) </w:t>
      </w:r>
      <w:r>
        <w:rPr>
          <w:rFonts w:cs="Arial" w:ascii="Arial" w:hAnsi="Arial"/>
          <w:sz w:val="20"/>
          <w:szCs w:val="20"/>
        </w:rPr>
        <w:t>DE 01 à 132</w:t>
      </w:r>
      <w:r>
        <w:rPr>
          <w:rFonts w:cs="Arial" w:ascii="Arial" w:hAnsi="Arial"/>
          <w:sz w:val="20"/>
          <w:szCs w:val="20"/>
        </w:rPr>
        <w:t xml:space="preserve"> </w:t>
      </w:r>
      <w:r>
        <w:rPr>
          <w:rFonts w:cs="Arial" w:ascii="Arial" w:hAnsi="Arial"/>
          <w:sz w:val="20"/>
          <w:szCs w:val="20"/>
        </w:rPr>
        <w:t xml:space="preserve">anexo I/B </w:t>
      </w:r>
      <w:r>
        <w:rPr>
          <w:rFonts w:cs="Arial" w:ascii="Arial" w:hAnsi="Arial"/>
          <w:sz w:val="20"/>
          <w:szCs w:val="20"/>
        </w:rPr>
        <w:t xml:space="preserve">do Termo de Referência, anexo </w:t>
      </w:r>
      <w:r>
        <w:rPr>
          <w:rFonts w:cs="Arial" w:ascii="Arial" w:hAnsi="Arial"/>
          <w:sz w:val="20"/>
          <w:szCs w:val="20"/>
        </w:rPr>
        <w:t>I</w:t>
      </w:r>
      <w:r>
        <w:rPr>
          <w:rFonts w:cs="Arial" w:ascii="Arial" w:hAnsi="Arial"/>
          <w:sz w:val="20"/>
          <w:szCs w:val="20"/>
        </w:rPr>
        <w:t xml:space="preserve"> do edital de</w:t>
      </w:r>
      <w:r>
        <w:rPr>
          <w:rFonts w:cs="Arial" w:ascii="Arial" w:hAnsi="Arial"/>
          <w:b/>
          <w:bCs/>
          <w:sz w:val="20"/>
          <w:szCs w:val="20"/>
        </w:rPr>
        <w:t xml:space="preserve"> </w:t>
      </w:r>
      <w:r>
        <w:rPr>
          <w:rFonts w:cs="Arial" w:ascii="Arial" w:hAnsi="Arial"/>
          <w:b/>
          <w:bCs/>
          <w:i/>
          <w:sz w:val="20"/>
          <w:szCs w:val="20"/>
        </w:rPr>
        <w:t>Pregão</w:t>
      </w:r>
      <w:r>
        <w:rPr>
          <w:rFonts w:cs="Arial" w:ascii="Arial" w:hAnsi="Arial"/>
          <w:b/>
          <w:bCs/>
          <w:sz w:val="20"/>
          <w:szCs w:val="20"/>
        </w:rPr>
        <w:t xml:space="preserve"> nº </w:t>
      </w:r>
      <w:r>
        <w:rPr>
          <w:rFonts w:cs="Arial" w:ascii="Arial" w:hAnsi="Arial"/>
          <w:b/>
          <w:bCs/>
          <w:sz w:val="20"/>
          <w:szCs w:val="20"/>
        </w:rPr>
        <w:t>11</w:t>
      </w:r>
      <w:r>
        <w:rPr>
          <w:rFonts w:cs="Arial" w:ascii="Arial" w:hAnsi="Arial"/>
          <w:b/>
          <w:bCs/>
          <w:sz w:val="20"/>
          <w:szCs w:val="20"/>
        </w:rPr>
        <w:t>/20</w:t>
      </w:r>
      <w:r>
        <w:rPr>
          <w:rFonts w:cs="Arial" w:ascii="Arial" w:hAnsi="Arial"/>
          <w:b/>
          <w:bCs/>
          <w:sz w:val="20"/>
          <w:szCs w:val="20"/>
        </w:rPr>
        <w:t>22</w:t>
      </w:r>
      <w:r>
        <w:rPr>
          <w:rFonts w:cs="Arial" w:ascii="Arial" w:hAnsi="Arial"/>
          <w:sz w:val="20"/>
          <w:szCs w:val="20"/>
        </w:rPr>
        <w:t>, que é parte integrante desta Ata, assim como a proposta vencedora, independentemente de transcrição.</w:t>
      </w:r>
    </w:p>
    <w:p>
      <w:pPr>
        <w:pStyle w:val="Normal"/>
        <w:widowControl w:val="false"/>
        <w:ind w:left="792"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sz w:val="20"/>
          <w:szCs w:val="20"/>
        </w:rPr>
      </w:pPr>
      <w:r>
        <w:rPr>
          <w:rFonts w:cs="Arial" w:ascii="Arial" w:hAnsi="Arial"/>
          <w:b/>
          <w:bCs/>
          <w:sz w:val="20"/>
          <w:szCs w:val="20"/>
        </w:rPr>
        <w:t>DOS PREÇOS, ESPECIFICAÇÕES E QUANTITATIVOS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O preço registrado, as especificações do objeto, a quantidade, fornecedor(es) e as demais condições ofertadas na(s) proposta(s) são as que seguem: </w:t>
      </w:r>
    </w:p>
    <w:tbl>
      <w:tblPr>
        <w:tblW w:w="8551"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495"/>
        <w:gridCol w:w="1334"/>
        <w:gridCol w:w="1253"/>
        <w:gridCol w:w="1542"/>
        <w:gridCol w:w="1121"/>
        <w:gridCol w:w="1120"/>
        <w:gridCol w:w="842"/>
        <w:gridCol w:w="843"/>
      </w:tblGrid>
      <w:tr>
        <w:trPr>
          <w:trHeight w:val="511" w:hRule="atLeast"/>
        </w:trPr>
        <w:tc>
          <w:tcPr>
            <w:tcW w:w="4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ind w:right="-30" w:hanging="0"/>
              <w:jc w:val="center"/>
              <w:rPr>
                <w:rFonts w:ascii="Arial" w:hAnsi="Arial" w:cs="Arial"/>
                <w:sz w:val="20"/>
                <w:szCs w:val="20"/>
              </w:rPr>
            </w:pPr>
            <w:r>
              <w:rPr>
                <w:rFonts w:cs="Arial" w:ascii="Arial" w:hAnsi="Arial"/>
                <w:sz w:val="20"/>
                <w:szCs w:val="20"/>
              </w:rPr>
              <w:t>Item</w:t>
            </w:r>
          </w:p>
          <w:p>
            <w:pPr>
              <w:pStyle w:val="Normal"/>
              <w:widowControl w:val="false"/>
              <w:ind w:right="-30" w:hanging="0"/>
              <w:jc w:val="center"/>
              <w:rPr>
                <w:rFonts w:ascii="Arial" w:hAnsi="Arial" w:cs="Arial"/>
                <w:sz w:val="20"/>
                <w:szCs w:val="20"/>
              </w:rPr>
            </w:pPr>
            <w:r>
              <w:rPr>
                <w:rFonts w:cs="Arial" w:ascii="Arial" w:hAnsi="Arial"/>
                <w:sz w:val="20"/>
                <w:szCs w:val="20"/>
              </w:rPr>
              <w:t>do</w:t>
            </w:r>
          </w:p>
          <w:p>
            <w:pPr>
              <w:pStyle w:val="Normal"/>
              <w:widowControl w:val="false"/>
              <w:ind w:right="-30" w:hanging="0"/>
              <w:jc w:val="center"/>
              <w:rPr>
                <w:rFonts w:ascii="Arial" w:hAnsi="Arial" w:cs="Arial"/>
                <w:sz w:val="20"/>
                <w:szCs w:val="20"/>
              </w:rPr>
            </w:pPr>
            <w:r>
              <w:rPr>
                <w:rFonts w:cs="Arial" w:ascii="Arial" w:hAnsi="Arial"/>
                <w:sz w:val="20"/>
                <w:szCs w:val="20"/>
              </w:rPr>
              <w:t>TR</w:t>
            </w:r>
          </w:p>
        </w:tc>
        <w:tc>
          <w:tcPr>
            <w:tcW w:w="8055" w:type="dxa"/>
            <w:gridSpan w:val="7"/>
            <w:tcBorders>
              <w:top w:val="single" w:sz="2" w:space="0" w:color="000000"/>
              <w:left w:val="single" w:sz="2" w:space="0" w:color="000000"/>
              <w:bottom w:val="single" w:sz="2" w:space="0" w:color="000000"/>
              <w:right w:val="single" w:sz="2" w:space="0" w:color="000000"/>
            </w:tcBorders>
            <w:vAlign w:val="center"/>
          </w:tcPr>
          <w:p>
            <w:pPr>
              <w:pStyle w:val="Normal"/>
              <w:widowControl w:val="false"/>
              <w:ind w:right="-30" w:hanging="0"/>
              <w:jc w:val="center"/>
              <w:rPr>
                <w:rFonts w:ascii="Arial" w:hAnsi="Arial" w:cs="Arial"/>
                <w:color w:val="000000"/>
              </w:rPr>
            </w:pPr>
            <w:r>
              <w:rPr>
                <w:rFonts w:cs="Arial" w:ascii="Arial" w:hAnsi="Arial"/>
                <w:color w:val="000000"/>
                <w:sz w:val="20"/>
                <w:szCs w:val="20"/>
              </w:rPr>
              <w:t xml:space="preserve">Fornecedor </w:t>
            </w:r>
            <w:r>
              <w:rPr>
                <w:rFonts w:cs="Arial" w:ascii="Arial" w:hAnsi="Arial"/>
                <w:i/>
                <w:color w:val="000000"/>
                <w:sz w:val="20"/>
                <w:szCs w:val="20"/>
              </w:rPr>
              <w:t>(razão social, CNPJ/MF, endereço, contatos, representante)</w:t>
            </w:r>
          </w:p>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r>
          </w:p>
        </w:tc>
      </w:tr>
      <w:tr>
        <w:trPr>
          <w:trHeight w:val="674" w:hRule="atLeast"/>
        </w:trPr>
        <w:tc>
          <w:tcPr>
            <w:tcW w:w="495" w:type="dxa"/>
            <w:tcBorders>
              <w:left w:val="single" w:sz="2" w:space="0" w:color="000000"/>
              <w:bottom w:val="single" w:sz="2" w:space="0" w:color="000000"/>
            </w:tcBorders>
            <w:vAlign w:val="center"/>
          </w:tcPr>
          <w:p>
            <w:pPr>
              <w:pStyle w:val="Normal"/>
              <w:widowControl w:val="false"/>
              <w:ind w:right="-30" w:hanging="0"/>
              <w:jc w:val="center"/>
              <w:rPr>
                <w:rFonts w:ascii="Arial" w:hAnsi="Arial" w:cs="Arial"/>
                <w:sz w:val="20"/>
                <w:szCs w:val="20"/>
              </w:rPr>
            </w:pPr>
            <w:r>
              <w:rPr>
                <w:rFonts w:cs="Arial" w:ascii="Arial" w:hAnsi="Arial"/>
                <w:sz w:val="20"/>
                <w:szCs w:val="20"/>
              </w:rPr>
              <w:t>X</w:t>
            </w:r>
          </w:p>
        </w:tc>
        <w:tc>
          <w:tcPr>
            <w:tcW w:w="1334" w:type="dxa"/>
            <w:tcBorders>
              <w:left w:val="single" w:sz="2" w:space="0" w:color="000000"/>
              <w:bottom w:val="single" w:sz="2" w:space="0" w:color="000000"/>
            </w:tcBorders>
          </w:tcPr>
          <w:p>
            <w:pPr>
              <w:pStyle w:val="Normal"/>
              <w:widowControl w:val="false"/>
              <w:ind w:right="-30" w:hanging="0"/>
              <w:jc w:val="both"/>
              <w:rPr>
                <w:rFonts w:ascii="Arial" w:hAnsi="Arial" w:cs="Arial"/>
                <w:color w:val="000000"/>
                <w:sz w:val="20"/>
                <w:szCs w:val="20"/>
              </w:rPr>
            </w:pPr>
            <w:r>
              <w:rPr>
                <w:rFonts w:cs="Arial" w:ascii="Arial" w:hAnsi="Arial"/>
                <w:color w:val="000000"/>
                <w:sz w:val="20"/>
                <w:szCs w:val="20"/>
              </w:rPr>
              <w:t>Especificação</w:t>
            </w:r>
          </w:p>
        </w:tc>
        <w:tc>
          <w:tcPr>
            <w:tcW w:w="1253" w:type="dxa"/>
            <w:tcBorders>
              <w:left w:val="single" w:sz="2" w:space="0" w:color="000000"/>
              <w:bottom w:val="single" w:sz="2"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 xml:space="preserve">Marca </w:t>
            </w:r>
          </w:p>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(se exigida no edital)</w:t>
            </w:r>
          </w:p>
        </w:tc>
        <w:tc>
          <w:tcPr>
            <w:tcW w:w="1542" w:type="dxa"/>
            <w:tcBorders>
              <w:left w:val="single" w:sz="2" w:space="0" w:color="000000"/>
              <w:bottom w:val="single" w:sz="2"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Modelo</w:t>
            </w:r>
          </w:p>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(se exigido no edital)</w:t>
            </w:r>
          </w:p>
        </w:tc>
        <w:tc>
          <w:tcPr>
            <w:tcW w:w="1121" w:type="dxa"/>
            <w:tcBorders>
              <w:left w:val="single" w:sz="2" w:space="0" w:color="000000"/>
              <w:bottom w:val="single" w:sz="2" w:space="0" w:color="000000"/>
            </w:tcBorders>
          </w:tcPr>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t>Unidade</w:t>
            </w:r>
          </w:p>
        </w:tc>
        <w:tc>
          <w:tcPr>
            <w:tcW w:w="1120" w:type="dxa"/>
            <w:tcBorders>
              <w:left w:val="single" w:sz="2" w:space="0" w:color="000000"/>
              <w:bottom w:val="single" w:sz="2" w:space="0" w:color="000000"/>
            </w:tcBorders>
          </w:tcPr>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t>Quantidade</w:t>
            </w:r>
          </w:p>
        </w:tc>
        <w:tc>
          <w:tcPr>
            <w:tcW w:w="842" w:type="dxa"/>
            <w:tcBorders>
              <w:left w:val="single" w:sz="2" w:space="0" w:color="000000"/>
              <w:bottom w:val="single" w:sz="2" w:space="0" w:color="000000"/>
            </w:tcBorders>
          </w:tcPr>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t>Valor Un</w:t>
            </w:r>
          </w:p>
        </w:tc>
        <w:tc>
          <w:tcPr>
            <w:tcW w:w="843" w:type="dxa"/>
            <w:tcBorders>
              <w:left w:val="single" w:sz="2" w:space="0" w:color="000000"/>
              <w:bottom w:val="single" w:sz="2" w:space="0" w:color="000000"/>
              <w:right w:val="single" w:sz="2" w:space="0" w:color="000000"/>
            </w:tcBorders>
          </w:tcPr>
          <w:p>
            <w:pPr>
              <w:pStyle w:val="Normal"/>
              <w:widowControl w:val="false"/>
              <w:ind w:right="-30" w:hanging="0"/>
              <w:jc w:val="center"/>
              <w:rPr>
                <w:rFonts w:ascii="Arial" w:hAnsi="Arial" w:cs="Arial"/>
                <w:color w:val="000000"/>
                <w:sz w:val="20"/>
                <w:szCs w:val="20"/>
              </w:rPr>
            </w:pPr>
            <w:r>
              <w:rPr>
                <w:rFonts w:cs="Arial" w:ascii="Arial" w:hAnsi="Arial"/>
                <w:i/>
                <w:iCs/>
                <w:color w:val="000000"/>
                <w:sz w:val="20"/>
                <w:szCs w:val="20"/>
              </w:rPr>
              <w:t>Prazo garantia ou validade</w:t>
            </w:r>
          </w:p>
        </w:tc>
      </w:tr>
      <w:tr>
        <w:trPr>
          <w:trHeight w:val="174" w:hRule="atLeast"/>
        </w:trPr>
        <w:tc>
          <w:tcPr>
            <w:tcW w:w="495"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334"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253"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542"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0"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2"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3" w:type="dxa"/>
            <w:tcBorders>
              <w:left w:val="single" w:sz="2" w:space="0" w:color="000000"/>
              <w:bottom w:val="single" w:sz="2" w:space="0" w:color="000000"/>
              <w:right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r>
    </w:tbl>
    <w:p>
      <w:pPr>
        <w:pStyle w:val="Normal"/>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425" w:hanging="0"/>
        <w:jc w:val="both"/>
        <w:rPr>
          <w:rFonts w:ascii="Arial" w:hAnsi="Arial" w:cs="Arial"/>
          <w:sz w:val="20"/>
          <w:szCs w:val="20"/>
          <w:lang w:eastAsia="en-US"/>
        </w:rPr>
      </w:pPr>
      <w:r>
        <w:rPr>
          <w:rFonts w:cs="Arial" w:ascii="Arial" w:hAnsi="Arial"/>
          <w:sz w:val="20"/>
          <w:szCs w:val="20"/>
          <w:lang w:eastAsia="en-US"/>
        </w:rPr>
        <w:t>A listagem do cadastro de reserva referente ao presente registro de preços consta como anexo a esta Ata.</w:t>
      </w:r>
    </w:p>
    <w:p>
      <w:pPr>
        <w:pStyle w:val="Normal"/>
        <w:widowControl w:val="false"/>
        <w:numPr>
          <w:ilvl w:val="0"/>
          <w:numId w:val="1"/>
        </w:numPr>
        <w:spacing w:before="240" w:after="0"/>
        <w:jc w:val="both"/>
        <w:rPr>
          <w:color w:val="000000"/>
        </w:rPr>
      </w:pPr>
      <w:r>
        <w:rPr>
          <w:rFonts w:cs="Arial" w:ascii="Arial" w:hAnsi="Arial"/>
          <w:b/>
          <w:bCs/>
          <w:i/>
          <w:iCs/>
          <w:color w:val="000000"/>
          <w:sz w:val="20"/>
          <w:szCs w:val="20"/>
        </w:rPr>
        <w:t>ÓRGÃO(S) GERENCIADOR E  PARTICIPANTE(S)</w:t>
      </w:r>
    </w:p>
    <w:p>
      <w:pPr>
        <w:pStyle w:val="Normal"/>
        <w:numPr>
          <w:ilvl w:val="1"/>
          <w:numId w:val="1"/>
        </w:numPr>
        <w:spacing w:lineRule="auto" w:line="276" w:before="120" w:after="120"/>
        <w:ind w:left="792" w:hanging="432"/>
        <w:jc w:val="both"/>
        <w:rPr>
          <w:color w:val="000000"/>
        </w:rPr>
      </w:pPr>
      <w:r>
        <w:rPr>
          <w:rFonts w:cs="Arial" w:ascii="Arial" w:hAnsi="Arial"/>
          <w:i/>
          <w:color w:val="000000"/>
          <w:sz w:val="20"/>
          <w:szCs w:val="20"/>
        </w:rPr>
        <w:t>O órgão gerenciador será o ......(nome do órgão)....</w:t>
      </w:r>
    </w:p>
    <w:p>
      <w:pPr>
        <w:pStyle w:val="Normal"/>
        <w:numPr>
          <w:ilvl w:val="1"/>
          <w:numId w:val="1"/>
        </w:numPr>
        <w:spacing w:lineRule="auto" w:line="276" w:before="120" w:after="120"/>
        <w:ind w:left="425" w:hanging="0"/>
        <w:jc w:val="both"/>
        <w:rPr>
          <w:color w:val="000000"/>
        </w:rPr>
      </w:pPr>
      <w:r>
        <w:rPr>
          <w:rFonts w:cs="Arial" w:ascii="Arial" w:hAnsi="Arial"/>
          <w:i/>
          <w:iCs/>
          <w:color w:val="000000"/>
          <w:sz w:val="20"/>
          <w:szCs w:val="20"/>
        </w:rPr>
        <w:t>São órgãos e entidades públicas participantes do registro de preços:</w:t>
      </w:r>
    </w:p>
    <w:p>
      <w:pPr>
        <w:pStyle w:val="Normal"/>
        <w:widowControl w:val="false"/>
        <w:tabs>
          <w:tab w:val="clear" w:pos="708"/>
          <w:tab w:val="left" w:pos="2093" w:leader="none"/>
        </w:tabs>
        <w:spacing w:before="240" w:after="0"/>
        <w:ind w:left="792" w:right="-30" w:hanging="0"/>
        <w:jc w:val="both"/>
        <w:rPr>
          <w:color w:val="000000"/>
        </w:rPr>
      </w:pPr>
      <w:r>
        <w:rPr>
          <w:rFonts w:cs="Arial" w:ascii="Arial" w:hAnsi="Arial"/>
          <w:i/>
          <w:iCs/>
          <w:color w:val="000000"/>
          <w:sz w:val="20"/>
          <w:szCs w:val="20"/>
        </w:rPr>
        <w:tab/>
      </w:r>
    </w:p>
    <w:tbl>
      <w:tblPr>
        <w:tblW w:w="897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244"/>
        <w:gridCol w:w="2244"/>
        <w:gridCol w:w="2245"/>
        <w:gridCol w:w="2244"/>
      </w:tblGrid>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 xml:space="preserve">Item nº </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Órgãos Participantes</w:t>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Unidade</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Quantidade</w:t>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bl>
    <w:p>
      <w:pPr>
        <w:pStyle w:val="Normal"/>
        <w:widowControl w:val="false"/>
        <w:ind w:right="-30" w:hanging="0"/>
        <w:jc w:val="both"/>
        <w:rPr>
          <w:rFonts w:ascii="Arial" w:hAnsi="Arial" w:cs="Arial"/>
          <w:i/>
          <w:i/>
          <w:iCs/>
          <w:color w:val="000000"/>
          <w:sz w:val="20"/>
          <w:szCs w:val="20"/>
        </w:rPr>
      </w:pPr>
      <w:r>
        <w:rPr>
          <w:rFonts w:cs="Arial" w:ascii="Arial" w:hAnsi="Arial"/>
          <w:i/>
          <w:iCs/>
          <w:color w:val="000000"/>
          <w:sz w:val="20"/>
          <w:szCs w:val="20"/>
        </w:rPr>
      </w:r>
    </w:p>
    <w:p>
      <w:pPr>
        <w:pStyle w:val="Nivel1"/>
        <w:numPr>
          <w:ilvl w:val="0"/>
          <w:numId w:val="1"/>
        </w:numPr>
        <w:rPr>
          <w:i/>
          <w:i/>
          <w:color w:val="FF0000"/>
          <w:lang w:eastAsia="en-US"/>
        </w:rPr>
      </w:pPr>
      <w:r>
        <w:rPr>
          <w:lang w:eastAsia="en-US"/>
        </w:rPr>
        <w:t>DA ADESÃO À ATA DE REGISTRO DE PREÇOS</w:t>
      </w:r>
    </w:p>
    <w:p>
      <w:pPr>
        <w:pStyle w:val="Normal"/>
        <w:ind w:firstLine="567"/>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792" w:hanging="432"/>
        <w:jc w:val="both"/>
        <w:rPr>
          <w:i w:val="false"/>
          <w:i w:val="false"/>
          <w:iCs w:val="false"/>
          <w:color w:val="000000"/>
        </w:rPr>
      </w:pPr>
      <w:r>
        <w:rPr>
          <w:rFonts w:cs="Arial" w:ascii="Arial" w:hAnsi="Arial"/>
          <w:i w:val="false"/>
          <w:iCs w:val="false"/>
          <w:color w:val="00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2"/>
          <w:numId w:val="1"/>
        </w:numPr>
        <w:spacing w:lineRule="auto" w:line="276" w:before="120" w:after="120"/>
        <w:ind w:left="1224" w:hanging="504"/>
        <w:jc w:val="both"/>
        <w:rPr>
          <w:i w:val="false"/>
          <w:i w:val="false"/>
          <w:color w:val="000000"/>
        </w:rPr>
      </w:pPr>
      <w:r>
        <w:rPr>
          <w:rFonts w:cs="Arial" w:ascii="Arial" w:hAnsi="Arial"/>
          <w:i w:val="false"/>
          <w:iCs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numPr>
          <w:ilvl w:val="1"/>
          <w:numId w:val="1"/>
        </w:numPr>
        <w:spacing w:lineRule="auto" w:line="276" w:before="120" w:after="120"/>
        <w:ind w:left="792" w:hanging="432"/>
        <w:jc w:val="both"/>
        <w:rPr>
          <w:color w:val="000000"/>
        </w:rPr>
      </w:pPr>
      <w:r>
        <w:rPr>
          <w:rFonts w:cs="Arial" w:ascii="Arial" w:hAnsi="Arial"/>
          <w:i/>
          <w:color w:val="000000"/>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1"/>
          <w:numId w:val="1"/>
        </w:numPr>
        <w:spacing w:lineRule="auto" w:line="276" w:before="120" w:after="120"/>
        <w:ind w:left="792" w:hanging="432"/>
        <w:jc w:val="both"/>
        <w:rPr>
          <w:color w:val="000000"/>
        </w:rPr>
      </w:pPr>
      <w:r>
        <w:rPr>
          <w:rFonts w:cs="Arial" w:ascii="Arial" w:hAnsi="Arial"/>
          <w:i/>
          <w:color w:val="000000"/>
          <w:sz w:val="20"/>
          <w:szCs w:val="20"/>
        </w:rPr>
        <w:t xml:space="preserve">As aquisições ou contratações adicionais a que se refere este item não poderão exceder, por órgão ou entidade, a </w:t>
      </w:r>
      <w:r>
        <w:rPr>
          <w:rFonts w:cs="Arial" w:ascii="Arial" w:hAnsi="Arial"/>
          <w:i/>
          <w:color w:val="000000"/>
          <w:sz w:val="20"/>
          <w:szCs w:val="20"/>
        </w:rPr>
        <w:t>50%</w:t>
      </w:r>
      <w:r>
        <w:rPr>
          <w:rFonts w:cs="Arial" w:ascii="Arial" w:hAnsi="Arial"/>
          <w:i/>
          <w:color w:val="000000"/>
          <w:sz w:val="20"/>
          <w:szCs w:val="20"/>
        </w:rPr>
        <w:t xml:space="preserve"> (máximo cinquenta) por cento dos quantitativos dos itens do instrumento convocatório e registrados na ata de registro de preços para o órgão gerenciador e órgãos participantes.</w:t>
      </w:r>
    </w:p>
    <w:p>
      <w:pPr>
        <w:pStyle w:val="Normal"/>
        <w:numPr>
          <w:ilvl w:val="1"/>
          <w:numId w:val="1"/>
        </w:numPr>
        <w:spacing w:lineRule="auto" w:line="276" w:before="120" w:after="120"/>
        <w:ind w:left="792" w:hanging="432"/>
        <w:jc w:val="both"/>
        <w:rPr>
          <w:color w:val="000000"/>
        </w:rPr>
      </w:pPr>
      <w:r>
        <w:rPr>
          <w:rFonts w:cs="Arial" w:ascii="Arial" w:hAnsi="Arial"/>
          <w:i/>
          <w:color w:val="000000"/>
          <w:sz w:val="20"/>
          <w:szCs w:val="20"/>
        </w:rPr>
        <w:t>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numPr>
          <w:ilvl w:val="2"/>
          <w:numId w:val="1"/>
        </w:numPr>
        <w:spacing w:lineRule="auto" w:line="276" w:before="120" w:after="120"/>
        <w:ind w:left="1224" w:hanging="504"/>
        <w:jc w:val="both"/>
        <w:rPr>
          <w:i w:val="false"/>
          <w:i w:val="false"/>
          <w:iCs w:val="false"/>
          <w:color w:val="000000"/>
        </w:rPr>
      </w:pPr>
      <w:r>
        <w:rPr>
          <w:rFonts w:cs="Arial" w:ascii="Arial" w:hAnsi="Arial"/>
          <w:i w:val="false"/>
          <w:iCs w:val="false"/>
          <w:color w:val="000000"/>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1"/>
          <w:numId w:val="1"/>
        </w:numPr>
        <w:spacing w:lineRule="auto" w:line="276" w:before="120" w:after="120"/>
        <w:ind w:left="792" w:hanging="432"/>
        <w:jc w:val="both"/>
        <w:rPr>
          <w:i w:val="false"/>
          <w:i w:val="false"/>
          <w:iCs w:val="false"/>
          <w:color w:val="000000"/>
        </w:rPr>
      </w:pPr>
      <w:r>
        <w:rPr>
          <w:rFonts w:cs="Arial" w:ascii="Arial" w:hAnsi="Arial"/>
          <w:i w:val="false"/>
          <w:iCs w:val="false"/>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1"/>
        </w:numPr>
        <w:spacing w:lineRule="auto" w:line="276" w:before="120" w:after="120"/>
        <w:ind w:left="792" w:hanging="432"/>
        <w:jc w:val="both"/>
        <w:rPr>
          <w:i w:val="false"/>
          <w:i w:val="false"/>
          <w:iCs w:val="false"/>
          <w:color w:val="000000"/>
        </w:rPr>
      </w:pPr>
      <w:r>
        <w:rPr>
          <w:rFonts w:cs="Arial" w:ascii="Arial" w:hAnsi="Arial"/>
          <w:i w:val="false"/>
          <w:iCs w:val="false"/>
          <w:color w:val="000000"/>
          <w:sz w:val="20"/>
          <w:szCs w:val="20"/>
        </w:rPr>
        <w:t>Após a autorização do órgão gerenciador, o órgão não participante deverá efetivar a contratação solicitada em até noventa dias, observado o prazo de validade da Ata de Registro de Preços.</w:t>
      </w:r>
    </w:p>
    <w:p>
      <w:pPr>
        <w:pStyle w:val="Normal"/>
        <w:numPr>
          <w:ilvl w:val="2"/>
          <w:numId w:val="1"/>
        </w:numPr>
        <w:spacing w:lineRule="auto" w:line="276" w:before="120" w:after="120"/>
        <w:ind w:left="1224" w:hanging="504"/>
        <w:jc w:val="both"/>
        <w:rPr>
          <w:i w:val="false"/>
          <w:i w:val="false"/>
          <w:iCs w:val="false"/>
          <w:color w:val="000000"/>
        </w:rPr>
      </w:pPr>
      <w:r>
        <w:rPr>
          <w:rFonts w:cs="Arial" w:ascii="Arial" w:hAnsi="Arial"/>
          <w:i w:val="false"/>
          <w:iCs w:val="false"/>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1"/>
        </w:numPr>
        <w:rPr>
          <w:iCs/>
        </w:rPr>
      </w:pPr>
      <w:r>
        <w:rPr/>
        <w:t xml:space="preserve">VALIDADE DA ATA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sz w:val="20"/>
          <w:szCs w:val="20"/>
        </w:rPr>
        <w:t xml:space="preserve">A validade da Ata de Registro de Preços será de </w:t>
      </w:r>
      <w:r>
        <w:rPr>
          <w:rFonts w:cs="Arial" w:ascii="Arial" w:hAnsi="Arial"/>
          <w:b/>
          <w:bCs/>
          <w:i/>
          <w:color w:val="000000"/>
          <w:sz w:val="20"/>
          <w:szCs w:val="20"/>
        </w:rPr>
        <w:t>12 meses</w:t>
      </w:r>
      <w:r>
        <w:rPr>
          <w:rFonts w:cs="Arial" w:ascii="Arial" w:hAnsi="Arial"/>
          <w:b/>
          <w:bCs/>
          <w:color w:val="000000"/>
          <w:sz w:val="20"/>
          <w:szCs w:val="20"/>
        </w:rPr>
        <w:t>,</w:t>
      </w:r>
      <w:r>
        <w:rPr>
          <w:rFonts w:cs="Arial" w:ascii="Arial" w:hAnsi="Arial"/>
          <w:sz w:val="20"/>
          <w:szCs w:val="20"/>
        </w:rPr>
        <w:t xml:space="preserve"> a partir do(a</w:t>
      </w:r>
      <w:r>
        <w:rPr>
          <w:rFonts w:cs="Arial" w:ascii="Arial" w:hAnsi="Arial"/>
          <w:sz w:val="20"/>
          <w:szCs w:val="20"/>
        </w:rPr>
        <w:t>) assinatura/publicação</w:t>
      </w:r>
      <w:r>
        <w:rPr>
          <w:rFonts w:cs="Arial" w:ascii="Arial" w:hAnsi="Arial"/>
          <w:sz w:val="20"/>
          <w:szCs w:val="20"/>
        </w:rPr>
        <w:t>, não podendo ser prorrogada.</w:t>
      </w:r>
    </w:p>
    <w:p>
      <w:pPr>
        <w:pStyle w:val="Normal"/>
        <w:widowControl w:val="false"/>
        <w:numPr>
          <w:ilvl w:val="0"/>
          <w:numId w:val="1"/>
        </w:numPr>
        <w:spacing w:before="240" w:after="0"/>
        <w:ind w:left="360" w:right="-30" w:hanging="360"/>
        <w:jc w:val="both"/>
        <w:rPr>
          <w:rFonts w:ascii="Arial" w:hAnsi="Arial" w:cs="Arial"/>
          <w:iCs/>
          <w:sz w:val="20"/>
          <w:szCs w:val="20"/>
        </w:rPr>
      </w:pPr>
      <w:r>
        <w:rPr>
          <w:rFonts w:cs="Arial" w:ascii="Arial" w:hAnsi="Arial"/>
          <w:b/>
          <w:bCs/>
          <w:sz w:val="20"/>
          <w:szCs w:val="20"/>
        </w:rPr>
        <w:t>REVISÃO E CANCELAMENTO</w:t>
      </w:r>
      <w:r>
        <w:rPr>
          <w:rFonts w:cs="Arial" w:ascii="Arial" w:hAnsi="Arial"/>
          <w:iCs/>
          <w:sz w:val="20"/>
          <w:szCs w:val="20"/>
        </w:rPr>
        <w:t xml:space="preserve"> </w:t>
      </w:r>
    </w:p>
    <w:p>
      <w:pPr>
        <w:pStyle w:val="ListParagraph"/>
        <w:numPr>
          <w:ilvl w:val="1"/>
          <w:numId w:val="1"/>
        </w:numPr>
        <w:spacing w:lineRule="auto" w:line="276" w:before="120" w:after="120"/>
        <w:ind w:left="425" w:hanging="0"/>
        <w:contextualSpacing/>
        <w:jc w:val="both"/>
        <w:rPr>
          <w:rFonts w:ascii="Arial" w:hAnsi="Arial" w:cs="Arial"/>
          <w:sz w:val="20"/>
          <w:szCs w:val="20"/>
        </w:rPr>
      </w:pP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color w:val="000000"/>
        </w:rPr>
      </w:pPr>
      <w:r>
        <w:rPr>
          <w:rFonts w:cs="Arial" w:ascii="Arial" w:hAnsi="Arial"/>
          <w:color w:val="000000"/>
          <w:sz w:val="20"/>
          <w:szCs w:val="20"/>
        </w:rPr>
        <w:t>A ordem de classificação dos fornecedores que aceitarem reduzir seus preços aos valores de mercado observará a classificação original.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registro do fornecedor será cancelado quando:</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Descumprir as condições da ata de registro de preços;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de registros nas hipóteses previstas nos itens 6.7.1, 6.7.2 e 6.7.4 será formalizado por despacho do órgão gerenciador, assegurado o contraditório e a ampla defesa.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Por razão de interesse público;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A pedido do fornecedor.</w:t>
      </w:r>
    </w:p>
    <w:p>
      <w:pPr>
        <w:pStyle w:val="Nivel1"/>
        <w:numPr>
          <w:ilvl w:val="0"/>
          <w:numId w:val="1"/>
        </w:numPr>
        <w:ind w:left="357" w:hanging="357"/>
        <w:rPr/>
      </w:pPr>
      <w:r>
        <w:rPr/>
        <w:t>DAS PENALIDADES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descumprimento da Ata de Registro de Preços ensejará aplicação das penalidades estabelecidas no Edital.</w:t>
      </w:r>
    </w:p>
    <w:p>
      <w:pPr>
        <w:pStyle w:val="Normal"/>
        <w:numPr>
          <w:ilvl w:val="2"/>
          <w:numId w:val="1"/>
        </w:numPr>
        <w:spacing w:lineRule="auto" w:line="276" w:before="120" w:after="120"/>
        <w:jc w:val="both"/>
        <w:rPr>
          <w:shd w:fill="auto" w:val="clear"/>
        </w:rPr>
      </w:pPr>
      <w:r>
        <w:rPr>
          <w:rFonts w:cs="Arial" w:ascii="Arial" w:hAnsi="Arial"/>
          <w:color w:val="000000"/>
          <w:sz w:val="20"/>
          <w:szCs w:val="20"/>
          <w:shd w:fill="auto" w:val="clear"/>
        </w:rPr>
        <w:t xml:space="preserve">As sanções do item acima também se aplicam aos integrantes do cadastro de reserva, em pregão para registro de preços que, convocados, não honrarem o compromisso assumido injustificadamente, nos termos do art. 49, §1º do Decreto nº 10.024/19.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1"/>
        </w:numPr>
        <w:jc w:val="both"/>
        <w:rPr>
          <w:rFonts w:ascii="Arial" w:hAnsi="Arial" w:cs="Arial"/>
          <w:b/>
          <w:b/>
          <w:iCs/>
          <w:sz w:val="20"/>
          <w:szCs w:val="20"/>
        </w:rPr>
      </w:pPr>
      <w:r>
        <w:rPr>
          <w:rFonts w:cs="Arial" w:ascii="Arial" w:hAnsi="Arial"/>
          <w:b/>
          <w:bCs/>
          <w:iCs/>
          <w:sz w:val="20"/>
          <w:szCs w:val="20"/>
        </w:rPr>
        <w:t>CONDIÇÕES GERAIS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pPr>
        <w:pStyle w:val="Normal"/>
        <w:widowControl w:val="false"/>
        <w:ind w:right="-15" w:hanging="0"/>
        <w:jc w:val="both"/>
        <w:rPr>
          <w:rFonts w:ascii="Arial" w:hAnsi="Arial" w:cs="Arial"/>
          <w:sz w:val="20"/>
          <w:szCs w:val="20"/>
        </w:rPr>
      </w:pPr>
      <w:r>
        <w:rPr>
          <w:rFonts w:cs="Arial" w:ascii="Arial" w:hAnsi="Arial"/>
          <w:sz w:val="20"/>
          <w:szCs w:val="20"/>
        </w:rPr>
      </w:r>
    </w:p>
    <w:p>
      <w:pPr>
        <w:pStyle w:val="Normal"/>
        <w:widowControl w:val="false"/>
        <w:ind w:right="-15" w:hanging="0"/>
        <w:jc w:val="both"/>
        <w:rPr>
          <w:rFonts w:ascii="Arial" w:hAnsi="Arial" w:cs="Arial"/>
          <w:i/>
          <w:i/>
          <w:iCs/>
          <w:color w:val="FF0000"/>
          <w:sz w:val="20"/>
          <w:szCs w:val="20"/>
        </w:rPr>
      </w:pPr>
      <w:r>
        <w:rPr>
          <w:rFonts w:cs="Arial" w:ascii="Arial" w:hAnsi="Arial"/>
          <w:sz w:val="20"/>
          <w:szCs w:val="20"/>
        </w:rPr>
        <w:t xml:space="preserve">Para firmeza e validade do pactuado, a presente Ata foi lavrada em </w:t>
      </w:r>
      <w:r>
        <w:rPr>
          <w:rFonts w:cs="Arial" w:ascii="Arial" w:hAnsi="Arial"/>
          <w:sz w:val="20"/>
          <w:szCs w:val="20"/>
        </w:rPr>
        <w:t>03 (três</w:t>
      </w:r>
      <w:r>
        <w:rPr>
          <w:rFonts w:cs="Arial" w:ascii="Arial" w:hAnsi="Arial"/>
          <w:sz w:val="20"/>
          <w:szCs w:val="20"/>
        </w:rPr>
        <w:t>) vias de igual teor, que, depois de lida e achada em ordem, vai assinada pelas partes</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 xml:space="preserve">e encaminhada cópia aos demais órgãos participantes. </w:t>
      </w:r>
    </w:p>
    <w:p>
      <w:pPr>
        <w:pStyle w:val="Normal"/>
        <w:widowControl w:val="false"/>
        <w:ind w:right="-30" w:hanging="0"/>
        <w:jc w:val="center"/>
        <w:rPr>
          <w:i w:val="false"/>
          <w:i w:val="false"/>
          <w:iCs w:val="false"/>
          <w:color w:val="000000"/>
        </w:rPr>
      </w:pPr>
      <w:r>
        <w:rPr>
          <w:rFonts w:cs="Arial" w:ascii="Arial" w:hAnsi="Arial"/>
          <w:i w:val="false"/>
          <w:iCs w:val="false"/>
          <w:color w:val="000000"/>
          <w:sz w:val="20"/>
          <w:szCs w:val="20"/>
        </w:rPr>
        <w:t>Local e data</w:t>
      </w:r>
    </w:p>
    <w:p>
      <w:pPr>
        <w:pStyle w:val="Normal"/>
        <w:widowControl w:val="false"/>
        <w:ind w:right="-30" w:hanging="0"/>
        <w:jc w:val="center"/>
        <w:rPr>
          <w:rFonts w:ascii="Arial" w:hAnsi="Arial" w:cs="Arial"/>
          <w:sz w:val="20"/>
          <w:szCs w:val="20"/>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rFonts w:ascii="Arial" w:hAnsi="Arial" w:cs="Arial"/>
          <w:color w:val="000000"/>
          <w:sz w:val="20"/>
          <w:szCs w:val="20"/>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sectPr>
      <w:headerReference w:type="default" r:id="rId2"/>
      <w:footerReference w:type="default" r:id="rId3"/>
      <w:type w:val="nextPage"/>
      <w:pgSz w:w="11906" w:h="16838"/>
      <w:pgMar w:left="1701" w:right="1134" w:header="1418" w:top="4093" w:footer="708"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 xml:space="preserve">Ata de Registro de Preços – modelo – pregão compras </w:t>
    </w:r>
  </w:p>
  <w:p>
    <w:pPr>
      <w:pStyle w:val="Rodap"/>
      <w:rPr>
        <w:rFonts w:ascii="Arial" w:hAnsi="Arial" w:cs="Arial"/>
      </w:rPr>
    </w:pPr>
    <w:r>
      <w:rPr>
        <w:rFonts w:cs="Arial" w:ascii="Arial" w:hAnsi="Arial"/>
        <w:sz w:val="12"/>
        <w:szCs w:val="12"/>
      </w:rPr>
      <w:t>Atualização:  Dezembro/2019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p>
    <w:pPr>
      <w:pStyle w:val="Cabealho"/>
      <w:rPr/>
    </w:pPr>
    <w:r>
      <w:rPr/>
      <w:drawing>
        <wp:anchor behindDoc="1" distT="0" distB="0" distL="0" distR="0" simplePos="0" locked="0" layoutInCell="0" allowOverlap="1" relativeHeight="10">
          <wp:simplePos x="0" y="0"/>
          <wp:positionH relativeFrom="column">
            <wp:posOffset>4914265</wp:posOffset>
          </wp:positionH>
          <wp:positionV relativeFrom="paragraph">
            <wp:posOffset>-102870</wp:posOffset>
          </wp:positionV>
          <wp:extent cx="915035" cy="872490"/>
          <wp:effectExtent l="0" t="0" r="0" b="0"/>
          <wp:wrapNone/>
          <wp:docPr id="1"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5" descr=""/>
                  <pic:cNvPicPr>
                    <a:picLocks noChangeAspect="1" noChangeArrowheads="1"/>
                  </pic:cNvPicPr>
                </pic:nvPicPr>
                <pic:blipFill>
                  <a:blip r:embed="rId1"/>
                  <a:srcRect l="-777" t="-845" r="-777" b="-845"/>
                  <a:stretch>
                    <a:fillRect/>
                  </a:stretch>
                </pic:blipFill>
                <pic:spPr bwMode="auto">
                  <a:xfrm>
                    <a:off x="0" y="0"/>
                    <a:ext cx="915035" cy="872490"/>
                  </a:xfrm>
                  <a:prstGeom prst="rect">
                    <a:avLst/>
                  </a:prstGeom>
                </pic:spPr>
              </pic:pic>
            </a:graphicData>
          </a:graphic>
        </wp:anchor>
      </w:drawing>
    </w:r>
  </w:p>
  <w:p>
    <w:pPr>
      <w:pStyle w:val="Cabealho"/>
      <w:rPr/>
    </w:pPr>
    <w:r>
      <w:rPr/>
    </w:r>
  </w:p>
  <w:p>
    <w:pPr>
      <w:pStyle w:val="Cabealho"/>
      <w:rPr/>
    </w:pPr>
    <w:r>
      <w:rPr/>
    </w:r>
  </w:p>
  <w:p>
    <w:pPr>
      <w:pStyle w:val="LONormal"/>
      <w:tabs>
        <w:tab w:val="clear" w:pos="708"/>
        <w:tab w:val="left" w:pos="427" w:leader="none"/>
      </w:tabs>
      <w:jc w:val="left"/>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drawing>
        <wp:anchor behindDoc="1" distT="0" distB="0" distL="0" distR="0" simplePos="0" locked="0" layoutInCell="0" allowOverlap="1" relativeHeight="5">
          <wp:simplePos x="0" y="0"/>
          <wp:positionH relativeFrom="column">
            <wp:posOffset>2651125</wp:posOffset>
          </wp:positionH>
          <wp:positionV relativeFrom="paragraph">
            <wp:posOffset>-304165</wp:posOffset>
          </wp:positionV>
          <wp:extent cx="525780" cy="476250"/>
          <wp:effectExtent l="0" t="0" r="0" b="0"/>
          <wp:wrapTopAndBottom/>
          <wp:docPr id="2"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descr=""/>
                  <pic:cNvPicPr>
                    <a:picLocks noChangeAspect="1" noChangeArrowheads="1"/>
                  </pic:cNvPicPr>
                </pic:nvPicPr>
                <pic:blipFill>
                  <a:blip r:embed="rId2"/>
                  <a:srcRect l="-416" t="-415" r="-416" b="-415"/>
                  <a:stretch>
                    <a:fillRect/>
                  </a:stretch>
                </pic:blipFill>
                <pic:spPr bwMode="auto">
                  <a:xfrm>
                    <a:off x="0" y="0"/>
                    <a:ext cx="525780" cy="476250"/>
                  </a:xfrm>
                  <a:prstGeom prst="rect">
                    <a:avLst/>
                  </a:prstGeom>
                </pic:spPr>
              </pic:pic>
            </a:graphicData>
          </a:graphic>
        </wp:anchor>
      </w:drawing>
      <w:drawing>
        <wp:anchor behindDoc="1" distT="0" distB="0" distL="0" distR="0" simplePos="0" locked="0" layoutInCell="0" allowOverlap="1" relativeHeight="15">
          <wp:simplePos x="0" y="0"/>
          <wp:positionH relativeFrom="column">
            <wp:posOffset>-153035</wp:posOffset>
          </wp:positionH>
          <wp:positionV relativeFrom="paragraph">
            <wp:posOffset>-488950</wp:posOffset>
          </wp:positionV>
          <wp:extent cx="1786255" cy="636270"/>
          <wp:effectExtent l="0" t="0" r="0" b="0"/>
          <wp:wrapTopAndBottom/>
          <wp:docPr id="3"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6" descr=""/>
                  <pic:cNvPicPr>
                    <a:picLocks noChangeAspect="1" noChangeArrowheads="1"/>
                  </pic:cNvPicPr>
                </pic:nvPicPr>
                <pic:blipFill>
                  <a:blip r:embed="rId3"/>
                  <a:srcRect l="-567" t="-2161" r="-567" b="-2161"/>
                  <a:stretch>
                    <a:fillRect/>
                  </a:stretch>
                </pic:blipFill>
                <pic:spPr bwMode="auto">
                  <a:xfrm>
                    <a:off x="0" y="0"/>
                    <a:ext cx="1786255" cy="636270"/>
                  </a:xfrm>
                  <a:prstGeom prst="rect">
                    <a:avLst/>
                  </a:prstGeom>
                </pic:spPr>
              </pic:pic>
            </a:graphicData>
          </a:graphic>
        </wp:anchor>
      </w:drawing>
    </w:r>
  </w:p>
  <w:p>
    <w:pPr>
      <w:pStyle w:val="LONormal"/>
      <w:tabs>
        <w:tab w:val="clear" w:pos="708"/>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r>
  </w:p>
  <w:p>
    <w:pPr>
      <w:pStyle w:val="LONormal"/>
      <w:tabs>
        <w:tab w:val="clear" w:pos="708"/>
        <w:tab w:val="left" w:pos="427" w:leader="none"/>
      </w:tabs>
      <w:jc w:val="center"/>
      <w:textAlignment w:val="baseline"/>
      <w:rPr/>
    </w:pPr>
    <w:r>
      <w:rPr>
        <w:rStyle w:val="Fontepare1gpadre3o"/>
        <w:rFonts w:eastAsia="Times New Roman" w:cs="Times New Roman" w:ascii="Times New Roman" w:hAnsi="Times New Roman"/>
        <w:b/>
        <w:color w:val="000000"/>
        <w:sz w:val="16"/>
        <w:szCs w:val="16"/>
        <w:lang w:eastAsia="hi-IN"/>
      </w:rPr>
      <w:t xml:space="preserve">MINISTÉRIO DA EDUCAÇÃO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SERVIÇO PÚBLICO FEDERAL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 </w:t>
    </w:r>
    <w:r>
      <w:rPr>
        <w:rFonts w:eastAsia="Times New Roman" w:cs="Times New Roman" w:ascii="Times New Roman" w:hAnsi="Times New Roman"/>
        <w:b/>
        <w:color w:val="000000"/>
        <w:sz w:val="16"/>
        <w:szCs w:val="16"/>
        <w:lang w:eastAsia="hi-IN"/>
      </w:rPr>
      <w:t xml:space="preserve">SECRETARIA DE EDUCAÇÃO PROFISSIONAL E TECNOLÓGICA </w:t>
    </w:r>
  </w:p>
  <w:p>
    <w:pPr>
      <w:pStyle w:val="LONormal"/>
      <w:ind w:left="0" w:right="227" w:hanging="0"/>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p>
  <w:p>
    <w:pPr>
      <w:pStyle w:val="Normal"/>
      <w:widowControl w:val="false"/>
      <w:tabs>
        <w:tab w:val="clear" w:pos="708"/>
        <w:tab w:val="center" w:pos="11737" w:leader="none"/>
      </w:tabs>
      <w:ind w:left="0" w:right="227" w:hanging="0"/>
      <w:jc w:val="center"/>
      <w:textAlignment w:val="baseline"/>
      <w:rPr/>
    </w:pPr>
    <w:r>
      <w:rPr>
        <w:rFonts w:cs="Times New Roman" w:ascii="Times New Roman" w:hAnsi="Times New Roman"/>
        <w:b/>
        <w:color w:val="000000"/>
        <w:sz w:val="16"/>
        <w:szCs w:val="16"/>
        <w:lang w:eastAsia="hi-IN"/>
      </w:rPr>
      <w:t>REITORIA / PROAD /DLIC/ CDEC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1283" w:hanging="432"/>
      </w:pPr>
      <w:rPr>
        <w:sz w:val="20"/>
        <w:szCs w:val="20"/>
      </w:r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46fc"/>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Ttulo1">
    <w:name w:val="Heading 1"/>
    <w:basedOn w:val="Normal"/>
    <w:next w:val="Normal"/>
    <w:link w:val="Ttulo1Char"/>
    <w:qFormat/>
    <w:rsid w:val="006362a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qFormat/>
    <w:rsid w:val="00cb46fc"/>
    <w:rPr>
      <w:rFonts w:ascii="Ecofont_Spranq_eco_Sans" w:hAnsi="Ecofont_Spranq_eco_Sans" w:eastAsia="Calibri" w:cs="Tahoma"/>
      <w:i/>
      <w:iCs/>
      <w:color w:val="000000"/>
      <w:szCs w:val="24"/>
      <w:lang w:val="pt-BR" w:eastAsia="en-US" w:bidi="ar-SA"/>
    </w:rPr>
  </w:style>
  <w:style w:type="character" w:styleId="CorpodetextoChar" w:customStyle="1">
    <w:name w:val="Corpo de texto Char"/>
    <w:link w:val="Corpodetexto"/>
    <w:uiPriority w:val="99"/>
    <w:qFormat/>
    <w:rsid w:val="002f4c05"/>
    <w:rPr>
      <w:sz w:val="24"/>
      <w:szCs w:val="24"/>
    </w:rPr>
  </w:style>
  <w:style w:type="character" w:styleId="LinkdaInternet">
    <w:name w:val="Link da Internet"/>
    <w:uiPriority w:val="99"/>
    <w:unhideWhenUsed/>
    <w:rsid w:val="00520e7a"/>
    <w:rPr>
      <w:color w:val="0000FF"/>
      <w:u w:val="single"/>
    </w:rPr>
  </w:style>
  <w:style w:type="character" w:styleId="CabealhoChar" w:customStyle="1">
    <w:name w:val="Cabeçalho Char"/>
    <w:basedOn w:val="DefaultParagraphFont"/>
    <w:link w:val="Cabealho"/>
    <w:qFormat/>
    <w:rsid w:val="00bb5309"/>
    <w:rPr>
      <w:rFonts w:ascii="Ecofont_Spranq_eco_Sans" w:hAnsi="Ecofont_Spranq_eco_Sans" w:cs="Tahoma"/>
      <w:sz w:val="24"/>
      <w:szCs w:val="24"/>
    </w:rPr>
  </w:style>
  <w:style w:type="character" w:styleId="RodapChar" w:customStyle="1">
    <w:name w:val="Rodapé Char"/>
    <w:basedOn w:val="DefaultParagraphFont"/>
    <w:link w:val="Rodap"/>
    <w:qFormat/>
    <w:rsid w:val="00bb5309"/>
    <w:rPr>
      <w:rFonts w:ascii="Ecofont_Spranq_eco_Sans" w:hAnsi="Ecofont_Spranq_eco_Sans" w:cs="Tahoma"/>
      <w:sz w:val="24"/>
      <w:szCs w:val="24"/>
    </w:rPr>
  </w:style>
  <w:style w:type="character" w:styleId="Citao2Char" w:customStyle="1">
    <w:name w:val="citação 2 Char"/>
    <w:basedOn w:val="CitaoChar"/>
    <w:link w:val="citao2"/>
    <w:qFormat/>
    <w:rsid w:val="002038c8"/>
    <w:rPr>
      <w:rFonts w:ascii="Ecofont_Spranq_eco_Sans" w:hAnsi="Ecofont_Spranq_eco_Sans" w:eastAsia="Calibri" w:cs="Tahoma"/>
      <w:i/>
      <w:iCs/>
      <w:color w:val="000000"/>
      <w:sz w:val="24"/>
      <w:szCs w:val="24"/>
      <w:shd w:fill="FFFFCC" w:val="clear"/>
      <w:lang w:eastAsia="en-US"/>
    </w:rPr>
  </w:style>
  <w:style w:type="character" w:styleId="CitaoChar" w:customStyle="1">
    <w:name w:val="Citação Char"/>
    <w:basedOn w:val="DefaultParagraphFont"/>
    <w:link w:val="Citao"/>
    <w:uiPriority w:val="29"/>
    <w:qFormat/>
    <w:rsid w:val="002038c8"/>
    <w:rPr>
      <w:rFonts w:ascii="Ecofont_Spranq_eco_Sans" w:hAnsi="Ecofont_Spranq_eco_Sans" w:cs="Tahoma"/>
      <w:i/>
      <w:iCs/>
      <w:color w:val="000000" w:themeColor="text1"/>
      <w:sz w:val="24"/>
      <w:szCs w:val="24"/>
    </w:rPr>
  </w:style>
  <w:style w:type="character" w:styleId="Ttulo1Char" w:customStyle="1">
    <w:name w:val="Título 1 Char"/>
    <w:basedOn w:val="DefaultParagraphFont"/>
    <w:link w:val="Ttulo1"/>
    <w:qFormat/>
    <w:rsid w:val="006362ae"/>
    <w:rPr>
      <w:rFonts w:ascii="Cambria" w:hAnsi="Cambria" w:eastAsia="" w:cs="" w:asciiTheme="majorHAnsi" w:cstheme="majorBidi" w:eastAsiaTheme="majorEastAsia" w:hAnsiTheme="majorHAnsi"/>
      <w:b/>
      <w:bCs/>
      <w:color w:val="365F91" w:themeColor="accent1" w:themeShade="bf"/>
      <w:sz w:val="28"/>
      <w:szCs w:val="28"/>
    </w:rPr>
  </w:style>
  <w:style w:type="character" w:styleId="Nivel1Char" w:customStyle="1">
    <w:name w:val="Nivel1 Char"/>
    <w:basedOn w:val="Ttulo1Char"/>
    <w:link w:val="Nivel1"/>
    <w:qFormat/>
    <w:rsid w:val="006362ae"/>
    <w:rPr>
      <w:rFonts w:ascii="Arial" w:hAnsi="Arial" w:eastAsia="" w:cs="Arial" w:eastAsiaTheme="majorEastAsia"/>
      <w:b/>
      <w:bCs/>
      <w:color w:val="365F91" w:themeColor="accent1" w:themeShade="bf"/>
      <w:sz w:val="28"/>
      <w:szCs w:val="28"/>
    </w:rPr>
  </w:style>
  <w:style w:type="character" w:styleId="Fontepare1gpadre3o">
    <w:name w:val="Fonte paráe1g. padrãe3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GradeColoridanfase11" w:customStyle="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Paragraph">
    <w:name w:val="List Paragraph"/>
    <w:basedOn w:val="Normal"/>
    <w:uiPriority w:val="34"/>
    <w:qFormat/>
    <w:rsid w:val="003f48df"/>
    <w:pPr>
      <w:spacing w:before="0" w:after="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nhideWhenUsed/>
    <w:rsid w:val="00bb5309"/>
    <w:pPr>
      <w:tabs>
        <w:tab w:val="clear" w:pos="708"/>
        <w:tab w:val="center" w:pos="4252" w:leader="none"/>
        <w:tab w:val="right" w:pos="8504" w:leader="none"/>
      </w:tabs>
    </w:pPr>
    <w:rPr/>
  </w:style>
  <w:style w:type="paragraph" w:styleId="Rodap">
    <w:name w:val="Footer"/>
    <w:basedOn w:val="Normal"/>
    <w:link w:val="RodapChar"/>
    <w:unhideWhenUsed/>
    <w:rsid w:val="00bb5309"/>
    <w:pPr>
      <w:tabs>
        <w:tab w:val="clear" w:pos="708"/>
        <w:tab w:val="center" w:pos="4252" w:leader="none"/>
        <w:tab w:val="right" w:pos="8504" w:leader="none"/>
      </w:tabs>
    </w:pPr>
    <w:rPr/>
  </w:style>
  <w:style w:type="paragraph" w:styleId="Citao2" w:customStyle="1">
    <w:name w:val="citação 2"/>
    <w:basedOn w:val="Quote"/>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olor w:val="000000"/>
      <w:lang w:eastAsia="en-US"/>
    </w:rPr>
  </w:style>
  <w:style w:type="paragraph" w:styleId="Quote">
    <w:name w:val="Quote"/>
    <w:basedOn w:val="Normal"/>
    <w:next w:val="Normal"/>
    <w:link w:val="CitaoChar"/>
    <w:uiPriority w:val="29"/>
    <w:qFormat/>
    <w:rsid w:val="002038c8"/>
    <w:pPr/>
    <w:rPr>
      <w:i/>
      <w:iCs/>
      <w:color w:val="000000" w:themeColor="text1"/>
    </w:rPr>
  </w:style>
  <w:style w:type="paragraph" w:styleId="Nivel1" w:customStyle="1">
    <w:name w:val="Nivel1"/>
    <w:basedOn w:val="Ttulo1"/>
    <w:next w:val="Normal"/>
    <w:link w:val="Nivel1Char"/>
    <w:qFormat/>
    <w:rsid w:val="006362ae"/>
    <w:pPr>
      <w:widowControl w:val="false"/>
      <w:spacing w:lineRule="auto" w:line="276" w:before="480" w:after="120"/>
      <w:ind w:left="360" w:hanging="360"/>
      <w:jc w:val="both"/>
    </w:pPr>
    <w:rPr>
      <w:rFonts w:ascii="Arial" w:hAnsi="Arial" w:cs="Arial"/>
      <w:color w:val="auto"/>
      <w:sz w:val="20"/>
      <w:szCs w:val="20"/>
    </w:rPr>
  </w:style>
  <w:style w:type="paragraph" w:styleId="Nivel01" w:customStyle="1">
    <w:name w:val="Nivel 01"/>
    <w:basedOn w:val="Ttulo1"/>
    <w:next w:val="Normal"/>
    <w:qFormat/>
    <w:rsid w:val="001f6040"/>
    <w:pPr>
      <w:tabs>
        <w:tab w:val="clear" w:pos="708"/>
        <w:tab w:val="left" w:pos="360" w:leader="none"/>
        <w:tab w:val="left" w:pos="567" w:leader="none"/>
      </w:tabs>
      <w:spacing w:before="240" w:after="0"/>
      <w:ind w:left="0" w:hanging="0"/>
      <w:jc w:val="both"/>
    </w:pPr>
    <w:rPr>
      <w:rFonts w:ascii="Ecofont_Spranq_eco_Sans" w:hAnsi="Ecofont_Spranq_eco_Sans" w:cs="Times New Roman"/>
      <w:color w:val="000000"/>
      <w:sz w:val="20"/>
      <w:szCs w:val="20"/>
    </w:rPr>
  </w:style>
  <w:style w:type="paragraph" w:styleId="LONormal">
    <w:name w:val="LO-Normal"/>
    <w:qFormat/>
    <w:pPr>
      <w:widowControl w:val="false"/>
      <w:suppressAutoHyphens w:val="true"/>
      <w:overflowPunct w:val="false"/>
      <w:bidi w:val="0"/>
      <w:spacing w:before="0" w:after="0"/>
      <w:jc w:val="left"/>
    </w:pPr>
    <w:rPr>
      <w:rFonts w:ascii="Liberation Serif" w:hAnsi="Liberation Serif" w:eastAsia="SimSun" w:cs="Mangal"/>
      <w:color w:val="00000A"/>
      <w:kern w:val="2"/>
      <w:sz w:val="24"/>
      <w:szCs w:val="24"/>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C7201-7ED3-4096-9DE3-0512CE1D9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3.xml><?xml version="1.0" encoding="utf-8"?>
<ds:datastoreItem xmlns:ds="http://schemas.openxmlformats.org/officeDocument/2006/customXml" ds:itemID="{944E0A7D-1135-4C98-9520-65D4F26D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LibreOffice/7.0.6.2$Windows_X86_64 LibreOffice_project/144abb84a525d8e30c9dbbefa69cbbf2d8d4ae3b</Application>
  <AppVersion>15.0000</AppVersion>
  <Pages>5</Pages>
  <Words>1626</Words>
  <Characters>9248</Characters>
  <CharactersWithSpaces>10765</CharactersWithSpaces>
  <Paragraphs>85</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2020-01-14T19:28:00Z</dcterms:created>
  <dc:creator>CONJUR-MP</dc:creator>
  <dc:description>Texto idêntico ao modelo de serviços, salvo pela especificação do objeto contratado e da respectiva nota explicativa.</dc:description>
  <dc:language>pt-BR</dc:language>
  <cp:lastModifiedBy/>
  <dcterms:modified xsi:type="dcterms:W3CDTF">2022-08-02T08:40:42Z</dcterms:modified>
  <cp:revision>10</cp:revision>
  <dc:subject/>
  <dc:title>MODELO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44</vt:lpwstr>
  </property>
  <property fmtid="{D5CDD505-2E9C-101B-9397-08002B2CF9AE}" pid="3" name="ContentTypeId">
    <vt:lpwstr>0x01010012A2765E7DFD38469B2E626874CD0041</vt:lpwstr>
  </property>
</Properties>
</file>