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57"/>
          <w:tab w:val="left" w:pos="5220" w:leader="none"/>
        </w:tabs>
        <w:spacing w:lineRule="auto" w:line="360" w:before="240" w:after="120"/>
        <w:ind w:right="-15" w:hanging="0"/>
        <w:jc w:val="center"/>
        <w:rPr>
          <w:rFonts w:cs="Times New Roman"/>
          <w:b/>
          <w:b/>
          <w:szCs w:val="20"/>
        </w:rPr>
      </w:pPr>
      <w:r>
        <w:rPr>
          <w:rFonts w:cs="Times New Roman"/>
          <w:b/>
          <w:szCs w:val="20"/>
        </w:rPr>
        <w:t xml:space="preserve"> </w:t>
      </w:r>
      <w:r>
        <w:rPr>
          <w:rFonts w:cs="Times New Roman"/>
          <w:b/>
          <w:szCs w:val="20"/>
        </w:rPr>
        <w:t>ANEXO V</w:t>
      </w:r>
    </w:p>
    <w:p>
      <w:pPr>
        <w:pStyle w:val="Normal"/>
        <w:spacing w:lineRule="auto" w:line="360" w:before="240" w:after="120"/>
        <w:ind w:right="-15" w:hanging="0"/>
        <w:jc w:val="center"/>
        <w:rPr>
          <w:rFonts w:cs="Times New Roman"/>
          <w:b/>
          <w:b/>
          <w:szCs w:val="20"/>
        </w:rPr>
      </w:pPr>
      <w:r>
        <w:rPr>
          <w:rFonts w:cs="Times New Roman"/>
          <w:b/>
          <w:szCs w:val="20"/>
        </w:rPr>
        <w:t xml:space="preserve">TERMO DE CONTRATO </w:t>
      </w:r>
    </w:p>
    <w:p>
      <w:pPr>
        <w:pStyle w:val="Normal"/>
        <w:spacing w:lineRule="auto" w:line="360" w:before="0" w:after="120"/>
        <w:ind w:right="-15" w:hanging="0"/>
        <w:jc w:val="center"/>
        <w:rPr>
          <w:rFonts w:cs="Times New Roman"/>
          <w:b/>
          <w:b/>
          <w:szCs w:val="20"/>
        </w:rPr>
      </w:pPr>
      <w:r>
        <w:rPr>
          <w:rFonts w:cs="Times New Roman"/>
          <w:b/>
          <w:szCs w:val="20"/>
        </w:rPr>
      </w:r>
    </w:p>
    <w:p>
      <w:pPr>
        <w:pStyle w:val="Normal"/>
        <w:spacing w:lineRule="auto" w:line="360" w:before="0" w:after="120"/>
        <w:ind w:left="3969" w:hanging="0"/>
        <w:jc w:val="both"/>
        <w:rPr>
          <w:rFonts w:cs="Times New Roman"/>
          <w:b/>
          <w:b/>
          <w:color w:val="FF0000"/>
          <w:szCs w:val="20"/>
        </w:rPr>
      </w:pPr>
      <w:r>
        <w:rPr>
          <w:rFonts w:cs="Times New Roman"/>
          <w:b/>
          <w:szCs w:val="20"/>
        </w:rPr>
        <w:t>TERMO DE CONTRATO/</w:t>
      </w:r>
      <w:r>
        <w:rPr>
          <w:rFonts w:cs="Times New Roman"/>
          <w:b/>
          <w:color w:val="000000"/>
          <w:szCs w:val="20"/>
        </w:rPr>
        <w:t xml:space="preserve">CONCESSÃO ONEROSA DO DIREITO DE USO DE ESPAÇO </w:t>
      </w:r>
      <w:r>
        <w:rPr>
          <w:rFonts w:cs="Times New Roman"/>
          <w:b/>
          <w:szCs w:val="20"/>
        </w:rPr>
        <w:t>PARA EXPLORAÇÃO DE SERVIÇO DE CANTINA</w:t>
      </w:r>
      <w:r>
        <w:rPr>
          <w:rFonts w:cs="Times New Roman"/>
          <w:b/>
          <w:color w:val="000000"/>
          <w:szCs w:val="20"/>
        </w:rPr>
        <w:t xml:space="preserve">  Nº ......../...., QUE FAZEM ENTRE SI A UNIÃO, POR INTERMÉDIO DO (A) </w:t>
      </w:r>
      <w:r>
        <w:rPr>
          <w:rFonts w:eastAsia="Times New Roman" w:cs="Times New Roman"/>
          <w:b/>
          <w:color w:val="000000"/>
          <w:kern w:val="0"/>
          <w:sz w:val="20"/>
          <w:szCs w:val="20"/>
          <w:lang w:val="pt-BR" w:eastAsia="pt-BR" w:bidi="ar-SA"/>
        </w:rPr>
        <w:t xml:space="preserve">IFSERTÃOPE/CAMPUS PETROLINA </w:t>
      </w:r>
      <w:r>
        <w:rPr>
          <w:rFonts w:cs="Times New Roman"/>
          <w:b/>
          <w:color w:val="000000"/>
          <w:szCs w:val="20"/>
        </w:rPr>
        <w:t xml:space="preserve">E A EMPRESA .............................................................  </w:t>
      </w:r>
    </w:p>
    <w:p>
      <w:pPr>
        <w:pStyle w:val="Normal"/>
        <w:spacing w:lineRule="auto" w:line="360" w:before="0" w:after="120"/>
        <w:ind w:right="-15" w:hanging="0"/>
        <w:jc w:val="both"/>
        <w:rPr>
          <w:rFonts w:cs="Times New Roman"/>
          <w:b/>
          <w:b/>
          <w:color w:val="FF0000"/>
          <w:szCs w:val="20"/>
        </w:rPr>
      </w:pPr>
      <w:r>
        <w:rPr>
          <w:rFonts w:cs="Times New Roman"/>
          <w:b/>
          <w:color w:val="FF0000"/>
          <w:szCs w:val="20"/>
        </w:rPr>
      </w:r>
    </w:p>
    <w:p>
      <w:pPr>
        <w:pStyle w:val="Normal"/>
        <w:spacing w:lineRule="auto" w:line="276" w:before="120" w:after="120"/>
        <w:jc w:val="both"/>
        <w:rPr>
          <w:rFonts w:cs="Times New Roman"/>
          <w:szCs w:val="20"/>
        </w:rPr>
      </w:pPr>
      <w:r>
        <w:rPr>
          <w:rFonts w:cs="Arial"/>
          <w:color w:val="000000"/>
          <w:sz w:val="20"/>
          <w:szCs w:val="20"/>
        </w:rPr>
        <w:t>A  Autarquia, por intermédio do</w:t>
      </w:r>
      <w:bookmarkStart w:id="0" w:name="__DdeLink__13254_1755233246"/>
      <w:r>
        <w:rPr>
          <w:rFonts w:cs="Arial"/>
          <w:b/>
          <w:iCs/>
          <w:color w:val="000000"/>
          <w:sz w:val="20"/>
          <w:szCs w:val="20"/>
          <w:shd w:fill="FFFFFF" w:val="clear"/>
        </w:rPr>
        <w:t xml:space="preserve"> INSTITUTO FEDERAL DE EDUCAÇÃO, CIÊNCIA E TECNOLOGIA DO SERTÃO PERNAMBUCANO</w:t>
      </w:r>
      <w:bookmarkEnd w:id="0"/>
      <w:r>
        <w:rPr>
          <w:rFonts w:cs="Arial"/>
          <w:b/>
          <w:iCs/>
          <w:color w:val="000000"/>
          <w:sz w:val="20"/>
          <w:szCs w:val="20"/>
          <w:shd w:fill="FFFFFF" w:val="clear"/>
        </w:rPr>
        <w:t xml:space="preserve"> – Campus Petrolina</w:t>
      </w:r>
      <w:r>
        <w:rPr>
          <w:rFonts w:cs="Times New Roman"/>
          <w:color w:val="000000"/>
          <w:szCs w:val="20"/>
        </w:rPr>
        <w:t xml:space="preserve">, </w:t>
      </w:r>
      <w:r>
        <w:rPr>
          <w:rFonts w:cs="Times New Roman"/>
          <w:szCs w:val="20"/>
        </w:rPr>
        <w:t>com sede no(a)</w:t>
      </w:r>
      <w:r>
        <w:rPr>
          <w:rFonts w:eastAsia="Times New Roman" w:cs="Times New Roman"/>
          <w:color w:val="auto"/>
          <w:kern w:val="0"/>
          <w:sz w:val="20"/>
          <w:szCs w:val="20"/>
          <w:lang w:val="pt-BR" w:eastAsia="pt-BR" w:bidi="ar-SA"/>
        </w:rPr>
        <w:t xml:space="preserve"> Rua Maria Luíza de Araújo Gomes Cabral, S/N, João de Deus, CEP: 56316-686, Petrolina/PE Telefone:  (87) 2101-4300</w:t>
      </w:r>
      <w:r>
        <w:rPr>
          <w:rFonts w:cs="Times New Roman"/>
          <w:szCs w:val="20"/>
        </w:rPr>
        <w:t xml:space="preserve">/Estado Pernambuco, inscrito(a) no CNPJ sob o nº </w:t>
      </w:r>
      <w:r>
        <w:rPr>
          <w:rFonts w:cs="Times New Roman"/>
          <w:color w:val="FF0000"/>
          <w:szCs w:val="20"/>
          <w:shd w:fill="FFFF00" w:val="clear"/>
        </w:rPr>
        <w:t>................................</w:t>
      </w:r>
      <w:r>
        <w:rPr>
          <w:rFonts w:cs="Times New Roman"/>
          <w:szCs w:val="20"/>
          <w:shd w:fill="FFFF00" w:val="clear"/>
        </w:rPr>
        <w:t>,</w:t>
      </w:r>
      <w:r>
        <w:rPr>
          <w:rFonts w:cs="Times New Roman"/>
          <w:szCs w:val="20"/>
        </w:rPr>
        <w:t xml:space="preserve"> neste ato representado(a) pelo(a) Diretor Geral, Senhor </w:t>
      </w:r>
      <w:r>
        <w:rPr>
          <w:rFonts w:eastAsia="Times New Roman" w:cs="Times New Roman"/>
          <w:b/>
          <w:color w:val="auto"/>
          <w:kern w:val="0"/>
          <w:sz w:val="20"/>
          <w:szCs w:val="20"/>
          <w:lang w:val="pt-BR" w:eastAsia="pt-BR" w:bidi="ar-SA"/>
        </w:rPr>
        <w:t>Fabiano de Almeida Marinho</w:t>
      </w:r>
      <w:r>
        <w:rPr>
          <w:rFonts w:eastAsia="Times New Roman" w:cs="Times New Roman"/>
          <w:color w:val="auto"/>
          <w:kern w:val="0"/>
          <w:sz w:val="20"/>
          <w:szCs w:val="20"/>
          <w:lang w:val="pt-BR" w:eastAsia="pt-BR" w:bidi="ar-SA"/>
        </w:rPr>
        <w:t>,</w:t>
      </w:r>
      <w:r>
        <w:rPr>
          <w:rFonts w:cs="Times New Roman"/>
          <w:szCs w:val="20"/>
        </w:rPr>
        <w:t xml:space="preserve"> nomeado(a) pela  Portaria nº </w:t>
      </w:r>
      <w:r>
        <w:rPr>
          <w:rFonts w:cs="Times New Roman"/>
          <w:color w:val="FF0000"/>
          <w:szCs w:val="20"/>
          <w:shd w:fill="FFFF00" w:val="clear"/>
        </w:rPr>
        <w:t>......</w:t>
      </w:r>
      <w:r>
        <w:rPr>
          <w:rFonts w:cs="Times New Roman"/>
          <w:szCs w:val="20"/>
          <w:shd w:fill="FFFF00" w:val="clear"/>
        </w:rPr>
        <w:t xml:space="preserve">, de </w:t>
      </w:r>
      <w:r>
        <w:rPr>
          <w:rFonts w:cs="Times New Roman"/>
          <w:color w:val="FF0000"/>
          <w:szCs w:val="20"/>
          <w:shd w:fill="FFFF00" w:val="clear"/>
        </w:rPr>
        <w:t>.....</w:t>
      </w:r>
      <w:r>
        <w:rPr>
          <w:rFonts w:cs="Times New Roman"/>
          <w:szCs w:val="20"/>
          <w:shd w:fill="FFFF00" w:val="clear"/>
        </w:rPr>
        <w:t xml:space="preserve"> de </w:t>
      </w:r>
      <w:r>
        <w:rPr>
          <w:rFonts w:cs="Times New Roman"/>
          <w:color w:val="FF0000"/>
          <w:szCs w:val="20"/>
          <w:shd w:fill="FFFF00" w:val="clear"/>
        </w:rPr>
        <w:t>.....................</w:t>
      </w:r>
      <w:r>
        <w:rPr>
          <w:rFonts w:cs="Times New Roman"/>
          <w:szCs w:val="20"/>
          <w:shd w:fill="FFFF00" w:val="clear"/>
        </w:rPr>
        <w:t xml:space="preserve"> de 20</w:t>
      </w:r>
      <w:r>
        <w:rPr>
          <w:rFonts w:cs="Times New Roman"/>
          <w:color w:val="FF0000"/>
          <w:szCs w:val="20"/>
          <w:shd w:fill="FFFF00" w:val="clear"/>
        </w:rPr>
        <w:t>...</w:t>
      </w:r>
      <w:r>
        <w:rPr>
          <w:rFonts w:cs="Times New Roman"/>
          <w:szCs w:val="20"/>
          <w:shd w:fill="FFFF00" w:val="clear"/>
        </w:rPr>
        <w:t>,</w:t>
      </w:r>
      <w:r>
        <w:rPr>
          <w:rFonts w:cs="Times New Roman"/>
          <w:szCs w:val="20"/>
        </w:rPr>
        <w:t xml:space="preserve"> publicada no</w:t>
      </w:r>
      <w:r>
        <w:rPr>
          <w:rFonts w:cs="Times New Roman"/>
          <w:i/>
          <w:szCs w:val="20"/>
        </w:rPr>
        <w:t xml:space="preserve"> </w:t>
      </w:r>
      <w:r>
        <w:rPr>
          <w:rFonts w:cs="Times New Roman"/>
          <w:i/>
          <w:iCs/>
          <w:szCs w:val="20"/>
        </w:rPr>
        <w:t>DOU</w:t>
      </w:r>
      <w:r>
        <w:rPr>
          <w:rFonts w:cs="Times New Roman"/>
          <w:i/>
          <w:szCs w:val="20"/>
        </w:rPr>
        <w:t xml:space="preserve"> </w:t>
      </w:r>
      <w:r>
        <w:rPr>
          <w:rFonts w:cs="Times New Roman"/>
          <w:szCs w:val="20"/>
        </w:rPr>
        <w:t xml:space="preserve">de </w:t>
      </w:r>
      <w:r>
        <w:rPr>
          <w:rFonts w:cs="Times New Roman"/>
          <w:color w:val="FF0000"/>
          <w:szCs w:val="20"/>
        </w:rPr>
        <w:t>.....</w:t>
      </w:r>
      <w:r>
        <w:rPr>
          <w:rFonts w:cs="Times New Roman"/>
          <w:szCs w:val="20"/>
        </w:rPr>
        <w:t xml:space="preserve"> de </w:t>
      </w:r>
      <w:r>
        <w:rPr>
          <w:rFonts w:cs="Times New Roman"/>
          <w:color w:val="FF0000"/>
          <w:szCs w:val="20"/>
        </w:rPr>
        <w:t>...............</w:t>
      </w:r>
      <w:r>
        <w:rPr>
          <w:rFonts w:cs="Times New Roman"/>
          <w:szCs w:val="20"/>
        </w:rPr>
        <w:t xml:space="preserve"> de </w:t>
      </w:r>
      <w:r>
        <w:rPr>
          <w:rFonts w:cs="Times New Roman"/>
          <w:color w:val="FF0000"/>
          <w:szCs w:val="20"/>
        </w:rPr>
        <w:t>...........</w:t>
      </w:r>
      <w:r>
        <w:rPr>
          <w:rFonts w:cs="Times New Roman"/>
          <w:szCs w:val="20"/>
        </w:rPr>
        <w:t xml:space="preserve">, </w:t>
      </w:r>
      <w:r>
        <w:rPr>
          <w:rFonts w:cs="Arial"/>
          <w:szCs w:val="20"/>
        </w:rPr>
        <w:t xml:space="preserve">portador da matrícula funcional nº </w:t>
      </w:r>
      <w:r>
        <w:rPr>
          <w:rFonts w:cs="Arial"/>
          <w:color w:val="FF0000"/>
          <w:szCs w:val="20"/>
        </w:rPr>
        <w:t>....................................</w:t>
      </w:r>
      <w:r>
        <w:rPr>
          <w:rFonts w:cs="Arial"/>
          <w:szCs w:val="20"/>
        </w:rPr>
        <w:t>,</w:t>
      </w:r>
      <w:r>
        <w:rPr>
          <w:rFonts w:cs="Times New Roman"/>
          <w:szCs w:val="20"/>
        </w:rPr>
        <w:t xml:space="preserve"> doravante denominada </w:t>
      </w:r>
      <w:r>
        <w:rPr>
          <w:rFonts w:cs="Times New Roman"/>
          <w:b/>
          <w:szCs w:val="20"/>
          <w:u w:val="single"/>
        </w:rPr>
        <w:t>CONCEDENTE</w:t>
      </w:r>
      <w:r>
        <w:rPr>
          <w:rFonts w:cs="Times New Roman"/>
          <w:szCs w:val="20"/>
        </w:rPr>
        <w:t xml:space="preserve">, e o(a) </w:t>
      </w:r>
      <w:r>
        <w:rPr>
          <w:rFonts w:cs="Times New Roman"/>
          <w:color w:val="FF0000"/>
          <w:szCs w:val="20"/>
        </w:rPr>
        <w:t>..............................</w:t>
      </w:r>
      <w:r>
        <w:rPr>
          <w:rFonts w:cs="Times New Roman"/>
          <w:szCs w:val="20"/>
        </w:rPr>
        <w:t xml:space="preserve"> inscrito(a) no CNPJ/MF sob o nº </w:t>
      </w:r>
      <w:r>
        <w:rPr>
          <w:rFonts w:cs="Times New Roman"/>
          <w:color w:val="FF0000"/>
          <w:szCs w:val="20"/>
        </w:rPr>
        <w:t>............................</w:t>
      </w:r>
      <w:r>
        <w:rPr>
          <w:rFonts w:cs="Times New Roman"/>
          <w:szCs w:val="20"/>
        </w:rPr>
        <w:t xml:space="preserve">, sediado(a) na </w:t>
      </w:r>
      <w:r>
        <w:rPr>
          <w:rFonts w:cs="Times New Roman"/>
          <w:color w:val="FF0000"/>
          <w:szCs w:val="20"/>
        </w:rPr>
        <w:t>...................................</w:t>
      </w:r>
      <w:r>
        <w:rPr>
          <w:rFonts w:cs="Times New Roman"/>
          <w:szCs w:val="20"/>
        </w:rPr>
        <w:t xml:space="preserve">, em </w:t>
      </w:r>
      <w:r>
        <w:rPr>
          <w:rFonts w:cs="Times New Roman"/>
          <w:color w:val="FF0000"/>
          <w:szCs w:val="20"/>
        </w:rPr>
        <w:t>.............................</w:t>
      </w:r>
      <w:r>
        <w:rPr>
          <w:rFonts w:cs="Times New Roman"/>
          <w:szCs w:val="20"/>
        </w:rPr>
        <w:t xml:space="preserve"> doravante designada CONTRATADA((CONCESSIONÁRIA)0, neste ato representada pelo(a) Sr.(a) </w:t>
      </w:r>
      <w:r>
        <w:rPr>
          <w:rFonts w:cs="Times New Roman"/>
          <w:color w:val="FF0000"/>
          <w:szCs w:val="20"/>
        </w:rPr>
        <w:t>.....................</w:t>
      </w:r>
      <w:r>
        <w:rPr>
          <w:rFonts w:cs="Times New Roman"/>
          <w:szCs w:val="20"/>
        </w:rPr>
        <w:t xml:space="preserve">, portador(a) da Carteira de Identidade nº </w:t>
      </w:r>
      <w:r>
        <w:rPr>
          <w:rFonts w:cs="Times New Roman"/>
          <w:color w:val="FF0000"/>
          <w:szCs w:val="20"/>
        </w:rPr>
        <w:t>.................</w:t>
      </w:r>
      <w:r>
        <w:rPr>
          <w:rFonts w:cs="Times New Roman"/>
          <w:szCs w:val="20"/>
        </w:rPr>
        <w:t xml:space="preserve">, expedida pela (o) </w:t>
      </w:r>
      <w:r>
        <w:rPr>
          <w:rFonts w:cs="Times New Roman"/>
          <w:color w:val="FF0000"/>
          <w:szCs w:val="20"/>
        </w:rPr>
        <w:t>..................</w:t>
      </w:r>
      <w:r>
        <w:rPr>
          <w:rFonts w:cs="Times New Roman"/>
          <w:szCs w:val="20"/>
        </w:rPr>
        <w:t xml:space="preserve">, e CPF nº </w:t>
      </w:r>
      <w:r>
        <w:rPr>
          <w:rFonts w:cs="Times New Roman"/>
          <w:color w:val="FF0000"/>
          <w:szCs w:val="20"/>
        </w:rPr>
        <w:t>.........................</w:t>
      </w:r>
      <w:r>
        <w:rPr>
          <w:rFonts w:cs="Times New Roman"/>
          <w:szCs w:val="20"/>
        </w:rPr>
        <w:t>, tendo em vista o que consta no Processo nº 23417.000100.2022-63</w:t>
      </w:r>
      <w:r>
        <w:rPr>
          <w:rFonts w:cs="Times New Roman"/>
          <w:color w:val="FF0000"/>
          <w:szCs w:val="20"/>
        </w:rPr>
        <w:t xml:space="preserve"> </w:t>
      </w:r>
      <w:r>
        <w:rPr>
          <w:rFonts w:cs="Times New Roman"/>
          <w:szCs w:val="20"/>
        </w:rPr>
        <w:t>e em observância às disposições da Lei nº 8.666, de 21 de junho de 1993, da Lei nº 10.520, de 17 de julho de 2002, do Decreto nº 9.507, de 21 de setembro de 2018 e da Instrução Normativa SEGES/MP nº 5, de 26 de maio de 2017 e suas alterações, resolvem celebrar o presente Termo de Contrato, decorrente do Pregão</w:t>
      </w:r>
      <w:r>
        <w:rPr>
          <w:rFonts w:eastAsia="Times New Roman" w:cs="Times New Roman"/>
          <w:color w:val="auto"/>
          <w:kern w:val="0"/>
          <w:sz w:val="20"/>
          <w:szCs w:val="20"/>
          <w:lang w:val="pt-BR" w:eastAsia="pt-BR" w:bidi="ar-SA"/>
        </w:rPr>
        <w:t xml:space="preserve"> Eletrônico </w:t>
      </w:r>
      <w:r>
        <w:rPr>
          <w:rFonts w:eastAsia="Times New Roman" w:cs="Times New Roman"/>
          <w:i/>
          <w:color w:val="auto"/>
          <w:kern w:val="0"/>
          <w:sz w:val="20"/>
          <w:szCs w:val="20"/>
          <w:lang w:val="pt-BR" w:eastAsia="pt-BR" w:bidi="ar-SA"/>
        </w:rPr>
        <w:t xml:space="preserve"> </w:t>
      </w:r>
      <w:r>
        <w:rPr>
          <w:rFonts w:eastAsia="Times New Roman" w:cs="Times New Roman"/>
          <w:color w:val="auto"/>
          <w:kern w:val="0"/>
          <w:sz w:val="20"/>
          <w:szCs w:val="20"/>
          <w:lang w:val="pt-BR" w:eastAsia="pt-BR" w:bidi="ar-SA"/>
        </w:rPr>
        <w:t xml:space="preserve"> nº ........../2022, mediante as cláusulas e condições a seguir enunciadas.</w:t>
      </w:r>
    </w:p>
    <w:p>
      <w:pPr>
        <w:pStyle w:val="Nivel1"/>
        <w:numPr>
          <w:ilvl w:val="0"/>
          <w:numId w:val="1"/>
        </w:numPr>
        <w:rPr/>
      </w:pPr>
      <w:r>
        <w:rPr/>
        <w:t>CLÁUSULA PRIMEIRA – OBJETO</w:t>
      </w:r>
    </w:p>
    <w:p>
      <w:pPr>
        <w:pStyle w:val="Normal"/>
        <w:numPr>
          <w:ilvl w:val="1"/>
          <w:numId w:val="1"/>
        </w:numPr>
        <w:spacing w:lineRule="auto" w:line="276" w:before="120" w:after="120"/>
        <w:ind w:left="425" w:hanging="0"/>
        <w:jc w:val="both"/>
        <w:rPr>
          <w:rFonts w:cs="Times New Roman"/>
          <w:color w:val="000000"/>
          <w:szCs w:val="20"/>
        </w:rPr>
      </w:pPr>
      <w:r>
        <w:rPr>
          <w:rFonts w:cs="Times New Roman"/>
          <w:color w:val="000000"/>
          <w:szCs w:val="20"/>
        </w:rPr>
        <w:t>O objeto do presente instrumento é a</w:t>
      </w:r>
      <w:r>
        <w:rPr>
          <w:rFonts w:eastAsia="Times New Roman" w:cs="Times New Roman"/>
          <w:color w:val="000000"/>
          <w:kern w:val="0"/>
          <w:sz w:val="20"/>
          <w:szCs w:val="20"/>
          <w:lang w:val="pt-BR" w:eastAsia="pt-BR" w:bidi="ar-SA"/>
        </w:rPr>
        <w:t xml:space="preserve"> </w:t>
      </w:r>
      <w:r>
        <w:rPr>
          <w:rFonts w:eastAsia="Times New Roman" w:cs="Times New Roman"/>
          <w:b/>
          <w:bCs/>
          <w:color w:val="000000"/>
          <w:kern w:val="0"/>
          <w:sz w:val="20"/>
          <w:szCs w:val="20"/>
          <w:shd w:fill="FFFFFF" w:val="clear"/>
          <w:lang w:val="pt-BR" w:eastAsia="pt-BR" w:bidi="ar-SA"/>
        </w:rPr>
        <w:t>Concessão Onerosa de Uso de bem público imóvel, referente ao espaço cantina/restaurante, do Instituto Federal do Sertão Pernambucano – Campus Petrolina</w:t>
      </w:r>
      <w:r>
        <w:rPr>
          <w:rFonts w:cs="Arial"/>
          <w:b/>
          <w:bCs/>
          <w:color w:val="000000"/>
          <w:sz w:val="22"/>
          <w:szCs w:val="22"/>
          <w:shd w:fill="FFFFFF" w:val="clear"/>
        </w:rPr>
        <w:t>,</w:t>
      </w:r>
      <w:r>
        <w:rPr>
          <w:rFonts w:cs="Times New Roman"/>
          <w:color w:val="000000"/>
          <w:szCs w:val="20"/>
        </w:rPr>
        <w:t xml:space="preserve"> que serão prestados nas condições estabelecidas no Termo de Referência, anexo do Edital.</w:t>
      </w:r>
    </w:p>
    <w:p>
      <w:pPr>
        <w:pStyle w:val="Normal"/>
        <w:numPr>
          <w:ilvl w:val="1"/>
          <w:numId w:val="1"/>
        </w:numPr>
        <w:spacing w:lineRule="auto" w:line="276" w:before="120" w:after="120"/>
        <w:ind w:left="425" w:hanging="0"/>
        <w:jc w:val="both"/>
        <w:rPr>
          <w:rFonts w:cs="Times New Roman"/>
          <w:color w:val="000000"/>
          <w:szCs w:val="20"/>
        </w:rPr>
      </w:pPr>
      <w:r>
        <w:rPr>
          <w:rFonts w:cs="Times New Roman"/>
          <w:color w:val="000000"/>
          <w:szCs w:val="20"/>
        </w:rPr>
        <w:t xml:space="preserve"> </w:t>
      </w:r>
      <w:r>
        <w:rPr>
          <w:rFonts w:cs="Times New Roman"/>
          <w:color w:val="000000"/>
          <w:szCs w:val="20"/>
        </w:rPr>
        <w:t>Este Termo de Contrato vincula-se ao Edital do Pregão, identificado no preâmbulo e à proposta vencedora, independentemente de transcrição.</w:t>
      </w:r>
    </w:p>
    <w:p>
      <w:pPr>
        <w:pStyle w:val="Normal"/>
        <w:numPr>
          <w:ilvl w:val="1"/>
          <w:numId w:val="1"/>
        </w:numPr>
        <w:spacing w:lineRule="auto" w:line="276" w:before="120" w:after="120"/>
        <w:ind w:left="425" w:hanging="0"/>
        <w:jc w:val="both"/>
        <w:rPr>
          <w:rFonts w:cs="Times New Roman"/>
          <w:szCs w:val="20"/>
        </w:rPr>
      </w:pPr>
      <w:r>
        <w:rPr>
          <w:rFonts w:cs="Times New Roman"/>
          <w:szCs w:val="20"/>
        </w:rPr>
        <w:t>Objeto da contratação:</w:t>
      </w:r>
    </w:p>
    <w:p>
      <w:pPr>
        <w:pStyle w:val="Normal"/>
        <w:numPr>
          <w:ilvl w:val="0"/>
          <w:numId w:val="0"/>
        </w:numPr>
        <w:spacing w:lineRule="auto" w:line="276" w:before="120" w:after="120"/>
        <w:ind w:left="425" w:hanging="0"/>
        <w:jc w:val="both"/>
        <w:rPr>
          <w:rFonts w:cs="Times New Roman"/>
          <w:szCs w:val="20"/>
        </w:rPr>
      </w:pPr>
      <w:r>
        <w:rPr>
          <w:rFonts w:cs="Times New Roman"/>
          <w:szCs w:val="20"/>
        </w:rPr>
      </w:r>
    </w:p>
    <w:tbl>
      <w:tblPr>
        <w:tblW w:w="9075" w:type="dxa"/>
        <w:jc w:val="left"/>
        <w:tblInd w:w="109" w:type="dxa"/>
        <w:tblLayout w:type="fixed"/>
        <w:tblCellMar>
          <w:top w:w="0" w:type="dxa"/>
          <w:left w:w="108" w:type="dxa"/>
          <w:bottom w:w="0" w:type="dxa"/>
          <w:right w:w="108" w:type="dxa"/>
        </w:tblCellMar>
      </w:tblPr>
      <w:tblGrid>
        <w:gridCol w:w="735"/>
        <w:gridCol w:w="2953"/>
        <w:gridCol w:w="1246"/>
        <w:gridCol w:w="1365"/>
        <w:gridCol w:w="1294"/>
        <w:gridCol w:w="1481"/>
      </w:tblGrid>
      <w:tr>
        <w:trPr>
          <w:trHeight w:val="680" w:hRule="atLeast"/>
        </w:trPr>
        <w:tc>
          <w:tcPr>
            <w:tcW w:w="7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Arial" w:hAnsi="Arial" w:eastAsia="Times New Roman" w:cs="Times New Roman"/>
                <w:color w:val="000000"/>
                <w:kern w:val="0"/>
                <w:sz w:val="20"/>
                <w:szCs w:val="20"/>
                <w:lang w:val="pt-BR" w:eastAsia="pt-BR" w:bidi="ar-SA"/>
              </w:rPr>
            </w:pPr>
            <w:r>
              <w:rPr>
                <w:rFonts w:eastAsia="Times New Roman" w:cs="Times New Roman"/>
                <w:b/>
                <w:bCs/>
                <w:color w:val="000000"/>
                <w:kern w:val="0"/>
                <w:sz w:val="20"/>
                <w:szCs w:val="20"/>
                <w:shd w:fill="FFFFFF" w:val="clear"/>
                <w:lang w:val="pt-BR" w:eastAsia="pt-BR" w:bidi="ar-SA"/>
              </w:rPr>
              <w:t>ITEM</w:t>
            </w:r>
          </w:p>
          <w:p>
            <w:pPr>
              <w:pStyle w:val="Normal"/>
              <w:widowControl w:val="false"/>
              <w:jc w:val="both"/>
              <w:rPr>
                <w:rFonts w:ascii="Arial" w:hAnsi="Arial" w:eastAsia="Times New Roman" w:cs="Times New Roman"/>
                <w:b/>
                <w:b/>
                <w:bCs/>
                <w:color w:val="000000"/>
                <w:kern w:val="0"/>
                <w:sz w:val="20"/>
                <w:szCs w:val="20"/>
                <w:shd w:fill="FFFFFF" w:val="clear"/>
                <w:lang w:val="pt-BR" w:eastAsia="pt-BR" w:bidi="ar-SA"/>
              </w:rPr>
            </w:pPr>
            <w:r>
              <w:rPr>
                <w:rFonts w:eastAsia="Times New Roman" w:cs="Times New Roman"/>
                <w:b/>
                <w:bCs/>
                <w:color w:val="000000"/>
                <w:kern w:val="0"/>
                <w:sz w:val="20"/>
                <w:szCs w:val="20"/>
                <w:shd w:fill="FFFFFF" w:val="clear"/>
                <w:lang w:val="pt-BR" w:eastAsia="pt-BR" w:bidi="ar-SA"/>
              </w:rPr>
            </w:r>
          </w:p>
        </w:tc>
        <w:tc>
          <w:tcPr>
            <w:tcW w:w="29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Arial" w:hAnsi="Arial" w:eastAsia="Times New Roman" w:cs="Times New Roman"/>
                <w:b/>
                <w:b/>
                <w:bCs/>
                <w:color w:val="000000"/>
                <w:kern w:val="0"/>
                <w:sz w:val="20"/>
                <w:szCs w:val="20"/>
                <w:shd w:fill="FFFFFF" w:val="clear"/>
                <w:lang w:val="pt-BR" w:eastAsia="pt-BR" w:bidi="ar-SA"/>
              </w:rPr>
            </w:pPr>
            <w:r>
              <w:rPr>
                <w:rFonts w:eastAsia="Times New Roman" w:cs="Times New Roman"/>
                <w:b/>
                <w:bCs/>
                <w:color w:val="000000"/>
                <w:kern w:val="0"/>
                <w:sz w:val="20"/>
                <w:szCs w:val="20"/>
                <w:shd w:fill="FFFFFF" w:val="clear"/>
                <w:lang w:val="pt-BR" w:eastAsia="pt-BR" w:bidi="ar-SA"/>
              </w:rPr>
              <w:t>DESCRIÇÃO/</w:t>
            </w:r>
          </w:p>
          <w:p>
            <w:pPr>
              <w:pStyle w:val="Normal"/>
              <w:widowControl w:val="false"/>
              <w:jc w:val="both"/>
              <w:rPr>
                <w:rFonts w:ascii="Arial" w:hAnsi="Arial" w:eastAsia="Times New Roman" w:cs="Times New Roman"/>
                <w:b/>
                <w:b/>
                <w:bCs/>
                <w:color w:val="000000"/>
                <w:kern w:val="0"/>
                <w:sz w:val="20"/>
                <w:szCs w:val="20"/>
                <w:shd w:fill="FFFFFF" w:val="clear"/>
                <w:lang w:val="pt-BR" w:eastAsia="pt-BR" w:bidi="ar-SA"/>
              </w:rPr>
            </w:pPr>
            <w:r>
              <w:rPr>
                <w:rFonts w:eastAsia="Times New Roman" w:cs="Times New Roman"/>
                <w:b/>
                <w:bCs/>
                <w:color w:val="000000"/>
                <w:kern w:val="0"/>
                <w:sz w:val="20"/>
                <w:szCs w:val="20"/>
                <w:shd w:fill="FFFFFF" w:val="clear"/>
                <w:lang w:val="pt-BR" w:eastAsia="pt-BR" w:bidi="ar-SA"/>
              </w:rPr>
              <w:t>ESPECIFICAÇÃO</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Arial" w:hAnsi="Arial" w:eastAsia="Times New Roman" w:cs="Times New Roman"/>
                <w:b/>
                <w:b/>
                <w:bCs/>
                <w:color w:val="000000"/>
                <w:kern w:val="0"/>
                <w:sz w:val="20"/>
                <w:szCs w:val="20"/>
                <w:shd w:fill="FFFFFF" w:val="clear"/>
                <w:lang w:val="pt-BR" w:eastAsia="pt-BR" w:bidi="ar-SA"/>
              </w:rPr>
            </w:pPr>
            <w:r>
              <w:rPr>
                <w:rFonts w:eastAsia="Times New Roman" w:cs="Times New Roman"/>
                <w:b/>
                <w:bCs/>
                <w:color w:val="000000"/>
                <w:kern w:val="0"/>
                <w:sz w:val="20"/>
                <w:szCs w:val="20"/>
                <w:shd w:fill="FFFFFF" w:val="clear"/>
                <w:lang w:val="pt-BR" w:eastAsia="pt-BR" w:bidi="ar-SA"/>
              </w:rPr>
              <w:t>Unidade de Medida</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Arial" w:hAnsi="Arial" w:eastAsia="Times New Roman" w:cs="Times New Roman"/>
                <w:b/>
                <w:b/>
                <w:bCs/>
                <w:color w:val="000000"/>
                <w:kern w:val="0"/>
                <w:sz w:val="20"/>
                <w:szCs w:val="20"/>
                <w:shd w:fill="FFFFFF" w:val="clear"/>
                <w:lang w:val="pt-BR" w:eastAsia="pt-BR" w:bidi="ar-SA"/>
              </w:rPr>
            </w:pPr>
            <w:r>
              <w:rPr>
                <w:rFonts w:eastAsia="Times New Roman" w:cs="Times New Roman"/>
                <w:b/>
                <w:bCs/>
                <w:color w:val="000000"/>
                <w:kern w:val="0"/>
                <w:sz w:val="20"/>
                <w:szCs w:val="20"/>
                <w:shd w:fill="FFFFFF" w:val="clear"/>
                <w:lang w:val="pt-BR" w:eastAsia="pt-BR" w:bidi="ar-SA"/>
              </w:rPr>
              <w:t>Quantidade</w:t>
            </w:r>
          </w:p>
        </w:tc>
        <w:tc>
          <w:tcPr>
            <w:tcW w:w="12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Arial" w:hAnsi="Arial" w:eastAsia="Times New Roman" w:cs="Times New Roman"/>
                <w:b/>
                <w:b/>
                <w:bCs/>
                <w:color w:val="000000"/>
                <w:kern w:val="0"/>
                <w:sz w:val="20"/>
                <w:szCs w:val="20"/>
                <w:shd w:fill="FFFFFF" w:val="clear"/>
                <w:lang w:val="pt-BR" w:eastAsia="pt-BR" w:bidi="ar-SA"/>
              </w:rPr>
            </w:pPr>
            <w:r>
              <w:rPr>
                <w:rFonts w:eastAsia="Times New Roman" w:cs="Times New Roman"/>
                <w:b/>
                <w:bCs/>
                <w:color w:val="000000"/>
                <w:kern w:val="0"/>
                <w:sz w:val="20"/>
                <w:szCs w:val="20"/>
                <w:shd w:fill="FFFFFF" w:val="clear"/>
                <w:lang w:val="pt-BR" w:eastAsia="pt-BR" w:bidi="ar-SA"/>
              </w:rPr>
              <w:t>Valor de Referência mensal</w:t>
            </w:r>
            <w:r>
              <w:rPr>
                <w:rFonts w:eastAsia="Times New Roman" w:cs="Times New Roman"/>
                <w:b/>
                <w:bCs/>
                <w:color w:val="000000"/>
                <w:kern w:val="0"/>
                <w:sz w:val="20"/>
                <w:szCs w:val="20"/>
                <w:shd w:fill="FFFFFF" w:val="clear"/>
                <w:lang w:val="pt-BR" w:eastAsia="pt-BR" w:bidi="ar-SA"/>
              </w:rPr>
              <w:t xml:space="preserve"> </w:t>
            </w:r>
            <w:r>
              <w:rPr>
                <w:rFonts w:eastAsia="Times New Roman" w:cs="Times New Roman" w:ascii="Helvetica-Bold" w:hAnsi="Helvetica-Bold"/>
                <w:b/>
                <w:bCs/>
                <w:color w:val="000000"/>
                <w:kern w:val="0"/>
                <w:sz w:val="20"/>
                <w:szCs w:val="20"/>
                <w:shd w:fill="FFFFFF" w:val="clear"/>
                <w:lang w:val="pt-BR" w:eastAsia="pt-BR" w:bidi="ar-SA"/>
              </w:rPr>
              <w:t>R$</w:t>
            </w:r>
          </w:p>
        </w:tc>
        <w:tc>
          <w:tcPr>
            <w:tcW w:w="14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Arial" w:hAnsi="Arial" w:eastAsia="Times New Roman" w:cs="Times New Roman"/>
                <w:b/>
                <w:b/>
                <w:bCs/>
                <w:color w:val="000000"/>
                <w:kern w:val="0"/>
                <w:sz w:val="20"/>
                <w:szCs w:val="20"/>
                <w:shd w:fill="FFFFFF" w:val="clear"/>
                <w:lang w:val="pt-BR" w:eastAsia="pt-BR" w:bidi="ar-SA"/>
              </w:rPr>
            </w:pPr>
            <w:r>
              <w:rPr>
                <w:rFonts w:eastAsia="Times New Roman" w:cs="Times New Roman"/>
                <w:b/>
                <w:bCs/>
                <w:color w:val="000000"/>
                <w:kern w:val="0"/>
                <w:sz w:val="20"/>
                <w:szCs w:val="20"/>
                <w:shd w:fill="FFFFFF" w:val="clear"/>
                <w:lang w:val="pt-BR" w:eastAsia="pt-BR" w:bidi="ar-SA"/>
              </w:rPr>
              <w:t>Valor de Referência Anual</w:t>
            </w:r>
          </w:p>
        </w:tc>
      </w:tr>
      <w:tr>
        <w:trPr>
          <w:trHeight w:val="1850" w:hRule="atLeast"/>
        </w:trPr>
        <w:tc>
          <w:tcPr>
            <w:tcW w:w="7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120"/>
              <w:jc w:val="both"/>
              <w:rPr>
                <w:rFonts w:ascii="Arial" w:hAnsi="Arial" w:eastAsia="Times New Roman" w:cs="Times New Roman"/>
                <w:color w:val="000000"/>
                <w:kern w:val="0"/>
                <w:sz w:val="20"/>
                <w:szCs w:val="20"/>
                <w:shd w:fill="FFFFFF" w:val="clear"/>
                <w:lang w:val="pt-BR" w:eastAsia="pt-BR" w:bidi="ar-SA"/>
              </w:rPr>
            </w:pPr>
            <w:r>
              <w:rPr>
                <w:rFonts w:eastAsia="Times New Roman" w:cs="Times New Roman"/>
                <w:color w:val="000000"/>
                <w:kern w:val="0"/>
                <w:sz w:val="20"/>
                <w:szCs w:val="20"/>
                <w:shd w:fill="FFFFFF" w:val="clear"/>
                <w:lang w:val="pt-BR" w:eastAsia="pt-BR" w:bidi="ar-SA"/>
              </w:rPr>
              <w:t>1</w:t>
            </w:r>
          </w:p>
        </w:tc>
        <w:tc>
          <w:tcPr>
            <w:tcW w:w="29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120"/>
              <w:jc w:val="both"/>
              <w:rPr>
                <w:rFonts w:ascii="Arial" w:hAnsi="Arial" w:eastAsia="Times New Roman" w:cs="Times New Roman"/>
                <w:color w:val="000000"/>
                <w:kern w:val="0"/>
                <w:sz w:val="20"/>
                <w:szCs w:val="20"/>
                <w:shd w:fill="FFFFFF" w:val="clear"/>
                <w:lang w:val="pt-BR" w:eastAsia="pt-BR" w:bidi="ar-SA"/>
              </w:rPr>
            </w:pPr>
            <w:r>
              <w:rPr>
                <w:rFonts w:eastAsia="Times New Roman" w:cs="Times New Roman"/>
                <w:color w:val="000000"/>
                <w:kern w:val="0"/>
                <w:sz w:val="20"/>
                <w:szCs w:val="20"/>
                <w:shd w:fill="FFFFFF" w:val="clear"/>
                <w:lang w:val="pt-BR" w:eastAsia="pt-BR" w:bidi="ar-SA"/>
              </w:rPr>
              <w:t>Concessão Onerosa de Uso de bem público imóvel, referente ao espaço cantina/restaurante, Área total: 63,82 m² (sessenta e três metros e oitenta e dois centímetros quadrados)</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120"/>
              <w:jc w:val="both"/>
              <w:rPr>
                <w:rFonts w:ascii="Arial" w:hAnsi="Arial" w:eastAsia="Times New Roman" w:cs="Times New Roman"/>
                <w:color w:val="000000"/>
                <w:kern w:val="0"/>
                <w:sz w:val="20"/>
                <w:szCs w:val="20"/>
                <w:shd w:fill="FFFFFF" w:val="clear"/>
                <w:lang w:val="pt-BR" w:eastAsia="pt-BR" w:bidi="ar-SA"/>
              </w:rPr>
            </w:pPr>
            <w:r>
              <w:rPr>
                <w:rFonts w:eastAsia="Times New Roman" w:cs="Times New Roman"/>
                <w:color w:val="000000"/>
                <w:kern w:val="0"/>
                <w:sz w:val="20"/>
                <w:szCs w:val="20"/>
                <w:shd w:fill="FFFFFF" w:val="clear"/>
                <w:lang w:val="pt-BR" w:eastAsia="pt-BR" w:bidi="ar-SA"/>
              </w:rPr>
              <w:t>Mês</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120"/>
              <w:jc w:val="both"/>
              <w:rPr>
                <w:rFonts w:ascii="Arial" w:hAnsi="Arial" w:eastAsia="Times New Roman" w:cs="Times New Roman"/>
                <w:color w:val="000000"/>
                <w:kern w:val="0"/>
                <w:sz w:val="20"/>
                <w:szCs w:val="20"/>
                <w:shd w:fill="FFFFFF" w:val="clear"/>
                <w:lang w:val="pt-BR" w:eastAsia="pt-BR" w:bidi="ar-SA"/>
              </w:rPr>
            </w:pPr>
            <w:r>
              <w:rPr>
                <w:rFonts w:eastAsia="Times New Roman" w:cs="Times New Roman"/>
                <w:color w:val="000000"/>
                <w:kern w:val="0"/>
                <w:sz w:val="20"/>
                <w:szCs w:val="20"/>
                <w:shd w:fill="FFFFFF" w:val="clear"/>
                <w:lang w:val="pt-BR" w:eastAsia="pt-BR" w:bidi="ar-SA"/>
              </w:rPr>
              <w:t>12</w:t>
            </w:r>
          </w:p>
        </w:tc>
        <w:tc>
          <w:tcPr>
            <w:tcW w:w="12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120" w:after="120"/>
              <w:ind w:hanging="0"/>
              <w:jc w:val="both"/>
              <w:rPr>
                <w:color w:val="000000"/>
              </w:rPr>
            </w:pPr>
            <w:r>
              <w:rPr>
                <w:rFonts w:eastAsia="Times New Roman" w:cs="Times New Roman" w:ascii="Helvetica-Bold" w:hAnsi="Helvetica-Bold"/>
                <w:b/>
                <w:color w:val="000000"/>
                <w:kern w:val="0"/>
                <w:sz w:val="20"/>
                <w:szCs w:val="20"/>
                <w:shd w:fill="FFFFFF" w:val="clear"/>
                <w:lang w:val="pt-BR" w:eastAsia="pt-BR" w:bidi="ar-SA"/>
              </w:rPr>
              <w:t xml:space="preserve"> </w:t>
            </w:r>
            <w:r>
              <w:rPr>
                <w:rFonts w:eastAsia="Times New Roman" w:cs="Times New Roman" w:ascii="Helvetica-Bold" w:hAnsi="Helvetica-Bold"/>
                <w:b/>
                <w:color w:val="000000"/>
                <w:kern w:val="0"/>
                <w:sz w:val="20"/>
                <w:szCs w:val="20"/>
                <w:shd w:fill="FFFFFF" w:val="clear"/>
                <w:lang w:val="pt-BR" w:eastAsia="pt-BR" w:bidi="ar-SA"/>
              </w:rPr>
              <w:t>2.048,70</w:t>
            </w:r>
          </w:p>
        </w:tc>
        <w:tc>
          <w:tcPr>
            <w:tcW w:w="14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120"/>
              <w:jc w:val="both"/>
              <w:rPr>
                <w:rFonts w:ascii="Arial" w:hAnsi="Arial" w:eastAsia="Times New Roman" w:cs="Times New Roman"/>
                <w:b/>
                <w:b/>
                <w:color w:val="000000"/>
                <w:kern w:val="0"/>
                <w:sz w:val="20"/>
                <w:szCs w:val="20"/>
                <w:shd w:fill="FFFFFF" w:val="clear"/>
                <w:lang w:val="pt-BR" w:eastAsia="pt-BR" w:bidi="ar-SA"/>
              </w:rPr>
            </w:pPr>
            <w:r>
              <w:rPr>
                <w:rFonts w:eastAsia="Times New Roman" w:cs="Times New Roman"/>
                <w:b/>
                <w:color w:val="000000"/>
                <w:kern w:val="0"/>
                <w:sz w:val="20"/>
                <w:szCs w:val="20"/>
                <w:shd w:fill="FFFFFF" w:val="clear"/>
                <w:lang w:val="pt-BR" w:eastAsia="pt-BR" w:bidi="ar-SA"/>
              </w:rPr>
              <w:t>R$</w:t>
            </w:r>
          </w:p>
        </w:tc>
      </w:tr>
    </w:tbl>
    <w:p>
      <w:pPr>
        <w:pStyle w:val="Nivel1"/>
        <w:numPr>
          <w:ilvl w:val="0"/>
          <w:numId w:val="1"/>
        </w:numPr>
        <w:rPr>
          <w:bCs/>
          <w:iCs/>
        </w:rPr>
      </w:pPr>
      <w:r>
        <w:rPr/>
        <w:t>CLÁUSULA SEGUNDA – VIGÊNCIA</w:t>
      </w:r>
    </w:p>
    <w:p>
      <w:pPr>
        <w:pStyle w:val="Normal"/>
        <w:numPr>
          <w:ilvl w:val="1"/>
          <w:numId w:val="1"/>
        </w:numPr>
        <w:spacing w:lineRule="auto" w:line="276" w:before="120" w:after="120"/>
        <w:ind w:left="425" w:hanging="0"/>
        <w:jc w:val="both"/>
        <w:rPr>
          <w:rFonts w:cs="Arial"/>
          <w:i/>
          <w:i/>
          <w:color w:val="FF0000"/>
          <w:szCs w:val="20"/>
        </w:rPr>
      </w:pPr>
      <w:r>
        <w:rPr>
          <w:rFonts w:cs="Arial"/>
          <w:bCs/>
          <w:iCs/>
          <w:szCs w:val="20"/>
        </w:rPr>
        <w:t xml:space="preserve">O prazo de vigência deste Termo de Contrato é aquele fixado no Edital, com início na data de </w:t>
      </w:r>
      <w:r>
        <w:rPr>
          <w:rFonts w:cs="Arial"/>
          <w:bCs/>
          <w:iCs/>
          <w:color w:val="FF0000"/>
          <w:szCs w:val="20"/>
        </w:rPr>
        <w:t>.........../......../........</w:t>
      </w:r>
      <w:r>
        <w:rPr>
          <w:rFonts w:cs="Arial"/>
          <w:bCs/>
          <w:iCs/>
          <w:szCs w:val="20"/>
        </w:rPr>
        <w:t xml:space="preserve"> e encerram</w:t>
      </w:r>
      <w:r>
        <w:rPr>
          <w:rFonts w:cs="Arial"/>
          <w:bCs/>
          <w:i w:val="false"/>
          <w:iCs w:val="false"/>
          <w:color w:val="000000"/>
          <w:szCs w:val="20"/>
        </w:rPr>
        <w:t xml:space="preserve">ento em .........../........./.........., </w:t>
      </w:r>
      <w:r>
        <w:rPr>
          <w:rFonts w:cs="Arial"/>
          <w:i w:val="false"/>
          <w:iCs w:val="false"/>
          <w:color w:val="000000"/>
          <w:szCs w:val="20"/>
        </w:rPr>
        <w:t>podendo ser prorrogado por interesse das partes até o  limite de 60 (sessenta) meses, desde que haja autorização formal da autoridade competente e observados os seguintes requisitos:</w:t>
      </w:r>
    </w:p>
    <w:p>
      <w:pPr>
        <w:pStyle w:val="Normal"/>
        <w:numPr>
          <w:ilvl w:val="2"/>
          <w:numId w:val="1"/>
        </w:numPr>
        <w:spacing w:lineRule="auto" w:line="276" w:before="120" w:after="120"/>
        <w:ind w:left="1135" w:hanging="0"/>
        <w:jc w:val="both"/>
        <w:rPr>
          <w:i w:val="false"/>
          <w:i w:val="false"/>
          <w:iCs w:val="false"/>
          <w:color w:val="000000"/>
        </w:rPr>
      </w:pPr>
      <w:r>
        <w:rPr>
          <w:rFonts w:cs="Arial"/>
          <w:bCs/>
          <w:i w:val="false"/>
          <w:iCs w:val="false"/>
          <w:color w:val="000000"/>
          <w:szCs w:val="20"/>
        </w:rPr>
        <w:t>Os serviços tenham sido prestados regularmente;</w:t>
      </w:r>
    </w:p>
    <w:p>
      <w:pPr>
        <w:pStyle w:val="Normal"/>
        <w:numPr>
          <w:ilvl w:val="2"/>
          <w:numId w:val="1"/>
        </w:numPr>
        <w:spacing w:lineRule="auto" w:line="276" w:before="120" w:after="120"/>
        <w:ind w:left="1135" w:hanging="0"/>
        <w:jc w:val="both"/>
        <w:rPr>
          <w:i w:val="false"/>
          <w:i w:val="false"/>
          <w:iCs w:val="false"/>
          <w:color w:val="000000"/>
        </w:rPr>
      </w:pPr>
      <w:r>
        <w:rPr>
          <w:rFonts w:cs="Arial"/>
          <w:bCs/>
          <w:i w:val="false"/>
          <w:iCs w:val="false"/>
          <w:color w:val="000000"/>
          <w:szCs w:val="20"/>
        </w:rPr>
        <w:t>Esteja formalmente demonstrado que a forma de prestação dos serviços tem natureza continuada;</w:t>
      </w:r>
    </w:p>
    <w:p>
      <w:pPr>
        <w:pStyle w:val="Normal"/>
        <w:numPr>
          <w:ilvl w:val="2"/>
          <w:numId w:val="1"/>
        </w:numPr>
        <w:spacing w:lineRule="auto" w:line="276" w:before="120" w:after="120"/>
        <w:ind w:left="1135" w:hanging="0"/>
        <w:jc w:val="both"/>
        <w:rPr>
          <w:i w:val="false"/>
          <w:i w:val="false"/>
          <w:iCs w:val="false"/>
          <w:color w:val="000000"/>
        </w:rPr>
      </w:pPr>
      <w:r>
        <w:rPr>
          <w:rFonts w:cs="Arial"/>
          <w:bCs/>
          <w:i w:val="false"/>
          <w:iCs w:val="false"/>
          <w:color w:val="000000"/>
          <w:szCs w:val="20"/>
        </w:rPr>
        <w:t>Seja juntado relatório que discorra sobre a execução do contrato, com informações de que os serviços tenham sido prestados regularmente;</w:t>
      </w:r>
    </w:p>
    <w:p>
      <w:pPr>
        <w:pStyle w:val="Normal"/>
        <w:numPr>
          <w:ilvl w:val="2"/>
          <w:numId w:val="1"/>
        </w:numPr>
        <w:spacing w:lineRule="auto" w:line="276" w:before="120" w:after="120"/>
        <w:ind w:left="1135" w:hanging="0"/>
        <w:jc w:val="both"/>
        <w:rPr>
          <w:i w:val="false"/>
          <w:i w:val="false"/>
          <w:iCs w:val="false"/>
          <w:color w:val="000000"/>
        </w:rPr>
      </w:pPr>
      <w:r>
        <w:rPr>
          <w:rFonts w:cs="Arial"/>
          <w:bCs/>
          <w:i w:val="false"/>
          <w:iCs w:val="false"/>
          <w:color w:val="000000"/>
          <w:szCs w:val="20"/>
        </w:rPr>
        <w:t>Seja juntada justificativa e motivo, por escrito, de que a Administração mantém interesse na realização do serviço;</w:t>
      </w:r>
    </w:p>
    <w:p>
      <w:pPr>
        <w:pStyle w:val="Normal"/>
        <w:numPr>
          <w:ilvl w:val="2"/>
          <w:numId w:val="1"/>
        </w:numPr>
        <w:spacing w:lineRule="auto" w:line="276" w:before="120" w:after="120"/>
        <w:ind w:left="1135" w:hanging="0"/>
        <w:jc w:val="both"/>
        <w:rPr>
          <w:i w:val="false"/>
          <w:i w:val="false"/>
          <w:iCs w:val="false"/>
          <w:color w:val="000000"/>
        </w:rPr>
      </w:pPr>
      <w:r>
        <w:rPr>
          <w:rFonts w:cs="Arial"/>
          <w:bCs/>
          <w:i w:val="false"/>
          <w:iCs w:val="false"/>
          <w:color w:val="000000"/>
          <w:szCs w:val="20"/>
        </w:rPr>
        <w:t>Seja comprovado que o valor do contrato permanece economicamente vantajoso para a Administração;</w:t>
      </w:r>
    </w:p>
    <w:p>
      <w:pPr>
        <w:pStyle w:val="Normal"/>
        <w:numPr>
          <w:ilvl w:val="2"/>
          <w:numId w:val="1"/>
        </w:numPr>
        <w:spacing w:lineRule="auto" w:line="276" w:before="120" w:after="120"/>
        <w:ind w:left="1135" w:hanging="0"/>
        <w:jc w:val="both"/>
        <w:rPr>
          <w:i w:val="false"/>
          <w:i w:val="false"/>
          <w:iCs w:val="false"/>
          <w:color w:val="000000"/>
        </w:rPr>
      </w:pPr>
      <w:r>
        <w:rPr>
          <w:rFonts w:cs="Arial"/>
          <w:bCs/>
          <w:i w:val="false"/>
          <w:iCs w:val="false"/>
          <w:color w:val="000000"/>
          <w:szCs w:val="20"/>
        </w:rPr>
        <w:t>Haja manifestação expressa da contratada(</w:t>
      </w:r>
      <w:r>
        <w:rPr>
          <w:rFonts w:cs="Times New Roman"/>
          <w:bCs/>
          <w:i w:val="false"/>
          <w:iCs w:val="false"/>
          <w:color w:val="000000"/>
          <w:szCs w:val="20"/>
        </w:rPr>
        <w:t>CONCESSIONÁRIA)</w:t>
      </w:r>
      <w:r>
        <w:rPr>
          <w:rFonts w:cs="Arial"/>
          <w:bCs/>
          <w:i w:val="false"/>
          <w:iCs w:val="false"/>
          <w:color w:val="000000"/>
          <w:szCs w:val="20"/>
        </w:rPr>
        <w:t xml:space="preserve"> informando o interesse na prorrogação; </w:t>
      </w:r>
    </w:p>
    <w:p>
      <w:pPr>
        <w:pStyle w:val="Normal"/>
        <w:numPr>
          <w:ilvl w:val="2"/>
          <w:numId w:val="1"/>
        </w:numPr>
        <w:spacing w:lineRule="auto" w:line="276" w:before="120" w:after="120"/>
        <w:ind w:left="1135" w:hanging="0"/>
        <w:jc w:val="both"/>
        <w:rPr/>
      </w:pPr>
      <w:r>
        <w:rPr>
          <w:rFonts w:cs="Arial"/>
          <w:bCs/>
          <w:i w:val="false"/>
          <w:iCs w:val="false"/>
          <w:color w:val="000000"/>
          <w:szCs w:val="20"/>
        </w:rPr>
        <w:t>Seja comprovado que o contratado mantém as condições iniciais de habilitação.</w:t>
      </w:r>
    </w:p>
    <w:p>
      <w:pPr>
        <w:pStyle w:val="Nivel1"/>
        <w:numPr>
          <w:ilvl w:val="0"/>
          <w:numId w:val="1"/>
        </w:numPr>
        <w:rPr>
          <w:bCs/>
        </w:rPr>
      </w:pPr>
      <w:r>
        <w:rPr/>
        <w:t>CLÁUSULA TERCEIRA – PREÇO</w:t>
      </w:r>
    </w:p>
    <w:p>
      <w:pPr>
        <w:pStyle w:val="Normal"/>
        <w:numPr>
          <w:ilvl w:val="1"/>
          <w:numId w:val="1"/>
        </w:numPr>
        <w:spacing w:lineRule="auto" w:line="276" w:before="120" w:after="120"/>
        <w:ind w:left="425" w:hanging="0"/>
        <w:jc w:val="both"/>
        <w:rPr>
          <w:color w:val="000000"/>
        </w:rPr>
      </w:pPr>
      <w:r>
        <w:rPr>
          <w:rFonts w:cs="Times New Roman"/>
          <w:color w:val="000000"/>
          <w:szCs w:val="20"/>
        </w:rPr>
        <w:t xml:space="preserve">O valor mensal da contratação é de </w:t>
      </w:r>
      <w:r>
        <w:rPr>
          <w:rFonts w:cs="Times New Roman" w:ascii="Helvetica-Bold" w:hAnsi="Helvetica-Bold"/>
          <w:b/>
          <w:color w:val="000000"/>
          <w:sz w:val="20"/>
          <w:szCs w:val="20"/>
        </w:rPr>
        <w:t>R$ 2.048,70(dois mil quarenta e oito reais e setenta centavos)</w:t>
      </w:r>
      <w:r>
        <w:rPr>
          <w:rFonts w:cs="Times New Roman"/>
          <w:color w:val="000000"/>
          <w:szCs w:val="20"/>
        </w:rPr>
        <w:t xml:space="preserve">, perfazendo o valor total de </w:t>
      </w:r>
      <w:r>
        <w:rPr>
          <w:rFonts w:cs="Times New Roman"/>
          <w:b/>
          <w:bCs/>
          <w:color w:val="000000"/>
          <w:szCs w:val="20"/>
        </w:rPr>
        <w:t>R$ 24.584,40(vinte e quatro mil quinhentos e oitenta e quatro reais e quarenta centavos)</w:t>
      </w:r>
      <w:r>
        <w:rPr>
          <w:rFonts w:cs="Times New Roman"/>
          <w:color w:val="000000"/>
          <w:szCs w:val="20"/>
        </w:rPr>
        <w:t xml:space="preserve">. </w:t>
      </w:r>
      <w:r>
        <w:rPr>
          <w:rFonts w:cs="Times New Roman"/>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pPr>
        <w:pStyle w:val="Normal"/>
        <w:numPr>
          <w:ilvl w:val="1"/>
          <w:numId w:val="1"/>
        </w:numPr>
        <w:spacing w:lineRule="auto" w:line="276" w:before="120" w:after="120"/>
        <w:ind w:left="425" w:hanging="0"/>
        <w:jc w:val="both"/>
        <w:rPr>
          <w:rFonts w:cs="Times New Roman"/>
          <w:szCs w:val="20"/>
        </w:rPr>
      </w:pPr>
      <w:r>
        <w:rPr>
          <w:rFonts w:cs="Times New Roman"/>
          <w:szCs w:val="20"/>
        </w:rPr>
        <w:t>O valor acima é meramente estimativo, de forma que os pagamentos devidos à CONTRATADA(CONCESSIONÁRIA) dependerão dos quantitativos de serviços efetivamente prestados.</w:t>
      </w:r>
      <w:r>
        <w:rPr>
          <w:szCs w:val="20"/>
        </w:rPr>
        <w:t xml:space="preserve"> </w:t>
      </w:r>
    </w:p>
    <w:p>
      <w:pPr>
        <w:pStyle w:val="Nivel1"/>
        <w:numPr>
          <w:ilvl w:val="0"/>
          <w:numId w:val="1"/>
        </w:numPr>
        <w:rPr>
          <w:highlight w:val="none"/>
          <w:shd w:fill="auto" w:val="clear"/>
        </w:rPr>
      </w:pPr>
      <w:r>
        <w:rPr>
          <w:shd w:fill="auto" w:val="clear"/>
        </w:rPr>
        <w:t>CLÁUSULA QUINTA – PAGAMENTO</w:t>
      </w:r>
    </w:p>
    <w:p>
      <w:pPr>
        <w:pStyle w:val="Normal"/>
        <w:widowControl/>
        <w:numPr>
          <w:ilvl w:val="1"/>
          <w:numId w:val="1"/>
        </w:numPr>
        <w:suppressAutoHyphens w:val="true"/>
        <w:bidi w:val="0"/>
        <w:spacing w:lineRule="auto" w:line="276" w:before="120" w:after="120"/>
        <w:ind w:left="283" w:right="0" w:hanging="0"/>
        <w:jc w:val="both"/>
        <w:rPr>
          <w:highlight w:val="none"/>
          <w:shd w:fill="auto" w:val="clear"/>
        </w:rPr>
      </w:pPr>
      <w:r>
        <w:rPr>
          <w:rFonts w:cs="Arial"/>
          <w:szCs w:val="20"/>
          <w:shd w:fill="auto" w:val="clear"/>
        </w:rPr>
        <w:t xml:space="preserve">O prazo para pagamento à CONTRATANTE(CONCEDENTE) e demais condições a ele referentes encontram-se definidos no Termo de Referência. </w:t>
      </w:r>
    </w:p>
    <w:p>
      <w:pPr>
        <w:pStyle w:val="Nivel1"/>
        <w:numPr>
          <w:ilvl w:val="0"/>
          <w:numId w:val="1"/>
        </w:numPr>
        <w:rPr/>
      </w:pPr>
      <w:r>
        <w:rPr/>
        <w:t>CLÁUSULA SEXTA – REAJUSTE</w:t>
      </w:r>
    </w:p>
    <w:p>
      <w:pPr>
        <w:pStyle w:val="Normal"/>
        <w:numPr>
          <w:ilvl w:val="1"/>
          <w:numId w:val="1"/>
        </w:numPr>
        <w:spacing w:lineRule="auto" w:line="276" w:before="120" w:after="120"/>
        <w:ind w:left="425" w:hanging="0"/>
        <w:jc w:val="both"/>
        <w:rPr>
          <w:rFonts w:eastAsia="" w:cs="Arial" w:eastAsiaTheme="majorEastAsia"/>
          <w:bCs/>
          <w:szCs w:val="20"/>
        </w:rPr>
      </w:pPr>
      <w:r>
        <w:rPr>
          <w:rFonts w:cs="Arial"/>
          <w:szCs w:val="20"/>
        </w:rPr>
        <w:t>As</w:t>
      </w:r>
      <w:r>
        <w:rPr>
          <w:rFonts w:eastAsia="" w:cs="Arial" w:eastAsiaTheme="majorEastAsia"/>
          <w:bCs/>
          <w:szCs w:val="20"/>
        </w:rPr>
        <w:t xml:space="preserve"> regras acerca do reajuste do valor contratual são as estabelecidas no Termo de Referência, anexo a este Contrato.</w:t>
      </w:r>
    </w:p>
    <w:p>
      <w:pPr>
        <w:pStyle w:val="Nivel1"/>
        <w:numPr>
          <w:ilvl w:val="0"/>
          <w:numId w:val="1"/>
        </w:numPr>
        <w:rPr>
          <w:i w:val="false"/>
          <w:i w:val="false"/>
          <w:iCs w:val="false"/>
          <w:color w:val="000000"/>
        </w:rPr>
      </w:pPr>
      <w:r>
        <w:rPr>
          <w:i w:val="false"/>
          <w:iCs w:val="false"/>
          <w:color w:val="000000"/>
        </w:rPr>
        <w:t>CLÁUSULA SÉTIMA – GARANTIA DE EXECUÇÃO</w:t>
      </w:r>
    </w:p>
    <w:p>
      <w:pPr>
        <w:pStyle w:val="Normal"/>
        <w:spacing w:beforeAutospacing="1" w:afterAutospacing="1"/>
        <w:rPr>
          <w:color w:val="000000"/>
        </w:rPr>
      </w:pPr>
      <w:r>
        <w:rPr>
          <w:rFonts w:cs="Arial"/>
          <w:color w:val="000000"/>
          <w:szCs w:val="20"/>
        </w:rPr>
        <w:t>7.1. Não haverá exigência de garantia de execução para a presente contratação.</w:t>
      </w:r>
    </w:p>
    <w:p>
      <w:pPr>
        <w:pStyle w:val="Nivel1"/>
        <w:numPr>
          <w:ilvl w:val="0"/>
          <w:numId w:val="1"/>
        </w:numPr>
        <w:rPr/>
      </w:pPr>
      <w:r>
        <w:rPr/>
        <w:t>CLÁUSULA OITAVA – REGIME DE EXECUÇÃO DOS SERVIÇOS E FISCALIZAÇÃO</w:t>
      </w:r>
    </w:p>
    <w:p>
      <w:pPr>
        <w:pStyle w:val="Normal"/>
        <w:numPr>
          <w:ilvl w:val="1"/>
          <w:numId w:val="1"/>
        </w:numPr>
        <w:spacing w:lineRule="auto" w:line="276" w:before="120" w:after="120"/>
        <w:ind w:left="425" w:hanging="0"/>
        <w:jc w:val="both"/>
        <w:rPr>
          <w:rFonts w:cs="Times New Roman"/>
          <w:szCs w:val="20"/>
        </w:rPr>
      </w:pPr>
      <w:r>
        <w:rPr>
          <w:rFonts w:cs="Arial"/>
          <w:szCs w:val="20"/>
        </w:rPr>
        <w:t>O regime de execução dos serviços a serem executados pela CONTRATADA(</w:t>
      </w:r>
      <w:r>
        <w:rPr>
          <w:rFonts w:cs="Times New Roman"/>
          <w:szCs w:val="20"/>
        </w:rPr>
        <w:t>(CONCESSIONÁRIA))</w:t>
      </w:r>
      <w:r>
        <w:rPr>
          <w:rFonts w:cs="Arial"/>
          <w:szCs w:val="20"/>
        </w:rPr>
        <w:t>, os materiais que serão empregados e a fiscalização pela CONTRATANTE(CONCEDENTE) são aqueles previstos no Termo de Referência, anexo do Edital.</w:t>
      </w:r>
    </w:p>
    <w:p>
      <w:pPr>
        <w:pStyle w:val="Nivel1"/>
        <w:numPr>
          <w:ilvl w:val="0"/>
          <w:numId w:val="1"/>
        </w:numPr>
        <w:rPr/>
      </w:pPr>
      <w:r>
        <w:rPr/>
        <w:t>CLÁUSULA NONA – OBRIGAÇÕES DA CONTRATANTE(CONCEDENTE) E DA CONTRATADA</w:t>
      </w:r>
      <w:r>
        <w:rPr>
          <w:rFonts w:cs="Times New Roman"/>
          <w:szCs w:val="20"/>
        </w:rPr>
        <w:t>(CONCESSIONÁRIA)</w:t>
      </w:r>
    </w:p>
    <w:p>
      <w:pPr>
        <w:pStyle w:val="Normal"/>
        <w:numPr>
          <w:ilvl w:val="1"/>
          <w:numId w:val="1"/>
        </w:numPr>
        <w:spacing w:lineRule="auto" w:line="276" w:before="120" w:after="120"/>
        <w:ind w:left="425" w:hanging="0"/>
        <w:jc w:val="both"/>
        <w:rPr>
          <w:rFonts w:cs="Times New Roman"/>
          <w:szCs w:val="20"/>
        </w:rPr>
      </w:pPr>
      <w:r>
        <w:rPr>
          <w:rFonts w:cs="Times New Roman"/>
          <w:szCs w:val="20"/>
        </w:rPr>
        <w:t>As obrigações da CONTRATANTE(CONCEDENTE) e da CONTRATADA(CONCESSIONÁRIA) são aquelas previstas no Termo de Referência, anexo do Edital.</w:t>
      </w:r>
    </w:p>
    <w:p>
      <w:pPr>
        <w:pStyle w:val="Nivel1"/>
        <w:numPr>
          <w:ilvl w:val="0"/>
          <w:numId w:val="1"/>
        </w:numPr>
        <w:rPr/>
      </w:pPr>
      <w:r>
        <w:rPr/>
        <w:t>CLÁUSULA DÉCIMA – SANÇÕES ADMINISTRATIVAS.</w:t>
      </w:r>
    </w:p>
    <w:p>
      <w:pPr>
        <w:pStyle w:val="Normal"/>
        <w:numPr>
          <w:ilvl w:val="1"/>
          <w:numId w:val="1"/>
        </w:numPr>
        <w:spacing w:lineRule="auto" w:line="276" w:before="120" w:after="120"/>
        <w:ind w:left="425" w:hanging="0"/>
        <w:jc w:val="both"/>
        <w:rPr>
          <w:rFonts w:cs="Times New Roman"/>
          <w:szCs w:val="20"/>
        </w:rPr>
      </w:pPr>
      <w:r>
        <w:rPr>
          <w:rFonts w:cs="Times New Roman"/>
          <w:szCs w:val="20"/>
        </w:rPr>
        <w:t>As sanções relacionadas à execução do contrato são aquelas previstas no Termo de Referência, anexo do Edital.</w:t>
      </w:r>
    </w:p>
    <w:p>
      <w:pPr>
        <w:pStyle w:val="Nivel1"/>
        <w:numPr>
          <w:ilvl w:val="0"/>
          <w:numId w:val="1"/>
        </w:numPr>
        <w:rPr/>
      </w:pPr>
      <w:r>
        <w:rPr/>
        <w:t>CLÁUSULA DÉCIMA PRIMEIRA – RESCISÃO</w:t>
      </w:r>
    </w:p>
    <w:p>
      <w:pPr>
        <w:pStyle w:val="Normal"/>
        <w:numPr>
          <w:ilvl w:val="1"/>
          <w:numId w:val="1"/>
        </w:numPr>
        <w:spacing w:lineRule="auto" w:line="276" w:before="120" w:after="120"/>
        <w:ind w:left="425" w:hanging="0"/>
        <w:jc w:val="both"/>
        <w:rPr>
          <w:rFonts w:cs="Arial"/>
          <w:szCs w:val="20"/>
        </w:rPr>
      </w:pPr>
      <w:r>
        <w:rPr/>
        <w:t>O presente Termo de Contrato poderá ser rescindido</w:t>
      </w:r>
      <w:r>
        <w:rPr>
          <w:rFonts w:cs="Arial"/>
          <w:szCs w:val="20"/>
        </w:rPr>
        <w:t>:</w:t>
      </w:r>
    </w:p>
    <w:p>
      <w:pPr>
        <w:pStyle w:val="Normal"/>
        <w:numPr>
          <w:ilvl w:val="2"/>
          <w:numId w:val="1"/>
        </w:numPr>
        <w:spacing w:lineRule="auto" w:line="276" w:before="120" w:after="120"/>
        <w:jc w:val="both"/>
        <w:rPr/>
      </w:pPr>
      <w:r>
        <w:rPr>
          <w:rFonts w:cs="Arial"/>
          <w:szCs w:val="20"/>
        </w:rPr>
        <w:t>por ato unilateral e escrito da Administração,</w:t>
      </w:r>
      <w:r>
        <w:rPr/>
        <w:t xml:space="preserve"> nas </w:t>
      </w:r>
      <w:r>
        <w:rPr>
          <w:rFonts w:cs="Arial"/>
          <w:szCs w:val="20"/>
        </w:rPr>
        <w:t>situações</w:t>
      </w:r>
      <w:r>
        <w:rPr/>
        <w:t xml:space="preserve"> previstas </w:t>
      </w:r>
      <w:r>
        <w:rPr>
          <w:rFonts w:cs="Arial"/>
          <w:szCs w:val="20"/>
        </w:rPr>
        <w:t>nos incisos I a XII e XVII do</w:t>
      </w:r>
      <w:r>
        <w:rPr/>
        <w:t xml:space="preserve"> art. 78 da Lei nº 8.666, de 1993,</w:t>
      </w:r>
      <w:r>
        <w:rPr>
          <w:rFonts w:cs="Arial"/>
          <w:szCs w:val="20"/>
        </w:rPr>
        <w:t xml:space="preserve"> e</w:t>
      </w:r>
      <w:r>
        <w:rPr/>
        <w:t xml:space="preserve"> com as consequências indicadas no art. 80 da mesma Lei, sem prejuízo da aplicação das sanções previstas no Termo de Referência, anexo </w:t>
      </w:r>
      <w:r>
        <w:rPr>
          <w:rFonts w:cs="Arial"/>
          <w:szCs w:val="20"/>
        </w:rPr>
        <w:t>ao</w:t>
      </w:r>
      <w:r>
        <w:rPr/>
        <w:t xml:space="preserve"> Edital</w:t>
      </w:r>
      <w:r>
        <w:rPr>
          <w:rFonts w:cs="Arial"/>
          <w:szCs w:val="20"/>
        </w:rPr>
        <w:t>;</w:t>
      </w:r>
    </w:p>
    <w:p>
      <w:pPr>
        <w:pStyle w:val="Normal"/>
        <w:numPr>
          <w:ilvl w:val="2"/>
          <w:numId w:val="1"/>
        </w:numPr>
        <w:spacing w:lineRule="auto" w:line="276" w:before="120" w:after="120"/>
        <w:ind w:left="1134" w:hanging="0"/>
        <w:jc w:val="both"/>
        <w:rPr>
          <w:rFonts w:cs="Arial"/>
          <w:szCs w:val="20"/>
        </w:rPr>
      </w:pPr>
      <w:r>
        <w:rPr>
          <w:rFonts w:cs="Arial"/>
          <w:szCs w:val="20"/>
        </w:rPr>
        <w:t xml:space="preserve">amigavelmente, nos termos do art. 79, inciso II, da Lei nº 8.666, de 1993. </w:t>
      </w:r>
    </w:p>
    <w:p>
      <w:pPr>
        <w:pStyle w:val="Normal"/>
        <w:numPr>
          <w:ilvl w:val="1"/>
          <w:numId w:val="1"/>
        </w:numPr>
        <w:spacing w:lineRule="auto" w:line="276" w:before="120" w:after="120"/>
        <w:ind w:left="425" w:hanging="0"/>
        <w:jc w:val="both"/>
        <w:rPr>
          <w:rFonts w:cs="Times New Roman"/>
          <w:szCs w:val="20"/>
        </w:rPr>
      </w:pPr>
      <w:r>
        <w:rPr>
          <w:rFonts w:cs="Times New Roman"/>
          <w:szCs w:val="20"/>
        </w:rPr>
        <w:t>Os casos de rescisão contratual serão formalmente motivados, assegurando-se à CONTRATADA(CONCESSIONÁRIA) o direito à prévia e ampla defesa.</w:t>
      </w:r>
    </w:p>
    <w:p>
      <w:pPr>
        <w:pStyle w:val="Normal"/>
        <w:numPr>
          <w:ilvl w:val="1"/>
          <w:numId w:val="1"/>
        </w:numPr>
        <w:spacing w:lineRule="auto" w:line="276" w:before="120" w:after="120"/>
        <w:ind w:left="425" w:hanging="0"/>
        <w:jc w:val="both"/>
        <w:rPr>
          <w:rFonts w:cs="Times New Roman"/>
          <w:szCs w:val="20"/>
        </w:rPr>
      </w:pPr>
      <w:r>
        <w:rPr>
          <w:rFonts w:cs="Times New Roman"/>
          <w:szCs w:val="20"/>
        </w:rPr>
        <w:t>A CONTRATADA(CONCESSIONÁRIA) reconhece os direitos da CONTRATANTE(CONCEDENTE) em caso de rescisão administrativa prevista no art. 77 da Lei nº 8.666, de 1993.</w:t>
      </w:r>
    </w:p>
    <w:p>
      <w:pPr>
        <w:pStyle w:val="Normal"/>
        <w:numPr>
          <w:ilvl w:val="1"/>
          <w:numId w:val="1"/>
        </w:numPr>
        <w:spacing w:lineRule="auto" w:line="276" w:before="120" w:after="120"/>
        <w:ind w:left="425" w:hanging="0"/>
        <w:jc w:val="both"/>
        <w:rPr>
          <w:rFonts w:cs="Times New Roman"/>
          <w:szCs w:val="20"/>
        </w:rPr>
      </w:pPr>
      <w:r>
        <w:rPr>
          <w:rFonts w:cs="Times New Roman"/>
          <w:szCs w:val="20"/>
        </w:rPr>
        <w:t>O termo de rescisão, sempre que possível, será precedido:</w:t>
      </w:r>
    </w:p>
    <w:p>
      <w:pPr>
        <w:pStyle w:val="Normal"/>
        <w:numPr>
          <w:ilvl w:val="2"/>
          <w:numId w:val="1"/>
        </w:numPr>
        <w:spacing w:lineRule="auto" w:line="276" w:before="120" w:after="120"/>
        <w:ind w:left="1134" w:hanging="0"/>
        <w:jc w:val="both"/>
        <w:rPr>
          <w:rFonts w:cs="Times New Roman"/>
          <w:szCs w:val="20"/>
        </w:rPr>
      </w:pPr>
      <w:r>
        <w:rPr>
          <w:rFonts w:cs="Times New Roman"/>
          <w:szCs w:val="20"/>
        </w:rPr>
        <w:t>Balanço dos eventos contratuais já cumpridos ou parcialmente cumpridos;</w:t>
      </w:r>
    </w:p>
    <w:p>
      <w:pPr>
        <w:pStyle w:val="Normal"/>
        <w:numPr>
          <w:ilvl w:val="2"/>
          <w:numId w:val="1"/>
        </w:numPr>
        <w:spacing w:lineRule="auto" w:line="276" w:before="120" w:after="120"/>
        <w:ind w:left="1134" w:hanging="0"/>
        <w:jc w:val="both"/>
        <w:rPr>
          <w:rFonts w:cs="Times New Roman"/>
          <w:szCs w:val="20"/>
        </w:rPr>
      </w:pPr>
      <w:r>
        <w:rPr>
          <w:rFonts w:cs="Times New Roman"/>
          <w:szCs w:val="20"/>
        </w:rPr>
        <w:t>Relação dos pagamentos já efetuados e ainda devidos;</w:t>
      </w:r>
    </w:p>
    <w:p>
      <w:pPr>
        <w:pStyle w:val="Normal"/>
        <w:numPr>
          <w:ilvl w:val="2"/>
          <w:numId w:val="1"/>
        </w:numPr>
        <w:spacing w:lineRule="auto" w:line="276" w:before="120" w:after="120"/>
        <w:ind w:left="1134" w:hanging="0"/>
        <w:jc w:val="both"/>
        <w:rPr>
          <w:rFonts w:cs="Times New Roman"/>
          <w:szCs w:val="20"/>
        </w:rPr>
      </w:pPr>
      <w:r>
        <w:rPr>
          <w:rFonts w:cs="Times New Roman"/>
          <w:szCs w:val="20"/>
        </w:rPr>
        <w:t>Indenizações e multas.</w:t>
      </w:r>
    </w:p>
    <w:p>
      <w:pPr>
        <w:pStyle w:val="Nivel1"/>
        <w:numPr>
          <w:ilvl w:val="0"/>
          <w:numId w:val="1"/>
        </w:numPr>
        <w:rPr>
          <w:szCs w:val="32"/>
        </w:rPr>
      </w:pPr>
      <w:r>
        <w:rPr/>
        <w:t>CLÁUSULA DÉCIMA SEGUNDA – VEDAÇÕES</w:t>
      </w:r>
      <w:r>
        <w:rPr>
          <w:strike/>
          <w:shd w:fill="auto" w:val="clear"/>
        </w:rPr>
        <w:t xml:space="preserve"> E PERMISSÕES</w:t>
      </w:r>
    </w:p>
    <w:p>
      <w:pPr>
        <w:pStyle w:val="Nivel01Titulo"/>
        <w:numPr>
          <w:ilvl w:val="1"/>
          <w:numId w:val="1"/>
        </w:numPr>
        <w:rPr>
          <w:rFonts w:cs="" w:cstheme="majorBidi"/>
          <w:b w:val="false"/>
          <w:b w:val="false"/>
          <w:bCs w:val="false"/>
        </w:rPr>
      </w:pPr>
      <w:r>
        <w:rPr>
          <w:b w:val="false"/>
          <w:bCs w:val="false"/>
        </w:rPr>
        <w:t xml:space="preserve">É vedado à </w:t>
      </w:r>
      <w:r>
        <w:rPr>
          <w:rFonts w:cs="Times New Roman"/>
          <w:b w:val="false"/>
          <w:bCs w:val="false"/>
          <w:szCs w:val="20"/>
        </w:rPr>
        <w:t>CONTRATADA(CONCESSIONÁRIA)</w:t>
      </w:r>
      <w:r>
        <w:rPr>
          <w:b w:val="false"/>
          <w:bCs w:val="false"/>
        </w:rPr>
        <w:t xml:space="preserve"> interromper a execução dos serviços sob alegação de inadimplemento por parte da </w:t>
      </w:r>
      <w:r>
        <w:rPr>
          <w:rFonts w:cs="Times New Roman"/>
          <w:b w:val="false"/>
          <w:bCs w:val="false"/>
          <w:szCs w:val="20"/>
        </w:rPr>
        <w:t>CONTRATANTE(CONCEDENTE)</w:t>
      </w:r>
      <w:r>
        <w:rPr>
          <w:b w:val="false"/>
          <w:bCs w:val="false"/>
        </w:rPr>
        <w:t>, salvo nos casos previstos em lei.</w:t>
      </w:r>
    </w:p>
    <w:p>
      <w:pPr>
        <w:pStyle w:val="Nivel01Titulo"/>
        <w:numPr>
          <w:ilvl w:val="1"/>
          <w:numId w:val="1"/>
        </w:numPr>
        <w:rPr>
          <w:strike/>
          <w:highlight w:val="none"/>
          <w:u w:val="none"/>
          <w:shd w:fill="auto" w:val="clear"/>
        </w:rPr>
      </w:pPr>
      <w:r>
        <w:rPr>
          <w:b w:val="false"/>
          <w:bCs w:val="false"/>
          <w:strike/>
          <w:u w:val="none"/>
          <w:shd w:fill="auto" w:val="clear"/>
        </w:rPr>
        <w:t>É permitido à CONTRATADA caucionar ou utilizar este Termo de Contrato para qualquer operação financeira, nos termos e de acordo com os procedimentos previstos na Instrução Normativa SEGES/ME nº 53, de 8 de Julho de 2020.</w:t>
      </w:r>
      <w:bookmarkStart w:id="1" w:name="_GoBack"/>
      <w:bookmarkEnd w:id="1"/>
    </w:p>
    <w:p>
      <w:pPr>
        <w:pStyle w:val="Nivel01Titulo"/>
        <w:numPr>
          <w:ilvl w:val="2"/>
          <w:numId w:val="1"/>
        </w:numPr>
        <w:rPr>
          <w:strike/>
          <w:highlight w:val="none"/>
          <w:u w:val="none"/>
          <w:shd w:fill="auto" w:val="clear"/>
        </w:rPr>
      </w:pPr>
      <w:r>
        <w:rPr>
          <w:b w:val="false"/>
          <w:bCs w:val="false"/>
          <w:strike/>
          <w:u w:val="none"/>
          <w:shd w:fill="auto" w:val="clear"/>
        </w:rPr>
        <w:t>A cessão de crédito, a ser feita mediante celebração de termo aditivo, dependerá de comprovação da regularidade fiscal e trabalhista da cessionária, bem como da certificação de que a cessionária não se encontra impedida de licitar e contratar com o Poder Público, conforme a legislação em vigor, nos termos do Parecer JL-01, de 18 de maio de 2020.</w:t>
      </w:r>
    </w:p>
    <w:p>
      <w:pPr>
        <w:pStyle w:val="Nivel01Titulo"/>
        <w:numPr>
          <w:ilvl w:val="2"/>
          <w:numId w:val="1"/>
        </w:numPr>
        <w:rPr/>
      </w:pPr>
      <w:r>
        <w:rPr>
          <w:b w:val="false"/>
          <w:bCs w:val="false"/>
          <w:strike/>
          <w:u w:val="none"/>
          <w:shd w:fill="auto" w:val="clear"/>
        </w:rPr>
        <w:t>A crédito a ser pago à cessionária é exatamente aquele que seria destinado à cedente (contratada) pela execução do objeto contratual, com o desconto de eventuais multas, glosas e prejuízos causados à Administração, sem prejuízo da utilização de institutos tais como os da conta vinculada e do pagamento direto previstos na IN SEGES/ME nº 5, de 2017, caso aplicáveis.</w:t>
      </w:r>
    </w:p>
    <w:p>
      <w:pPr>
        <w:pStyle w:val="Nivel1"/>
        <w:numPr>
          <w:ilvl w:val="0"/>
          <w:numId w:val="1"/>
        </w:numPr>
        <w:rPr/>
      </w:pPr>
      <w:r>
        <w:rPr/>
        <w:t>CLÁUSULA DÉCIMA TERCEIRA – ALTERAÇÕES</w:t>
      </w:r>
    </w:p>
    <w:p>
      <w:pPr>
        <w:pStyle w:val="Normal"/>
        <w:numPr>
          <w:ilvl w:val="1"/>
          <w:numId w:val="1"/>
        </w:numPr>
        <w:spacing w:lineRule="auto" w:line="276" w:before="120" w:after="120"/>
        <w:ind w:left="425" w:hanging="0"/>
        <w:jc w:val="both"/>
        <w:rPr>
          <w:rFonts w:cs="Times New Roman"/>
          <w:szCs w:val="20"/>
        </w:rPr>
      </w:pPr>
      <w:r>
        <w:rPr>
          <w:rFonts w:cs="Times New Roman"/>
          <w:szCs w:val="20"/>
        </w:rPr>
        <w:t>Eventuais alterações contratuais reger-se-ão pela disciplina do art. 65 da Lei nº 8.666, de 1993.</w:t>
      </w:r>
    </w:p>
    <w:p>
      <w:pPr>
        <w:pStyle w:val="Normal"/>
        <w:numPr>
          <w:ilvl w:val="1"/>
          <w:numId w:val="1"/>
        </w:numPr>
        <w:spacing w:lineRule="auto" w:line="276" w:before="120" w:after="120"/>
        <w:ind w:left="425" w:hanging="0"/>
        <w:jc w:val="both"/>
        <w:rPr>
          <w:rFonts w:cs="Times New Roman"/>
          <w:szCs w:val="20"/>
        </w:rPr>
      </w:pPr>
      <w:r>
        <w:rPr>
          <w:rFonts w:cs="Times New Roman"/>
          <w:szCs w:val="20"/>
        </w:rPr>
        <w:t>A CONTRATADA(CONCESSIONÁRIA) é obrigada a aceitar, nas mesmas condições contratuais, os acréscimos ou supressões que se fizerem necessários, até o limite de 25% (vinte e cinco por cento) do valor inicial atualizado do contrato.</w:t>
      </w:r>
    </w:p>
    <w:p>
      <w:pPr>
        <w:pStyle w:val="Normal"/>
        <w:numPr>
          <w:ilvl w:val="1"/>
          <w:numId w:val="1"/>
        </w:numPr>
        <w:spacing w:lineRule="auto" w:line="276" w:before="120" w:after="120"/>
        <w:ind w:left="425" w:hanging="0"/>
        <w:jc w:val="both"/>
        <w:rPr>
          <w:rFonts w:cs="Times New Roman"/>
          <w:szCs w:val="20"/>
        </w:rPr>
      </w:pPr>
      <w:r>
        <w:rPr>
          <w:rFonts w:cs="Times New Roman"/>
          <w:szCs w:val="20"/>
        </w:rPr>
        <w:t>As supressões resultantes de acordo celebrado entre as partes contratantes poderão exceder o limite de 25% (vinte e cinco por cento) do valor inicial atualizado do contrato.</w:t>
      </w:r>
    </w:p>
    <w:p>
      <w:pPr>
        <w:pStyle w:val="Nivel1"/>
        <w:numPr>
          <w:ilvl w:val="0"/>
          <w:numId w:val="1"/>
        </w:numPr>
        <w:rPr/>
      </w:pPr>
      <w:r>
        <w:rPr/>
        <w:t>CLÁUSULA DÉCIMA QUARTA – DOS CASOS OMISSOS</w:t>
      </w:r>
    </w:p>
    <w:p>
      <w:pPr>
        <w:pStyle w:val="Nivel1"/>
        <w:numPr>
          <w:ilvl w:val="1"/>
          <w:numId w:val="1"/>
        </w:numPr>
        <w:rPr>
          <w:b w:val="false"/>
          <w:b w:val="false"/>
        </w:rPr>
      </w:pPr>
      <w:r>
        <w:rPr>
          <w:b w:val="false"/>
        </w:rPr>
        <w:t xml:space="preserve">Os casos omissos serão decididos pela </w:t>
      </w:r>
      <w:r>
        <w:rPr>
          <w:rFonts w:cs="Times New Roman"/>
          <w:b w:val="false"/>
          <w:szCs w:val="20"/>
        </w:rPr>
        <w:t>CONTRATANTE(CONCEDENTE)</w:t>
      </w:r>
      <w:r>
        <w:rPr>
          <w:b w:val="false"/>
        </w:rPr>
        <w:t>, segundo as disposições contidas na Lei nº 8.666, de 1993, na Lei nº 10.520, de 2002 e demais normas federais aplicáveis e, subsidiariamente, normas e princípios gerais dos contratos.</w:t>
      </w:r>
    </w:p>
    <w:p>
      <w:pPr>
        <w:pStyle w:val="Nivel1"/>
        <w:numPr>
          <w:ilvl w:val="0"/>
          <w:numId w:val="1"/>
        </w:numPr>
        <w:rPr/>
      </w:pPr>
      <w:r>
        <w:rPr/>
        <w:t>CLÁUSULA DÉCIMA QUINTA – PUBLICAÇÃO</w:t>
      </w:r>
    </w:p>
    <w:p>
      <w:pPr>
        <w:pStyle w:val="Normal"/>
        <w:numPr>
          <w:ilvl w:val="1"/>
          <w:numId w:val="1"/>
        </w:numPr>
        <w:spacing w:lineRule="auto" w:line="276" w:before="120" w:after="120"/>
        <w:ind w:left="425" w:hanging="0"/>
        <w:jc w:val="both"/>
        <w:rPr>
          <w:rFonts w:cs="Times New Roman"/>
          <w:szCs w:val="20"/>
        </w:rPr>
      </w:pPr>
      <w:r>
        <w:rPr>
          <w:rFonts w:cs="Times New Roman"/>
          <w:szCs w:val="20"/>
        </w:rPr>
        <w:t>Incumbirá à CONTRATANTE(CONCEDENTE) providenciar a publicação deste instrumento, por extrato, no Diário Oficial da União, no prazo previsto na Lei nº 8.666, de 1993.</w:t>
      </w:r>
    </w:p>
    <w:p>
      <w:pPr>
        <w:pStyle w:val="Nivel1"/>
        <w:numPr>
          <w:ilvl w:val="0"/>
          <w:numId w:val="1"/>
        </w:numPr>
        <w:rPr/>
      </w:pPr>
      <w:r>
        <w:rPr/>
        <w:t>CLÁUSULA DÉCIMA SEXTA – FORO</w:t>
      </w:r>
    </w:p>
    <w:p>
      <w:pPr>
        <w:pStyle w:val="Nivel01Titulo"/>
        <w:numPr>
          <w:ilvl w:val="1"/>
          <w:numId w:val="1"/>
        </w:numPr>
        <w:spacing w:lineRule="auto" w:line="276" w:before="120" w:after="120"/>
        <w:ind w:left="425" w:hanging="0"/>
        <w:jc w:val="both"/>
        <w:rPr>
          <w:rFonts w:cs="Times New Roman"/>
          <w:szCs w:val="20"/>
        </w:rPr>
      </w:pPr>
      <w:r>
        <w:rPr>
          <w:rFonts w:cs="Times New Roman"/>
          <w:b w:val="false"/>
          <w:bCs w:val="false"/>
          <w:color w:val="000000"/>
          <w:szCs w:val="20"/>
        </w:rPr>
        <w:t>É eleito o Foro da Justiça Federal, Seção Judiciária de Pernambuco, Subseção Judiciária de Petrolina para dirimir os litígios que decorrerem da execução deste Termo de Contrato que não possam ser compostos pela conciliação, conforme art. 55, §2º da Lei nº 8.666/93.</w:t>
      </w:r>
    </w:p>
    <w:p>
      <w:pPr>
        <w:pStyle w:val="Normal"/>
        <w:spacing w:lineRule="auto" w:line="360" w:before="0" w:after="120"/>
        <w:ind w:right="-15" w:firstLine="540"/>
        <w:jc w:val="both"/>
        <w:rPr>
          <w:rFonts w:cs="Times New Roman"/>
          <w:szCs w:val="20"/>
        </w:rPr>
      </w:pPr>
      <w:r>
        <w:rPr>
          <w:rFonts w:cs="Times New Roman"/>
          <w:szCs w:val="20"/>
        </w:rPr>
      </w:r>
    </w:p>
    <w:p>
      <w:pPr>
        <w:pStyle w:val="Normal"/>
        <w:spacing w:lineRule="auto" w:line="276" w:before="120" w:after="120"/>
        <w:jc w:val="both"/>
        <w:rPr>
          <w:rFonts w:cs="Times New Roman"/>
          <w:szCs w:val="20"/>
        </w:rPr>
      </w:pPr>
      <w:r>
        <w:rPr>
          <w:rFonts w:cs="Times New Roman"/>
          <w:szCs w:val="20"/>
        </w:rPr>
        <w:t xml:space="preserve">Para firmeza e validade do pactuado, o presente Termo de Contrato foi lavrado em duas (duas) vias de igual teor, que, depois de lido e achado em ordem, vai assinado pelos contraentes. </w:t>
      </w:r>
    </w:p>
    <w:p>
      <w:pPr>
        <w:pStyle w:val="Normal"/>
        <w:spacing w:lineRule="auto" w:line="360" w:before="0" w:after="120"/>
        <w:ind w:right="-15" w:hanging="0"/>
        <w:jc w:val="both"/>
        <w:rPr>
          <w:rFonts w:cs="Times New Roman"/>
          <w:szCs w:val="20"/>
        </w:rPr>
      </w:pPr>
      <w:r>
        <w:rPr>
          <w:rFonts w:cs="Times New Roman"/>
          <w:szCs w:val="20"/>
        </w:rPr>
        <w:t>Petrolina-PE,  .......... de.......................................... de 2022</w:t>
      </w:r>
    </w:p>
    <w:p>
      <w:pPr>
        <w:pStyle w:val="Normal"/>
        <w:spacing w:before="0" w:after="120"/>
        <w:jc w:val="both"/>
        <w:rPr>
          <w:rFonts w:cs="Times New Roman"/>
          <w:bCs/>
          <w:szCs w:val="20"/>
        </w:rPr>
      </w:pPr>
      <w:r>
        <w:rPr>
          <w:rFonts w:cs="Times New Roman"/>
          <w:bCs/>
          <w:szCs w:val="20"/>
        </w:rPr>
      </w:r>
    </w:p>
    <w:p>
      <w:pPr>
        <w:pStyle w:val="Normal"/>
        <w:spacing w:before="0" w:after="120"/>
        <w:jc w:val="center"/>
        <w:rPr>
          <w:rFonts w:cs="Times New Roman"/>
          <w:bCs/>
          <w:szCs w:val="20"/>
        </w:rPr>
      </w:pPr>
      <w:r>
        <w:rPr>
          <w:rFonts w:cs="Times New Roman"/>
          <w:bCs/>
          <w:szCs w:val="20"/>
        </w:rPr>
        <w:t>_________________________</w:t>
      </w:r>
    </w:p>
    <w:p>
      <w:pPr>
        <w:pStyle w:val="Normal"/>
        <w:spacing w:before="0" w:after="120"/>
        <w:jc w:val="center"/>
        <w:rPr>
          <w:rFonts w:cs="Times New Roman"/>
          <w:bCs/>
          <w:szCs w:val="20"/>
        </w:rPr>
      </w:pPr>
      <w:r>
        <w:rPr>
          <w:rFonts w:cs="Times New Roman"/>
          <w:bCs/>
          <w:szCs w:val="20"/>
        </w:rPr>
        <w:t>Representante legal da CONTRATANTE(CONCEDENTE)</w:t>
      </w:r>
    </w:p>
    <w:p>
      <w:pPr>
        <w:pStyle w:val="Normal"/>
        <w:spacing w:before="0" w:after="120"/>
        <w:jc w:val="center"/>
        <w:rPr>
          <w:rFonts w:cs="Times New Roman"/>
          <w:szCs w:val="20"/>
        </w:rPr>
      </w:pPr>
      <w:r>
        <w:rPr>
          <w:rFonts w:cs="Times New Roman"/>
          <w:szCs w:val="20"/>
        </w:rPr>
        <w:t>_________________________</w:t>
      </w:r>
    </w:p>
    <w:p>
      <w:pPr>
        <w:pStyle w:val="Normal"/>
        <w:spacing w:before="0" w:after="120"/>
        <w:jc w:val="center"/>
        <w:rPr>
          <w:rFonts w:cs="Times New Roman"/>
          <w:szCs w:val="20"/>
        </w:rPr>
      </w:pPr>
      <w:r>
        <w:rPr>
          <w:rFonts w:cs="Times New Roman"/>
          <w:bCs/>
          <w:szCs w:val="20"/>
        </w:rPr>
        <w:t>Representante</w:t>
      </w:r>
      <w:r>
        <w:rPr>
          <w:rFonts w:cs="Times New Roman"/>
          <w:szCs w:val="20"/>
        </w:rPr>
        <w:t xml:space="preserve"> legal da CONTRATADA((CONCESSIONÁRIA))</w:t>
      </w:r>
    </w:p>
    <w:p>
      <w:pPr>
        <w:pStyle w:val="Normal"/>
        <w:spacing w:before="0" w:after="120"/>
        <w:jc w:val="both"/>
        <w:rPr>
          <w:rFonts w:cs="Times New Roman"/>
          <w:szCs w:val="20"/>
        </w:rPr>
      </w:pPr>
      <w:r>
        <w:rPr>
          <w:rFonts w:cs="Times New Roman"/>
          <w:szCs w:val="20"/>
        </w:rPr>
      </w:r>
    </w:p>
    <w:p>
      <w:pPr>
        <w:pStyle w:val="Normal"/>
        <w:spacing w:before="0" w:after="120"/>
        <w:jc w:val="both"/>
        <w:rPr>
          <w:rFonts w:cs="Times New Roman"/>
          <w:szCs w:val="20"/>
        </w:rPr>
      </w:pPr>
      <w:r>
        <w:rPr>
          <w:rFonts w:cs="Times New Roman"/>
          <w:szCs w:val="20"/>
        </w:rPr>
      </w:r>
    </w:p>
    <w:p>
      <w:pPr>
        <w:pStyle w:val="Normal"/>
        <w:spacing w:before="0" w:after="120"/>
        <w:jc w:val="both"/>
        <w:rPr>
          <w:rFonts w:cs="Times New Roman"/>
          <w:szCs w:val="20"/>
        </w:rPr>
      </w:pPr>
      <w:r>
        <w:rPr>
          <w:rFonts w:cs="Times New Roman"/>
          <w:szCs w:val="20"/>
        </w:rPr>
        <w:t>TESTEMUNHAS:</w:t>
      </w:r>
    </w:p>
    <w:sectPr>
      <w:headerReference w:type="default" r:id="rId2"/>
      <w:footerReference w:type="default" r:id="rId3"/>
      <w:type w:val="nextPage"/>
      <w:pgSz w:w="11906" w:h="16838"/>
      <w:pgMar w:left="1701" w:right="1134" w:gutter="0" w:header="1418" w:top="3660" w:footer="709" w:bottom="1416"/>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Ecofont_Spranq_eco_Sans">
    <w:charset w:val="00"/>
    <w:family w:val="roman"/>
    <w:pitch w:val="variable"/>
  </w:font>
  <w:font w:name="Liberation Sans">
    <w:altName w:val="Arial"/>
    <w:charset w:val="00"/>
    <w:family w:val="roman"/>
    <w:pitch w:val="variable"/>
  </w:font>
  <w:font w:name="Calibri">
    <w:charset w:val="00"/>
    <w:family w:val="roman"/>
    <w:pitch w:val="variable"/>
  </w:font>
  <w:font w:name="Helvetica-Bol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____________________________________________________________________</w:t>
    </w:r>
  </w:p>
  <w:p>
    <w:pPr>
      <w:pStyle w:val="Rodap"/>
      <w:rPr>
        <w:sz w:val="12"/>
        <w:szCs w:val="12"/>
      </w:rPr>
    </w:pPr>
    <w:r>
      <w:rPr>
        <w:sz w:val="12"/>
        <w:szCs w:val="12"/>
      </w:rPr>
      <w:t>Câmara Nacional de Modelos de Licitações e Contratos da Consultoria-Geral da União</w:t>
    </w:r>
  </w:p>
  <w:p>
    <w:pPr>
      <w:pStyle w:val="Rodap"/>
      <w:rPr>
        <w:sz w:val="12"/>
        <w:szCs w:val="12"/>
      </w:rPr>
    </w:pPr>
    <w:r>
      <w:rPr>
        <w:sz w:val="12"/>
        <w:szCs w:val="12"/>
      </w:rPr>
      <w:t>Termo de Contrato - Modelo para Pregão Eletrônico: Serviços Contínuos sem dedicação de mão de obra exclusiva</w:t>
    </w:r>
  </w:p>
  <w:p>
    <w:pPr>
      <w:pStyle w:val="Rodap"/>
      <w:rPr/>
    </w:pPr>
    <w:r>
      <w:rPr>
        <w:sz w:val="12"/>
        <w:szCs w:val="12"/>
      </w:rPr>
      <w:t>Atualização: Julho/2020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57"/>
        <w:tab w:val="center" w:pos="4252" w:leader="none"/>
      </w:tabs>
      <w:rPr/>
    </w:pPr>
    <w:r>
      <w:drawing>
        <wp:anchor behindDoc="1" distT="0" distB="0" distL="0" distR="0" simplePos="0" locked="0" layoutInCell="0" allowOverlap="1" relativeHeight="6">
          <wp:simplePos x="0" y="0"/>
          <wp:positionH relativeFrom="column">
            <wp:posOffset>-489585</wp:posOffset>
          </wp:positionH>
          <wp:positionV relativeFrom="paragraph">
            <wp:posOffset>-230505</wp:posOffset>
          </wp:positionV>
          <wp:extent cx="1423035" cy="562610"/>
          <wp:effectExtent l="0" t="0" r="0" b="0"/>
          <wp:wrapNone/>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tretch>
                    <a:fillRect/>
                  </a:stretch>
                </pic:blipFill>
                <pic:spPr bwMode="auto">
                  <a:xfrm>
                    <a:off x="0" y="0"/>
                    <a:ext cx="1423035" cy="562610"/>
                  </a:xfrm>
                  <a:prstGeom prst="rect">
                    <a:avLst/>
                  </a:prstGeom>
                </pic:spPr>
              </pic:pic>
            </a:graphicData>
          </a:graphic>
        </wp:anchor>
      </w:drawing>
      <w:drawing>
        <wp:anchor behindDoc="1" distT="0" distB="0" distL="0" distR="0" simplePos="0" locked="0" layoutInCell="0" allowOverlap="1" relativeHeight="11">
          <wp:simplePos x="0" y="0"/>
          <wp:positionH relativeFrom="column">
            <wp:posOffset>2604770</wp:posOffset>
          </wp:positionH>
          <wp:positionV relativeFrom="paragraph">
            <wp:posOffset>-90170</wp:posOffset>
          </wp:positionV>
          <wp:extent cx="529590" cy="519430"/>
          <wp:effectExtent l="0" t="0" r="0" b="0"/>
          <wp:wrapTopAndBottom/>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2"/>
                  <a:stretch>
                    <a:fillRect/>
                  </a:stretch>
                </pic:blipFill>
                <pic:spPr bwMode="auto">
                  <a:xfrm>
                    <a:off x="0" y="0"/>
                    <a:ext cx="529590" cy="519430"/>
                  </a:xfrm>
                  <a:prstGeom prst="rect">
                    <a:avLst/>
                  </a:prstGeom>
                </pic:spPr>
              </pic:pic>
            </a:graphicData>
          </a:graphic>
        </wp:anchor>
      </w:drawing>
    </w:r>
    <w:r>
      <w:rPr/>
      <w:t xml:space="preserve">           </w:t>
    </w:r>
  </w:p>
  <w:p>
    <w:pPr>
      <w:pStyle w:val="Normal"/>
      <w:jc w:val="center"/>
      <w:rPr>
        <w:rFonts w:cs="Arial"/>
        <w:b/>
        <w:b/>
        <w:bCs/>
        <w:sz w:val="16"/>
        <w:szCs w:val="16"/>
      </w:rPr>
    </w:pPr>
    <w:r>
      <w:rPr>
        <w:rFonts w:cs="Arial"/>
        <w:b/>
        <w:bCs/>
        <w:sz w:val="16"/>
        <w:szCs w:val="16"/>
      </w:rPr>
    </w:r>
  </w:p>
  <w:p>
    <w:pPr>
      <w:pStyle w:val="Normal"/>
      <w:jc w:val="center"/>
      <w:rPr>
        <w:rFonts w:cs="Arial"/>
        <w:b/>
        <w:b/>
        <w:bCs/>
        <w:sz w:val="16"/>
        <w:szCs w:val="16"/>
      </w:rPr>
    </w:pPr>
    <w:r>
      <w:rPr>
        <w:rFonts w:cs="Arial"/>
        <w:b/>
        <w:bCs/>
        <w:sz w:val="16"/>
        <w:szCs w:val="16"/>
      </w:rPr>
    </w:r>
  </w:p>
  <w:p>
    <w:pPr>
      <w:pStyle w:val="Normal"/>
      <w:jc w:val="center"/>
      <w:rPr>
        <w:rFonts w:cs="Arial"/>
        <w:b/>
        <w:b/>
        <w:bCs/>
        <w:sz w:val="16"/>
        <w:szCs w:val="16"/>
      </w:rPr>
    </w:pPr>
    <w:r>
      <w:rPr>
        <w:rFonts w:cs="Arial"/>
        <w:b/>
        <w:bCs/>
        <w:sz w:val="16"/>
        <w:szCs w:val="16"/>
      </w:rPr>
    </w:r>
  </w:p>
  <w:p>
    <w:pPr>
      <w:pStyle w:val="Normal"/>
      <w:jc w:val="center"/>
      <w:rPr>
        <w:rFonts w:cs="Arial"/>
        <w:b/>
        <w:b/>
        <w:bCs/>
        <w:sz w:val="16"/>
        <w:szCs w:val="16"/>
      </w:rPr>
    </w:pPr>
    <w:r>
      <w:rPr>
        <w:rFonts w:cs="Arial"/>
        <w:b/>
        <w:bCs/>
        <w:sz w:val="16"/>
        <w:szCs w:val="16"/>
      </w:rPr>
      <w:t>SERVIÇO PÚBLICO FEDERAL</w:t>
    </w:r>
  </w:p>
  <w:p>
    <w:pPr>
      <w:pStyle w:val="Normal"/>
      <w:jc w:val="center"/>
      <w:rPr>
        <w:rFonts w:cs="Arial"/>
        <w:b/>
        <w:b/>
        <w:bCs/>
        <w:sz w:val="16"/>
        <w:szCs w:val="16"/>
      </w:rPr>
    </w:pPr>
    <w:r>
      <w:rPr>
        <w:rFonts w:cs="Arial"/>
        <w:b/>
        <w:bCs/>
        <w:sz w:val="16"/>
        <w:szCs w:val="16"/>
      </w:rPr>
      <w:t>MINISTÉRIO DA EDUCAÇÃO</w:t>
    </w:r>
  </w:p>
  <w:p>
    <w:pPr>
      <w:pStyle w:val="Normal"/>
      <w:jc w:val="center"/>
      <w:rPr>
        <w:rFonts w:cs="Arial"/>
        <w:b/>
        <w:b/>
        <w:bCs/>
        <w:sz w:val="16"/>
        <w:szCs w:val="16"/>
      </w:rPr>
    </w:pPr>
    <w:r>
      <w:rPr>
        <w:rFonts w:cs="Arial"/>
        <w:b/>
        <w:bCs/>
        <w:sz w:val="16"/>
        <w:szCs w:val="16"/>
      </w:rPr>
      <w:t>SECRETARIA DE EDUCAÇÃO PROFISSIONAL E TECNOLÓGICA</w:t>
    </w:r>
  </w:p>
  <w:p>
    <w:pPr>
      <w:pStyle w:val="Normal"/>
      <w:jc w:val="center"/>
      <w:rPr>
        <w:rFonts w:cs="Arial"/>
        <w:b/>
        <w:b/>
        <w:bCs/>
        <w:color w:val="000000"/>
        <w:sz w:val="16"/>
        <w:szCs w:val="16"/>
      </w:rPr>
    </w:pPr>
    <w:r>
      <w:rPr>
        <w:rFonts w:cs="Arial"/>
        <w:b/>
        <w:bCs/>
        <w:color w:val="000000"/>
        <w:sz w:val="16"/>
        <w:szCs w:val="16"/>
      </w:rPr>
      <w:t>INSTITUTO FEDERAL DE EDUCAÇÃO, CIÊNCIA E TECNOLOGIA DO SERTÃO PERNAMBUCANO</w:t>
    </w:r>
  </w:p>
  <w:p>
    <w:pPr>
      <w:pStyle w:val="NoSpacing"/>
      <w:pBdr>
        <w:bottom w:val="single" w:sz="4" w:space="1" w:color="000001"/>
      </w:pBdr>
      <w:tabs>
        <w:tab w:val="clear" w:pos="57"/>
        <w:tab w:val="left" w:pos="4735" w:leader="none"/>
      </w:tabs>
      <w:spacing w:before="0" w:after="200"/>
      <w:jc w:val="center"/>
      <w:rPr>
        <w:rFonts w:ascii="Arial" w:hAnsi="Arial" w:eastAsia="Calibri" w:cs="Bookman Old Style"/>
        <w:b/>
        <w:b/>
        <w:bCs/>
        <w:color w:val="00000A"/>
        <w:sz w:val="16"/>
        <w:szCs w:val="16"/>
      </w:rPr>
    </w:pPr>
    <w:r>
      <w:rPr>
        <w:rFonts w:eastAsia="Calibri" w:cs="Bookman Old Style" w:ascii="Arial" w:hAnsi="Arial"/>
        <w:b/>
        <w:bCs/>
        <w:color w:val="00000A"/>
        <w:sz w:val="16"/>
        <w:szCs w:val="16"/>
      </w:rPr>
      <w:t>CAMPUS PETROLINA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1."/>
      <w:lvlJc w:val="left"/>
      <w:pPr>
        <w:tabs>
          <w:tab w:val="num" w:pos="0"/>
        </w:tabs>
        <w:ind w:left="0" w:hanging="0"/>
      </w:pPr>
      <w:rPr>
        <w:i w:val="false"/>
        <w:b/>
      </w:rPr>
    </w:lvl>
    <w:lvl w:ilvl="1">
      <w:start w:val="1"/>
      <w:numFmt w:val="decimal"/>
      <w:suff w:val="space"/>
      <w:lvlText w:val="%1.%2."/>
      <w:lvlJc w:val="left"/>
      <w:pPr>
        <w:tabs>
          <w:tab w:val="num" w:pos="0"/>
        </w:tabs>
        <w:ind w:left="567" w:hanging="0"/>
      </w:pPr>
      <w:rPr>
        <w:i w:val="false"/>
        <w:b w:val="false"/>
        <w:color w:val="auto"/>
      </w:rPr>
    </w:lvl>
    <w:lvl w:ilvl="2">
      <w:start w:val="1"/>
      <w:numFmt w:val="decimal"/>
      <w:suff w:val="space"/>
      <w:lvlText w:val="%1.%2.%3."/>
      <w:lvlJc w:val="left"/>
      <w:pPr>
        <w:tabs>
          <w:tab w:val="num" w:pos="0"/>
        </w:tabs>
        <w:ind w:left="567" w:hanging="0"/>
      </w:pPr>
      <w:rPr>
        <w:i w:val="false"/>
        <w:b w:val="false"/>
      </w:rPr>
    </w:lvl>
    <w:lvl w:ilvl="3">
      <w:start w:val="1"/>
      <w:numFmt w:val="decimal"/>
      <w:suff w:val="space"/>
      <w:lvlText w:val="%1.%2.%3.%4."/>
      <w:lvlJc w:val="left"/>
      <w:pPr>
        <w:tabs>
          <w:tab w:val="num" w:pos="0"/>
        </w:tabs>
        <w:ind w:left="851" w:hanging="0"/>
      </w:pPr>
      <w:rPr>
        <w:i w:val="false"/>
        <w:b/>
      </w:rPr>
    </w:lvl>
    <w:lvl w:ilvl="4">
      <w:start w:val="1"/>
      <w:numFmt w:val="decimal"/>
      <w:suff w:val="space"/>
      <w:lvlText w:val="%1.%2.%3.%4.%5."/>
      <w:lvlJc w:val="left"/>
      <w:pPr>
        <w:tabs>
          <w:tab w:val="num" w:pos="0"/>
        </w:tabs>
        <w:ind w:left="1134" w:hanging="0"/>
      </w:pPr>
      <w:rPr>
        <w:i w:val="false"/>
        <w:b/>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mirrorMargins/>
  <w:defaultTabStop w:val="57"/>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48130e"/>
    <w:pPr>
      <w:widowControl/>
      <w:suppressAutoHyphens w:val="true"/>
      <w:bidi w:val="0"/>
      <w:spacing w:before="0" w:after="0"/>
      <w:jc w:val="left"/>
    </w:pPr>
    <w:rPr>
      <w:rFonts w:ascii="Arial" w:hAnsi="Arial" w:eastAsia="Times New Roman" w:cs="Tahoma"/>
      <w:color w:val="auto"/>
      <w:kern w:val="0"/>
      <w:sz w:val="20"/>
      <w:szCs w:val="24"/>
      <w:lang w:val="pt-BR" w:eastAsia="pt-BR" w:bidi="ar-SA"/>
    </w:rPr>
  </w:style>
  <w:style w:type="paragraph" w:styleId="Ttulo1">
    <w:name w:val="Heading 1"/>
    <w:basedOn w:val="Normal"/>
    <w:next w:val="Normal"/>
    <w:link w:val="Ttulo1Char"/>
    <w:qFormat/>
    <w:rsid w:val="0048130e"/>
    <w:pPr>
      <w:keepNext w:val="true"/>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paragraph" w:styleId="Ttulo2">
    <w:name w:val="Heading 2"/>
    <w:basedOn w:val="Normal"/>
    <w:next w:val="Normal"/>
    <w:link w:val="Ttulo2Char"/>
    <w:qFormat/>
    <w:rsid w:val="004b460a"/>
    <w:pPr>
      <w:keepNext w:val="true"/>
      <w:tabs>
        <w:tab w:val="clear" w:pos="57"/>
        <w:tab w:val="left" w:pos="1701" w:leader="none"/>
      </w:tabs>
      <w:ind w:right="-1" w:hanging="0"/>
      <w:jc w:val="center"/>
      <w:outlineLvl w:val="1"/>
    </w:pPr>
    <w:rPr>
      <w:rFonts w:ascii="Times New Roman" w:hAnsi="Times New Roman" w:cs="Times New Roman"/>
      <w:b/>
      <w:color w:val="000000"/>
      <w:szCs w:val="20"/>
      <w:lang w:val="x-none" w:eastAsia="x-none"/>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name w:val="Link da Internet"/>
    <w:rsid w:val="00bf1a7f"/>
    <w:rPr>
      <w:color w:val="000080"/>
      <w:u w:val="single"/>
    </w:rPr>
  </w:style>
  <w:style w:type="character" w:styleId="GradeColoridanfase1Char" w:customStyle="1">
    <w:name w:val="Grade Colorida - Ênfase 1 Char"/>
    <w:link w:val="GradeColorida-nfase11"/>
    <w:uiPriority w:val="29"/>
    <w:qFormat/>
    <w:rsid w:val="00c322f1"/>
    <w:rPr>
      <w:rFonts w:ascii="Ecofont_Spranq_eco_Sans" w:hAnsi="Ecofont_Spranq_eco_Sans" w:eastAsia="Calibri" w:cs="Tahoma"/>
      <w:i/>
      <w:iCs/>
      <w:color w:val="000000"/>
      <w:szCs w:val="24"/>
      <w:shd w:fill="FFFFCC" w:val="clear"/>
      <w:lang w:eastAsia="en-US"/>
    </w:rPr>
  </w:style>
  <w:style w:type="character" w:styleId="Citao2Char" w:customStyle="1">
    <w:name w:val="citação 2 Char"/>
    <w:basedOn w:val="GradeColoridanfase1Char"/>
    <w:link w:val="citao2"/>
    <w:qFormat/>
    <w:rsid w:val="000a23da"/>
    <w:rPr>
      <w:rFonts w:ascii="Ecofont_Spranq_eco_Sans" w:hAnsi="Ecofont_Spranq_eco_Sans" w:eastAsia="Calibri" w:cs="Tahoma"/>
      <w:i/>
      <w:iCs/>
      <w:color w:val="000000"/>
      <w:szCs w:val="24"/>
      <w:shd w:fill="FFFFCC" w:val="clear"/>
      <w:lang w:eastAsia="en-US"/>
    </w:rPr>
  </w:style>
  <w:style w:type="character" w:styleId="CabealhoChar" w:customStyle="1">
    <w:name w:val="Cabeçalho Char"/>
    <w:basedOn w:val="DefaultParagraphFont"/>
    <w:link w:val="Cabealho"/>
    <w:qFormat/>
    <w:rsid w:val="007b3e18"/>
    <w:rPr>
      <w:rFonts w:ascii="Ecofont_Spranq_eco_Sans" w:hAnsi="Ecofont_Spranq_eco_Sans" w:cs="Tahoma"/>
      <w:sz w:val="24"/>
      <w:szCs w:val="24"/>
    </w:rPr>
  </w:style>
  <w:style w:type="character" w:styleId="RodapChar" w:customStyle="1">
    <w:name w:val="Rodapé Char"/>
    <w:basedOn w:val="DefaultParagraphFont"/>
    <w:link w:val="Rodap"/>
    <w:uiPriority w:val="99"/>
    <w:qFormat/>
    <w:rsid w:val="007b3e18"/>
    <w:rPr>
      <w:rFonts w:ascii="Ecofont_Spranq_eco_Sans" w:hAnsi="Ecofont_Spranq_eco_Sans" w:cs="Tahoma"/>
      <w:sz w:val="24"/>
      <w:szCs w:val="24"/>
    </w:rPr>
  </w:style>
  <w:style w:type="character" w:styleId="Ttulo1Char" w:customStyle="1">
    <w:name w:val="Título 1 Char"/>
    <w:basedOn w:val="DefaultParagraphFont"/>
    <w:link w:val="Ttulo1"/>
    <w:qFormat/>
    <w:rsid w:val="0048130e"/>
    <w:rPr>
      <w:rFonts w:ascii="Cambria" w:hAnsi="Cambria" w:eastAsia="" w:cs="" w:asciiTheme="majorHAnsi" w:cstheme="majorBidi" w:eastAsiaTheme="majorEastAsia" w:hAnsiTheme="majorHAnsi"/>
      <w:color w:val="365F91" w:themeColor="accent1" w:themeShade="bf"/>
      <w:sz w:val="32"/>
      <w:szCs w:val="32"/>
    </w:rPr>
  </w:style>
  <w:style w:type="character" w:styleId="Nivel1Char" w:customStyle="1">
    <w:name w:val="Nivel1 Char"/>
    <w:basedOn w:val="Ttulo1Char"/>
    <w:link w:val="Nivel1"/>
    <w:qFormat/>
    <w:rsid w:val="0048130e"/>
    <w:rPr>
      <w:rFonts w:ascii="Arial" w:hAnsi="Arial" w:eastAsia="" w:cs="" w:cstheme="majorBidi" w:eastAsiaTheme="majorEastAsia"/>
      <w:b/>
      <w:color w:val="365F91" w:themeColor="accent1" w:themeShade="bf"/>
      <w:sz w:val="32"/>
      <w:szCs w:val="32"/>
    </w:rPr>
  </w:style>
  <w:style w:type="character" w:styleId="Annotationreference">
    <w:name w:val="annotation reference"/>
    <w:basedOn w:val="DefaultParagraphFont"/>
    <w:uiPriority w:val="99"/>
    <w:semiHidden/>
    <w:unhideWhenUsed/>
    <w:qFormat/>
    <w:rsid w:val="002049df"/>
    <w:rPr>
      <w:sz w:val="16"/>
      <w:szCs w:val="16"/>
    </w:rPr>
  </w:style>
  <w:style w:type="character" w:styleId="TextodecomentrioChar" w:customStyle="1">
    <w:name w:val="Texto de comentário Char"/>
    <w:basedOn w:val="DefaultParagraphFont"/>
    <w:link w:val="Textodecomentrio"/>
    <w:uiPriority w:val="99"/>
    <w:qFormat/>
    <w:rsid w:val="002049df"/>
    <w:rPr>
      <w:rFonts w:ascii="Arial" w:hAnsi="Arial" w:cs="Tahoma"/>
    </w:rPr>
  </w:style>
  <w:style w:type="character" w:styleId="AssuntodocomentrioChar" w:customStyle="1">
    <w:name w:val="Assunto do comentário Char"/>
    <w:basedOn w:val="TextodecomentrioChar"/>
    <w:link w:val="Assuntodocomentrio"/>
    <w:semiHidden/>
    <w:qFormat/>
    <w:rsid w:val="002049df"/>
    <w:rPr>
      <w:rFonts w:ascii="Arial" w:hAnsi="Arial" w:cs="Tahoma"/>
      <w:b/>
      <w:bCs/>
    </w:rPr>
  </w:style>
  <w:style w:type="character" w:styleId="Nivel01TituloChar" w:customStyle="1">
    <w:name w:val="Nivel_01_Titulo Char"/>
    <w:basedOn w:val="Ttulo1Char"/>
    <w:link w:val="Nivel01Titulo"/>
    <w:qFormat/>
    <w:rsid w:val="00637578"/>
    <w:rPr>
      <w:rFonts w:ascii="Arial" w:hAnsi="Arial" w:eastAsia="" w:cs="" w:cstheme="majorBidi" w:eastAsiaTheme="majorEastAsia"/>
      <w:b/>
      <w:bCs/>
      <w:color w:val="365F91" w:themeColor="accent1" w:themeShade="bf"/>
      <w:sz w:val="32"/>
      <w:szCs w:val="32"/>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ListaColoridanfase11" w:customStyle="1">
    <w:name w:val="Lista Colorida - Ênfase 11"/>
    <w:basedOn w:val="Normal"/>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qFormat/>
    <w:rsid w:val="003a73c1"/>
    <w:pPr/>
    <w:rPr>
      <w:rFonts w:ascii="Tahoma" w:hAnsi="Tahoma" w:cs="Times New Roman"/>
      <w:sz w:val="16"/>
      <w:szCs w:val="16"/>
      <w:lang w:val="x-none" w:eastAsia="x-none"/>
    </w:rPr>
  </w:style>
  <w:style w:type="paragraph" w:styleId="Nvel2" w:customStyle="1">
    <w:name w:val="Nível 2"/>
    <w:basedOn w:val="Normal"/>
    <w:next w:val="Normal"/>
    <w:qFormat/>
    <w:rsid w:val="004b460a"/>
    <w:pPr>
      <w:spacing w:before="0" w:after="120"/>
      <w:jc w:val="both"/>
    </w:pPr>
    <w:rPr>
      <w:rFonts w:cs="Times New Roman"/>
      <w:b/>
      <w:szCs w:val="20"/>
    </w:rPr>
  </w:style>
  <w:style w:type="paragraph" w:styleId="GradeColoridanfase11" w:customStyle="1">
    <w:name w:val="Grade Colorida - Ênfase 11"/>
    <w:basedOn w:val="Normal"/>
    <w:next w:val="Normal"/>
    <w:link w:val="GradeColorida-nfase1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cs="Times New Roman"/>
      <w:i/>
      <w:iCs/>
      <w:color w:val="000000"/>
      <w:lang w:val="x-none" w:eastAsia="en-US"/>
    </w:rPr>
  </w:style>
  <w:style w:type="paragraph" w:styleId="ListBullet5">
    <w:name w:val="List Bullet 5"/>
    <w:basedOn w:val="Normal"/>
    <w:qFormat/>
    <w:rsid w:val="001a3a05"/>
    <w:pPr>
      <w:numPr>
        <w:ilvl w:val="0"/>
        <w:numId w:val="2"/>
      </w:numPr>
      <w:spacing w:before="0" w:after="0"/>
      <w:contextualSpacing/>
    </w:pPr>
    <w:rPr/>
  </w:style>
  <w:style w:type="paragraph" w:styleId="Citao2" w:customStyle="1">
    <w:name w:val="citação 2"/>
    <w:basedOn w:val="GradeColoridanfase11"/>
    <w:link w:val="citao2Char"/>
    <w:qFormat/>
    <w:rsid w:val="000a23da"/>
    <w:pPr/>
    <w:rPr>
      <w:szCs w:val="20"/>
    </w:rPr>
  </w:style>
  <w:style w:type="paragraph" w:styleId="Ad" w:customStyle="1">
    <w:name w:val="ad"/>
    <w:basedOn w:val="Normal"/>
    <w:qFormat/>
    <w:rsid w:val="0040055d"/>
    <w:pPr>
      <w:spacing w:lineRule="auto" w:line="360"/>
      <w:ind w:left="993" w:hanging="284"/>
      <w:jc w:val="both"/>
    </w:pPr>
    <w:rPr>
      <w:rFonts w:ascii="Times New Roman" w:hAnsi="Times New Roman" w:cs="Times New Roman"/>
      <w:color w:val="000000"/>
    </w:rPr>
  </w:style>
  <w:style w:type="paragraph" w:styleId="TtulodaTabela" w:customStyle="1">
    <w:name w:val="Título da Tabela"/>
    <w:basedOn w:val="Normal"/>
    <w:qFormat/>
    <w:rsid w:val="000575ae"/>
    <w:pPr>
      <w:widowControl w:val="false"/>
      <w:suppressLineNumbers/>
      <w:suppressAutoHyphens w:val="true"/>
      <w:spacing w:before="0" w:after="120"/>
      <w:jc w:val="center"/>
    </w:pPr>
    <w:rPr>
      <w:rFonts w:ascii="Times New Roman" w:hAnsi="Times New Roman" w:eastAsia="Arial Unicode MS" w:cs="Times New Roman"/>
      <w:b/>
      <w:bCs/>
      <w:i/>
      <w:iCs/>
      <w:szCs w:val="20"/>
    </w:rPr>
  </w:style>
  <w:style w:type="paragraph" w:styleId="CabealhoeRodap">
    <w:name w:val="Cabeçalho e Rodapé"/>
    <w:basedOn w:val="Normal"/>
    <w:qFormat/>
    <w:pPr/>
    <w:rPr/>
  </w:style>
  <w:style w:type="paragraph" w:styleId="Cabealho">
    <w:name w:val="Header"/>
    <w:basedOn w:val="Normal"/>
    <w:link w:val="CabealhoChar"/>
    <w:unhideWhenUsed/>
    <w:rsid w:val="007b3e18"/>
    <w:pPr>
      <w:tabs>
        <w:tab w:val="clear" w:pos="57"/>
        <w:tab w:val="center" w:pos="4252" w:leader="none"/>
        <w:tab w:val="right" w:pos="8504" w:leader="none"/>
      </w:tabs>
    </w:pPr>
    <w:rPr/>
  </w:style>
  <w:style w:type="paragraph" w:styleId="Rodap">
    <w:name w:val="Footer"/>
    <w:basedOn w:val="Normal"/>
    <w:link w:val="RodapChar"/>
    <w:uiPriority w:val="99"/>
    <w:unhideWhenUsed/>
    <w:rsid w:val="007b3e18"/>
    <w:pPr>
      <w:tabs>
        <w:tab w:val="clear" w:pos="57"/>
        <w:tab w:val="center" w:pos="4252" w:leader="none"/>
        <w:tab w:val="right" w:pos="8504" w:leader="none"/>
      </w:tabs>
    </w:pPr>
    <w:rPr/>
  </w:style>
  <w:style w:type="paragraph" w:styleId="Nivel1" w:customStyle="1">
    <w:name w:val="Nivel1"/>
    <w:basedOn w:val="Ttulo1"/>
    <w:next w:val="Normal"/>
    <w:link w:val="Nivel1Char"/>
    <w:qFormat/>
    <w:rsid w:val="0048130e"/>
    <w:pPr>
      <w:spacing w:lineRule="auto" w:line="276" w:before="480" w:after="120"/>
      <w:jc w:val="both"/>
      <w:outlineLvl w:val="9"/>
    </w:pPr>
    <w:rPr>
      <w:rFonts w:ascii="Arial" w:hAnsi="Arial" w:cs="Times New Roman"/>
      <w:b/>
      <w:color w:val="auto"/>
      <w:sz w:val="20"/>
      <w:szCs w:val="20"/>
    </w:rPr>
  </w:style>
  <w:style w:type="paragraph" w:styleId="Annotationtext">
    <w:name w:val="annotation text"/>
    <w:basedOn w:val="Normal"/>
    <w:link w:val="TextodecomentrioChar"/>
    <w:uiPriority w:val="99"/>
    <w:unhideWhenUsed/>
    <w:qFormat/>
    <w:rsid w:val="002049df"/>
    <w:pPr/>
    <w:rPr>
      <w:szCs w:val="20"/>
    </w:rPr>
  </w:style>
  <w:style w:type="paragraph" w:styleId="Annotationsubject">
    <w:name w:val="annotation subject"/>
    <w:basedOn w:val="Annotationtext"/>
    <w:next w:val="Annotationtext"/>
    <w:link w:val="AssuntodocomentrioChar"/>
    <w:semiHidden/>
    <w:unhideWhenUsed/>
    <w:qFormat/>
    <w:rsid w:val="002049df"/>
    <w:pPr/>
    <w:rPr>
      <w:b/>
      <w:bCs/>
    </w:rPr>
  </w:style>
  <w:style w:type="paragraph" w:styleId="Nivel01Titulo" w:customStyle="1">
    <w:name w:val="Nivel_01_Titulo"/>
    <w:basedOn w:val="Ttulo1"/>
    <w:next w:val="Normal"/>
    <w:link w:val="Nivel01TituloChar"/>
    <w:qFormat/>
    <w:rsid w:val="002049df"/>
    <w:pPr>
      <w:tabs>
        <w:tab w:val="clear" w:pos="57"/>
        <w:tab w:val="left" w:pos="567" w:leader="none"/>
      </w:tabs>
      <w:ind w:left="360" w:hanging="360"/>
      <w:jc w:val="both"/>
      <w:outlineLvl w:val="9"/>
    </w:pPr>
    <w:rPr>
      <w:rFonts w:ascii="Arial" w:hAnsi="Arial" w:cs="Times New Roman"/>
      <w:b/>
      <w:bCs/>
      <w:color w:val="auto"/>
      <w:sz w:val="20"/>
      <w:szCs w:val="20"/>
    </w:rPr>
  </w:style>
  <w:style w:type="paragraph" w:styleId="NoSpacing">
    <w:name w:val="No Spacing"/>
    <w:qFormat/>
    <w:pPr>
      <w:widowControl w:val="false"/>
      <w:suppressAutoHyphens w:val="true"/>
      <w:bidi w:val="0"/>
      <w:spacing w:lineRule="auto" w:line="276" w:before="0" w:after="200"/>
      <w:jc w:val="left"/>
    </w:pPr>
    <w:rPr>
      <w:rFonts w:ascii="Calibri" w:hAnsi="Calibri" w:eastAsia="DejaVu Sans;MS Mincho" w:cs="Arial"/>
      <w:color w:val="auto"/>
      <w:kern w:val="2"/>
      <w:sz w:val="22"/>
      <w:szCs w:val="22"/>
      <w:lang w:val="pt-BR" w:eastAsia="zh-CN"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2" ma:contentTypeDescription="Create a new document." ma:contentTypeScope="" ma:versionID="6dd8678f10aef9e3dea29d8576d02e9d">
  <xsd:schema xmlns:xsd="http://www.w3.org/2001/XMLSchema" xmlns:xs="http://www.w3.org/2001/XMLSchema" xmlns:p="http://schemas.microsoft.com/office/2006/metadata/properties" xmlns:ns2="52c93ea8-e2de-466c-b401-d7fabeb9490e" targetNamespace="http://schemas.microsoft.com/office/2006/metadata/properties" ma:root="true" ma:fieldsID="0bf9b409b15e3dee1411fcad88d9b504"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ACD4C-E132-4D76-B231-6AE183D46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3ED5AD-AD49-4EAF-9E5E-6225E4547E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849065-CF42-4958-A123-4F31E5FB24CE}">
  <ds:schemaRefs>
    <ds:schemaRef ds:uri="http://schemas.microsoft.com/sharepoint/v3/contenttype/forms"/>
  </ds:schemaRefs>
</ds:datastoreItem>
</file>

<file path=customXml/itemProps4.xml><?xml version="1.0" encoding="utf-8"?>
<ds:datastoreItem xmlns:ds="http://schemas.openxmlformats.org/officeDocument/2006/customXml" ds:itemID="{94326286-8871-49BB-8331-6F7114FAB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58</TotalTime>
  <Application>LibreOffice/7.2.5.2$Windows_X86_64 LibreOffice_project/499f9727c189e6ef3471021d6132d4c694f357e5</Application>
  <AppVersion>15.0000</AppVersion>
  <Pages>5</Pages>
  <Words>1431</Words>
  <Characters>8697</Characters>
  <CharactersWithSpaces>10036</CharactersWithSpaces>
  <Paragraphs>87</Paragraphs>
  <Company>EDUARDO DOTTI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2019-07-23T19:55:00Z</dcterms:created>
  <dc:creator>Adriano</dc:creator>
  <dc:description/>
  <dc:language>pt-BR</dc:language>
  <cp:lastModifiedBy/>
  <cp:lastPrinted>2010-11-03T20:07:00Z</cp:lastPrinted>
  <dcterms:modified xsi:type="dcterms:W3CDTF">2022-08-12T14:30:01Z</dcterms:modified>
  <cp:revision>17</cp:revision>
  <dc:subject/>
  <dc:title>NOTAS EXPLICATIVAS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