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76" w:before="0" w:after="120"/>
        <w:ind w:right="-15" w:hanging="0"/>
        <w:jc w:val="center"/>
        <w:rPr>
          <w:sz w:val="22"/>
          <w:szCs w:val="22"/>
        </w:rPr>
      </w:pPr>
      <w:r>
        <w:rPr>
          <w:rFonts w:cs="Arial" w:ascii="Calibri" w:hAnsi="Calibri"/>
          <w:b/>
          <w:bCs/>
          <w:color w:val="000000"/>
          <w:sz w:val="22"/>
          <w:szCs w:val="22"/>
        </w:rPr>
        <w:t>PROJETO BÁSICO</w:t>
      </w:r>
    </w:p>
    <w:p>
      <w:pPr>
        <w:pStyle w:val="Normal"/>
        <w:suppressAutoHyphens w:val="true"/>
        <w:spacing w:lineRule="auto" w:line="276" w:before="0" w:after="120"/>
        <w:ind w:right="-15" w:hanging="0"/>
        <w:jc w:val="center"/>
        <w:rPr>
          <w:sz w:val="22"/>
          <w:szCs w:val="22"/>
        </w:rPr>
      </w:pPr>
      <w:r>
        <w:rPr>
          <w:rFonts w:cs="Arial" w:ascii="Calibri" w:hAnsi="Calibri"/>
          <w:b w:val="false"/>
          <w:bCs w:val="false"/>
          <w:i w:val="false"/>
          <w:iCs w:val="false"/>
          <w:color w:val="000000"/>
          <w:sz w:val="22"/>
          <w:szCs w:val="22"/>
          <w:lang w:val="pt-BR" w:eastAsia="zh-CN"/>
        </w:rPr>
        <w:t xml:space="preserve">INSTITUTO FEDERAL DO SERTÃO PERNAMBUCANO </w:t>
      </w:r>
    </w:p>
    <w:p>
      <w:pPr>
        <w:pStyle w:val="Normal"/>
        <w:suppressAutoHyphens w:val="true"/>
        <w:spacing w:lineRule="auto" w:line="276" w:before="0" w:after="120"/>
        <w:ind w:right="-15" w:hanging="0"/>
        <w:jc w:val="center"/>
        <w:rPr>
          <w:sz w:val="22"/>
          <w:szCs w:val="22"/>
        </w:rPr>
      </w:pPr>
      <w:r>
        <w:rPr>
          <w:rFonts w:cs="Arial" w:ascii="Calibri" w:hAnsi="Calibri"/>
          <w:bCs/>
          <w:color w:val="000000"/>
          <w:sz w:val="22"/>
          <w:szCs w:val="22"/>
        </w:rPr>
        <w:t>RDC Nº 03/2022</w:t>
      </w:r>
    </w:p>
    <w:p>
      <w:pPr>
        <w:pStyle w:val="Normal"/>
        <w:suppressAutoHyphens w:val="true"/>
        <w:spacing w:lineRule="auto" w:line="276" w:before="0" w:after="120"/>
        <w:ind w:right="-15" w:hanging="0"/>
        <w:jc w:val="center"/>
        <w:rPr>
          <w:sz w:val="22"/>
          <w:szCs w:val="22"/>
        </w:rPr>
      </w:pPr>
      <w:r>
        <w:rPr>
          <w:rFonts w:cs="Arial" w:ascii="Calibri" w:hAnsi="Calibri"/>
          <w:bCs/>
          <w:color w:val="000000"/>
          <w:sz w:val="22"/>
          <w:szCs w:val="22"/>
        </w:rPr>
        <w:t>(Processo Administrativo nº 23416.000185.2022-90)</w:t>
      </w:r>
    </w:p>
    <w:p>
      <w:pPr>
        <w:pStyle w:val="Normal"/>
        <w:suppressAutoHyphens w:val="true"/>
        <w:spacing w:lineRule="auto" w:line="276" w:before="0" w:after="120"/>
        <w:ind w:right="-15" w:hanging="0"/>
        <w:jc w:val="center"/>
        <w:rPr>
          <w:rFonts w:ascii="Calibri" w:hAnsi="Calibri" w:cs="Arial"/>
          <w:bCs/>
          <w:color w:val="000000"/>
          <w:sz w:val="22"/>
          <w:szCs w:val="22"/>
        </w:rPr>
      </w:pPr>
      <w:r>
        <w:rPr>
          <w:rFonts w:cs="Arial" w:ascii="Calibri" w:hAnsi="Calibri"/>
          <w:bCs/>
          <w:color w:val="000000"/>
          <w:sz w:val="22"/>
          <w:szCs w:val="22"/>
        </w:rPr>
      </w:r>
    </w:p>
    <w:p>
      <w:pPr>
        <w:pStyle w:val="Normal"/>
        <w:numPr>
          <w:ilvl w:val="0"/>
          <w:numId w:val="3"/>
        </w:numPr>
        <w:tabs>
          <w:tab w:val="clear" w:pos="709"/>
          <w:tab w:val="left" w:pos="288" w:leader="none"/>
        </w:tabs>
        <w:suppressAutoHyphens w:val="true"/>
        <w:spacing w:lineRule="auto" w:line="276" w:before="0" w:after="120"/>
        <w:ind w:left="0" w:right="-15" w:hanging="0"/>
        <w:jc w:val="both"/>
        <w:rPr>
          <w:sz w:val="22"/>
          <w:szCs w:val="22"/>
        </w:rPr>
      </w:pPr>
      <w:r>
        <w:rPr>
          <w:rFonts w:cs="Arial" w:ascii="Calibri" w:hAnsi="Calibri"/>
          <w:b/>
          <w:color w:val="000000"/>
          <w:sz w:val="22"/>
          <w:szCs w:val="22"/>
        </w:rPr>
        <w:t>OBJETO</w:t>
      </w:r>
    </w:p>
    <w:p>
      <w:pPr>
        <w:pStyle w:val="Normal"/>
        <w:numPr>
          <w:ilvl w:val="1"/>
          <w:numId w:val="3"/>
        </w:numPr>
        <w:tabs>
          <w:tab w:val="clear" w:pos="709"/>
          <w:tab w:val="left" w:pos="852" w:leader="none"/>
        </w:tabs>
        <w:suppressAutoHyphens w:val="true"/>
        <w:spacing w:lineRule="auto" w:line="276" w:before="120" w:after="120"/>
        <w:ind w:left="425" w:hanging="0"/>
        <w:jc w:val="both"/>
        <w:rPr>
          <w:sz w:val="22"/>
          <w:szCs w:val="22"/>
        </w:rPr>
      </w:pPr>
      <w:r>
        <w:rPr>
          <w:rFonts w:cs="Arial" w:ascii="Calibri" w:hAnsi="Calibri"/>
          <w:i w:val="false"/>
          <w:iCs w:val="false"/>
          <w:color w:val="000000"/>
          <w:sz w:val="22"/>
          <w:szCs w:val="22"/>
          <w:shd w:fill="auto" w:val="clear"/>
          <w:lang w:val="pt-BR" w:eastAsia="zh-CN"/>
        </w:rPr>
        <w:t xml:space="preserve">Contratação de empresa de engenharia responsável pela </w:t>
      </w:r>
      <w:r>
        <w:rPr>
          <w:rFonts w:cs="Arial" w:ascii="Calibri" w:hAnsi="Calibri"/>
          <w:b/>
          <w:bCs/>
          <w:i w:val="false"/>
          <w:iCs w:val="false"/>
          <w:color w:val="000000"/>
          <w:sz w:val="22"/>
          <w:szCs w:val="22"/>
          <w:u w:val="none"/>
          <w:shd w:fill="auto" w:val="clear"/>
          <w:lang w:val="pt-BR" w:eastAsia="zh-CN"/>
        </w:rPr>
        <w:t>Construção de Galpão</w:t>
      </w:r>
      <w:r>
        <w:rPr>
          <w:rFonts w:eastAsia="SimSun" w:cs="Lucida Sans" w:ascii="Calibri" w:hAnsi="Calibri"/>
          <w:b w:val="false"/>
          <w:bCs w:val="false"/>
          <w:i w:val="false"/>
          <w:iCs w:val="false"/>
          <w:color w:val="000000"/>
          <w:kern w:val="2"/>
          <w:sz w:val="22"/>
          <w:szCs w:val="22"/>
          <w:u w:val="none"/>
          <w:shd w:fill="auto" w:val="clear"/>
          <w:lang w:val="pt-BR" w:eastAsia="zh-CN" w:bidi="hi-IN"/>
        </w:rPr>
        <w:t xml:space="preserve"> </w:t>
      </w:r>
      <w:r>
        <w:rPr>
          <w:rFonts w:eastAsia="SimSun" w:cs="Lucida Sans" w:ascii="Calibri" w:hAnsi="Calibri"/>
          <w:b/>
          <w:bCs/>
          <w:i w:val="false"/>
          <w:iCs w:val="false"/>
          <w:color w:val="000000"/>
          <w:kern w:val="2"/>
          <w:sz w:val="22"/>
          <w:szCs w:val="22"/>
          <w:u w:val="none"/>
          <w:shd w:fill="auto" w:val="clear"/>
          <w:lang w:val="pt-BR" w:eastAsia="zh-CN" w:bidi="hi-IN"/>
        </w:rPr>
        <w:t xml:space="preserve">de Almoxarifado e Patrimônio </w:t>
      </w:r>
      <w:r>
        <w:rPr>
          <w:rFonts w:cs="Arial" w:ascii="Calibri" w:hAnsi="Calibri"/>
          <w:b/>
          <w:bCs/>
          <w:i w:val="false"/>
          <w:iCs w:val="false"/>
          <w:color w:val="000000"/>
          <w:sz w:val="22"/>
          <w:szCs w:val="22"/>
          <w:u w:val="none"/>
          <w:shd w:fill="auto" w:val="clear"/>
          <w:lang w:val="pt-BR" w:eastAsia="zh-CN"/>
        </w:rPr>
        <w:t xml:space="preserve">nos </w:t>
      </w:r>
      <w:r>
        <w:rPr>
          <w:rFonts w:cs="Arial" w:ascii="Calibri" w:hAnsi="Calibri"/>
          <w:b/>
          <w:bCs/>
          <w:i/>
          <w:iCs/>
          <w:color w:val="000000"/>
          <w:sz w:val="22"/>
          <w:szCs w:val="22"/>
          <w:u w:val="none"/>
          <w:shd w:fill="auto" w:val="clear"/>
          <w:lang w:val="pt-BR" w:eastAsia="zh-CN"/>
        </w:rPr>
        <w:t>campi</w:t>
      </w:r>
      <w:r>
        <w:rPr>
          <w:rFonts w:cs="Arial" w:ascii="Calibri" w:hAnsi="Calibri"/>
          <w:b/>
          <w:bCs/>
          <w:i w:val="false"/>
          <w:iCs w:val="false"/>
          <w:color w:val="000000"/>
          <w:sz w:val="22"/>
          <w:szCs w:val="22"/>
          <w:u w:val="none"/>
          <w:shd w:fill="auto" w:val="clear"/>
          <w:lang w:val="pt-BR" w:eastAsia="zh-CN"/>
        </w:rPr>
        <w:t xml:space="preserve"> Petrolina Ouricuri do IFSertãoPE</w:t>
      </w:r>
      <w:r>
        <w:rPr>
          <w:rFonts w:cs="Arial" w:ascii="Calibri" w:hAnsi="Calibri"/>
          <w:i w:val="false"/>
          <w:iCs w:val="false"/>
          <w:color w:val="000000"/>
          <w:sz w:val="22"/>
          <w:szCs w:val="22"/>
          <w:shd w:fill="auto" w:val="clear"/>
          <w:lang w:val="pt-BR" w:eastAsia="zh-CN"/>
        </w:rPr>
        <w:t xml:space="preserve">, </w:t>
      </w:r>
      <w:r>
        <w:rPr>
          <w:rFonts w:cs="Arial" w:ascii="Calibri" w:hAnsi="Calibri"/>
          <w:i w:val="false"/>
          <w:iCs w:val="false"/>
          <w:color w:val="auto"/>
          <w:sz w:val="22"/>
          <w:szCs w:val="22"/>
          <w:lang w:val="pt-BR" w:eastAsia="zh-CN"/>
        </w:rPr>
        <w:t>conforme condições, quantidades e exigências estabelecidas neste instrumento e seus anexos.</w:t>
      </w:r>
    </w:p>
    <w:p>
      <w:pPr>
        <w:pStyle w:val="Normal"/>
        <w:numPr>
          <w:ilvl w:val="1"/>
          <w:numId w:val="3"/>
        </w:numPr>
        <w:tabs>
          <w:tab w:val="clear" w:pos="709"/>
          <w:tab w:val="left" w:pos="852" w:leader="none"/>
        </w:tabs>
        <w:suppressAutoHyphens w:val="true"/>
        <w:spacing w:lineRule="auto" w:line="276" w:before="120" w:after="120"/>
        <w:ind w:left="425" w:hanging="0"/>
        <w:jc w:val="both"/>
        <w:rPr>
          <w:sz w:val="22"/>
          <w:szCs w:val="22"/>
        </w:rPr>
      </w:pPr>
      <w:r>
        <w:rPr>
          <w:rFonts w:cs="Arial" w:ascii="Calibri" w:hAnsi="Calibri"/>
          <w:i w:val="false"/>
          <w:iCs w:val="false"/>
          <w:color w:val="auto"/>
          <w:sz w:val="22"/>
          <w:szCs w:val="22"/>
          <w:lang w:val="pt-BR" w:eastAsia="zh-CN"/>
        </w:rPr>
        <w:t>O objeto da licitação tem a natureza de obra de engenharia.</w:t>
      </w:r>
    </w:p>
    <w:p>
      <w:pPr>
        <w:pStyle w:val="Normal"/>
        <w:numPr>
          <w:ilvl w:val="1"/>
          <w:numId w:val="3"/>
        </w:numPr>
        <w:tabs>
          <w:tab w:val="clear" w:pos="709"/>
          <w:tab w:val="left" w:pos="852" w:leader="none"/>
        </w:tabs>
        <w:suppressAutoHyphens w:val="true"/>
        <w:spacing w:lineRule="auto" w:line="276" w:before="120" w:after="120"/>
        <w:ind w:left="425" w:hanging="0"/>
        <w:jc w:val="both"/>
        <w:rPr>
          <w:sz w:val="22"/>
          <w:szCs w:val="22"/>
        </w:rPr>
      </w:pPr>
      <w:r>
        <w:rPr>
          <w:rFonts w:cs="Arial" w:ascii="Calibri" w:hAnsi="Calibri"/>
          <w:i w:val="false"/>
          <w:iCs w:val="false"/>
          <w:color w:val="auto"/>
          <w:sz w:val="22"/>
          <w:szCs w:val="22"/>
          <w:lang w:val="pt-BR" w:eastAsia="zh-CN"/>
        </w:rPr>
        <w:t xml:space="preserve">Os quantitativos e respectivos códigos dos itens são os discriminados </w:t>
      </w:r>
      <w:r>
        <w:rPr>
          <w:rFonts w:cs="Arial" w:ascii="Calibri" w:hAnsi="Calibri"/>
          <w:i w:val="false"/>
          <w:iCs w:val="false"/>
          <w:strike w:val="false"/>
          <w:dstrike w:val="false"/>
          <w:color w:val="auto"/>
          <w:sz w:val="22"/>
          <w:szCs w:val="22"/>
          <w:lang w:val="pt-BR" w:eastAsia="zh-CN"/>
        </w:rPr>
        <w:t>abaixo e detalhados</w:t>
      </w:r>
      <w:r>
        <w:rPr>
          <w:rFonts w:cs="Arial" w:ascii="Calibri" w:hAnsi="Calibri"/>
          <w:i w:val="false"/>
          <w:iCs w:val="false"/>
          <w:color w:val="auto"/>
          <w:sz w:val="22"/>
          <w:szCs w:val="22"/>
          <w:lang w:val="pt-BR" w:eastAsia="zh-CN"/>
        </w:rPr>
        <w:t xml:space="preserve"> no anexo do Projeto Básico.</w:t>
      </w:r>
    </w:p>
    <w:tbl>
      <w:tblPr>
        <w:tblW w:w="8556" w:type="dxa"/>
        <w:jc w:val="left"/>
        <w:tblInd w:w="0" w:type="dxa"/>
        <w:tblLayout w:type="fixed"/>
        <w:tblCellMar>
          <w:top w:w="0" w:type="dxa"/>
          <w:left w:w="0" w:type="dxa"/>
          <w:bottom w:w="0" w:type="dxa"/>
          <w:right w:w="0" w:type="dxa"/>
        </w:tblCellMar>
      </w:tblPr>
      <w:tblGrid>
        <w:gridCol w:w="681"/>
        <w:gridCol w:w="4651"/>
        <w:gridCol w:w="1019"/>
        <w:gridCol w:w="735"/>
        <w:gridCol w:w="1470"/>
      </w:tblGrid>
      <w:tr>
        <w:trPr>
          <w:trHeight w:val="285" w:hRule="atLeast"/>
        </w:trPr>
        <w:tc>
          <w:tcPr>
            <w:tcW w:w="681" w:type="dxa"/>
            <w:tcBorders/>
            <w:shd w:fill="DDDDDD" w:val="clear"/>
          </w:tcPr>
          <w:p>
            <w:pPr>
              <w:pStyle w:val="Contedodatabela"/>
              <w:widowControl w:val="false"/>
              <w:suppressAutoHyphens w:val="true"/>
              <w:jc w:val="center"/>
              <w:rPr>
                <w:rFonts w:ascii="Calibri" w:hAnsi="Calibri" w:eastAsia="Times New Roman" w:cs="Arial"/>
                <w:b/>
                <w:b/>
                <w:bCs/>
                <w:i w:val="false"/>
                <w:i w:val="false"/>
                <w:iCs w:val="false"/>
                <w:color w:val="000000"/>
                <w:kern w:val="0"/>
                <w:sz w:val="22"/>
                <w:szCs w:val="22"/>
                <w:shd w:fill="auto" w:val="clear"/>
                <w:lang w:val="pt-BR" w:eastAsia="zh-CN" w:bidi="ar-SA"/>
              </w:rPr>
            </w:pPr>
            <w:r>
              <w:rPr>
                <w:rFonts w:eastAsia="Times New Roman" w:cs="Arial" w:ascii="Calibri" w:hAnsi="Calibri"/>
                <w:b/>
                <w:bCs/>
                <w:i w:val="false"/>
                <w:iCs w:val="false"/>
                <w:color w:val="000000"/>
                <w:kern w:val="0"/>
                <w:sz w:val="22"/>
                <w:szCs w:val="22"/>
                <w:shd w:fill="auto" w:val="clear"/>
                <w:lang w:val="pt-BR" w:eastAsia="zh-CN" w:bidi="ar-SA"/>
              </w:rPr>
              <w:t>Item</w:t>
            </w:r>
          </w:p>
        </w:tc>
        <w:tc>
          <w:tcPr>
            <w:tcW w:w="4651" w:type="dxa"/>
            <w:tcBorders/>
            <w:shd w:fill="DDDDDD" w:val="clear"/>
          </w:tcPr>
          <w:p>
            <w:pPr>
              <w:pStyle w:val="Contedodatabela"/>
              <w:widowControl w:val="false"/>
              <w:suppressAutoHyphens w:val="true"/>
              <w:jc w:val="center"/>
              <w:rPr>
                <w:rFonts w:ascii="Calibri" w:hAnsi="Calibri" w:eastAsia="Times New Roman" w:cs="Arial"/>
                <w:b/>
                <w:b/>
                <w:bCs/>
                <w:i w:val="false"/>
                <w:i w:val="false"/>
                <w:iCs w:val="false"/>
                <w:color w:val="000000"/>
                <w:kern w:val="0"/>
                <w:sz w:val="22"/>
                <w:szCs w:val="22"/>
                <w:shd w:fill="auto" w:val="clear"/>
                <w:lang w:val="pt-BR" w:eastAsia="zh-CN" w:bidi="ar-SA"/>
              </w:rPr>
            </w:pPr>
            <w:r>
              <w:rPr>
                <w:rFonts w:eastAsia="Times New Roman" w:cs="Arial" w:ascii="Calibri" w:hAnsi="Calibri"/>
                <w:b/>
                <w:bCs/>
                <w:i w:val="false"/>
                <w:iCs w:val="false"/>
                <w:color w:val="000000"/>
                <w:kern w:val="0"/>
                <w:sz w:val="22"/>
                <w:szCs w:val="22"/>
                <w:shd w:fill="auto" w:val="clear"/>
                <w:lang w:val="pt-BR" w:eastAsia="zh-CN" w:bidi="ar-SA"/>
              </w:rPr>
              <w:t>Descrição</w:t>
            </w:r>
          </w:p>
        </w:tc>
        <w:tc>
          <w:tcPr>
            <w:tcW w:w="1019" w:type="dxa"/>
            <w:tcBorders/>
            <w:shd w:fill="DDDDDD" w:val="clear"/>
          </w:tcPr>
          <w:p>
            <w:pPr>
              <w:pStyle w:val="Contedodatabela"/>
              <w:widowControl w:val="false"/>
              <w:suppressAutoHyphens w:val="true"/>
              <w:jc w:val="center"/>
              <w:rPr>
                <w:rFonts w:ascii="Calibri" w:hAnsi="Calibri" w:eastAsia="Times New Roman" w:cs="Arial"/>
                <w:b/>
                <w:b/>
                <w:bCs/>
                <w:i w:val="false"/>
                <w:i w:val="false"/>
                <w:iCs w:val="false"/>
                <w:color w:val="000000"/>
                <w:kern w:val="0"/>
                <w:sz w:val="22"/>
                <w:szCs w:val="22"/>
                <w:shd w:fill="auto" w:val="clear"/>
                <w:lang w:val="pt-BR" w:eastAsia="zh-CN" w:bidi="ar-SA"/>
              </w:rPr>
            </w:pPr>
            <w:r>
              <w:rPr>
                <w:rFonts w:eastAsia="Times New Roman" w:cs="Arial" w:ascii="Calibri" w:hAnsi="Calibri"/>
                <w:b/>
                <w:bCs/>
                <w:i w:val="false"/>
                <w:iCs w:val="false"/>
                <w:color w:val="000000"/>
                <w:kern w:val="0"/>
                <w:sz w:val="22"/>
                <w:szCs w:val="22"/>
                <w:shd w:fill="auto" w:val="clear"/>
                <w:lang w:val="pt-BR" w:eastAsia="zh-CN" w:bidi="ar-SA"/>
              </w:rPr>
              <w:t>Unidade</w:t>
            </w:r>
          </w:p>
        </w:tc>
        <w:tc>
          <w:tcPr>
            <w:tcW w:w="735" w:type="dxa"/>
            <w:tcBorders/>
            <w:shd w:fill="DDDDDD" w:val="clear"/>
          </w:tcPr>
          <w:p>
            <w:pPr>
              <w:pStyle w:val="Contedodatabela"/>
              <w:widowControl w:val="false"/>
              <w:suppressAutoHyphens w:val="true"/>
              <w:jc w:val="center"/>
              <w:rPr>
                <w:rFonts w:ascii="Calibri" w:hAnsi="Calibri" w:eastAsia="Times New Roman" w:cs="Arial"/>
                <w:b/>
                <w:b/>
                <w:bCs/>
                <w:i w:val="false"/>
                <w:i w:val="false"/>
                <w:iCs w:val="false"/>
                <w:color w:val="000000"/>
                <w:kern w:val="0"/>
                <w:sz w:val="22"/>
                <w:szCs w:val="22"/>
                <w:shd w:fill="auto" w:val="clear"/>
                <w:lang w:val="pt-BR" w:eastAsia="zh-CN" w:bidi="ar-SA"/>
              </w:rPr>
            </w:pPr>
            <w:r>
              <w:rPr>
                <w:rFonts w:eastAsia="Times New Roman" w:cs="Arial" w:ascii="Calibri" w:hAnsi="Calibri"/>
                <w:b/>
                <w:bCs/>
                <w:i w:val="false"/>
                <w:iCs w:val="false"/>
                <w:color w:val="000000"/>
                <w:kern w:val="0"/>
                <w:sz w:val="22"/>
                <w:szCs w:val="22"/>
                <w:shd w:fill="auto" w:val="clear"/>
                <w:lang w:val="pt-BR" w:eastAsia="zh-CN" w:bidi="ar-SA"/>
              </w:rPr>
              <w:t>Qtd.</w:t>
            </w:r>
          </w:p>
        </w:tc>
        <w:tc>
          <w:tcPr>
            <w:tcW w:w="1470" w:type="dxa"/>
            <w:tcBorders/>
            <w:shd w:fill="DDDDDD" w:val="clear"/>
          </w:tcPr>
          <w:p>
            <w:pPr>
              <w:pStyle w:val="Contedodatabela"/>
              <w:widowControl w:val="false"/>
              <w:suppressAutoHyphens w:val="true"/>
              <w:jc w:val="center"/>
              <w:rPr>
                <w:rFonts w:ascii="Calibri" w:hAnsi="Calibri" w:eastAsia="Times New Roman" w:cs="Arial"/>
                <w:b/>
                <w:b/>
                <w:bCs/>
                <w:i w:val="false"/>
                <w:i w:val="false"/>
                <w:iCs w:val="false"/>
                <w:color w:val="000000"/>
                <w:kern w:val="0"/>
                <w:sz w:val="22"/>
                <w:szCs w:val="22"/>
                <w:shd w:fill="auto" w:val="clear"/>
                <w:lang w:val="pt-BR" w:eastAsia="zh-CN" w:bidi="ar-SA"/>
              </w:rPr>
            </w:pPr>
            <w:r>
              <w:rPr>
                <w:rFonts w:eastAsia="Times New Roman" w:cs="Arial" w:ascii="Calibri" w:hAnsi="Calibri"/>
                <w:b/>
                <w:bCs/>
                <w:i w:val="false"/>
                <w:iCs w:val="false"/>
                <w:color w:val="000000"/>
                <w:kern w:val="0"/>
                <w:sz w:val="22"/>
                <w:szCs w:val="22"/>
                <w:shd w:fill="auto" w:val="clear"/>
                <w:lang w:val="pt-BR" w:eastAsia="zh-CN" w:bidi="ar-SA"/>
              </w:rPr>
              <w:t>Valor Unitário</w:t>
            </w:r>
          </w:p>
        </w:tc>
      </w:tr>
      <w:tr>
        <w:trPr>
          <w:trHeight w:val="795" w:hRule="atLeast"/>
        </w:trPr>
        <w:tc>
          <w:tcPr>
            <w:tcW w:w="681" w:type="dxa"/>
            <w:tcBorders/>
          </w:tcPr>
          <w:p>
            <w:pPr>
              <w:pStyle w:val="Contedodatabela"/>
              <w:widowControl w:val="false"/>
              <w:suppressAutoHyphens w:val="true"/>
              <w:jc w:val="center"/>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r>
          </w:p>
          <w:p>
            <w:pPr>
              <w:pStyle w:val="Contedodatabela"/>
              <w:widowControl w:val="false"/>
              <w:suppressAutoHyphens w:val="true"/>
              <w:jc w:val="center"/>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t>1</w:t>
            </w:r>
          </w:p>
        </w:tc>
        <w:tc>
          <w:tcPr>
            <w:tcW w:w="4651" w:type="dxa"/>
            <w:tcBorders/>
          </w:tcPr>
          <w:p>
            <w:pPr>
              <w:pStyle w:val="Normal"/>
              <w:widowControl w:val="false"/>
              <w:suppressAutoHyphens w:val="true"/>
              <w:jc w:val="both"/>
              <w:textAlignment w:val="auto"/>
              <w:rPr>
                <w:rFonts w:ascii="Calibri" w:hAnsi="Calibri"/>
                <w:sz w:val="22"/>
                <w:szCs w:val="22"/>
                <w:lang w:val="pt-BR"/>
              </w:rPr>
            </w:pPr>
            <w:r>
              <w:rPr>
                <w:rFonts w:eastAsia="Times New Roman" w:cs="Times New Roman" w:ascii="Calibri" w:hAnsi="Calibri"/>
                <w:b w:val="false"/>
                <w:bCs w:val="false"/>
                <w:color w:val="auto"/>
                <w:kern w:val="0"/>
                <w:sz w:val="22"/>
                <w:szCs w:val="22"/>
                <w:lang w:val="pt-BR" w:eastAsia="pt-BR" w:bidi="ar-SA"/>
              </w:rPr>
              <w:t xml:space="preserve">Construção de Galpão </w:t>
            </w:r>
            <w:r>
              <w:rPr>
                <w:rFonts w:eastAsia="SimSun" w:cs="Lucida Sans" w:ascii="Calibri" w:hAnsi="Calibri"/>
                <w:b w:val="false"/>
                <w:bCs w:val="false"/>
                <w:i w:val="false"/>
                <w:color w:val="000000"/>
                <w:kern w:val="2"/>
                <w:sz w:val="22"/>
                <w:szCs w:val="22"/>
                <w:lang w:val="pt-BR" w:eastAsia="zh-CN" w:bidi="hi-IN"/>
              </w:rPr>
              <w:t xml:space="preserve">de Almoxarifado e Patrimônio </w:t>
            </w:r>
            <w:r>
              <w:rPr>
                <w:rFonts w:eastAsia="Times New Roman" w:cs="Times New Roman" w:ascii="Calibri" w:hAnsi="Calibri"/>
                <w:b w:val="false"/>
                <w:bCs w:val="false"/>
                <w:color w:val="auto"/>
                <w:kern w:val="0"/>
                <w:sz w:val="22"/>
                <w:szCs w:val="22"/>
                <w:lang w:val="pt-BR" w:eastAsia="pt-BR" w:bidi="ar-SA"/>
              </w:rPr>
              <w:t xml:space="preserve">no </w:t>
            </w:r>
            <w:r>
              <w:rPr>
                <w:rFonts w:eastAsia="Times New Roman" w:cs="Times New Roman" w:ascii="Calibri" w:hAnsi="Calibri"/>
                <w:b w:val="false"/>
                <w:bCs w:val="false"/>
                <w:i w:val="false"/>
                <w:iCs w:val="false"/>
                <w:color w:val="auto"/>
                <w:kern w:val="0"/>
                <w:sz w:val="22"/>
                <w:szCs w:val="22"/>
                <w:lang w:val="pt-BR" w:eastAsia="pt-BR" w:bidi="ar-SA"/>
              </w:rPr>
              <w:t>campus Petrolin</w:t>
            </w:r>
            <w:r>
              <w:rPr>
                <w:rFonts w:eastAsia="Times New Roman" w:cs="Times New Roman" w:ascii="Calibri" w:hAnsi="Calibri"/>
                <w:b w:val="false"/>
                <w:bCs w:val="false"/>
                <w:color w:val="auto"/>
                <w:kern w:val="0"/>
                <w:sz w:val="22"/>
                <w:szCs w:val="22"/>
                <w:lang w:val="pt-BR" w:eastAsia="pt-BR" w:bidi="ar-SA"/>
              </w:rPr>
              <w:t>a</w:t>
            </w:r>
          </w:p>
        </w:tc>
        <w:tc>
          <w:tcPr>
            <w:tcW w:w="1019" w:type="dxa"/>
            <w:tcBorders/>
          </w:tcPr>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r>
          </w:p>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t>und</w:t>
            </w:r>
          </w:p>
        </w:tc>
        <w:tc>
          <w:tcPr>
            <w:tcW w:w="735" w:type="dxa"/>
            <w:tcBorders/>
          </w:tcPr>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r>
          </w:p>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t>01</w:t>
            </w:r>
          </w:p>
        </w:tc>
        <w:tc>
          <w:tcPr>
            <w:tcW w:w="1470" w:type="dxa"/>
            <w:tcBorders/>
          </w:tcPr>
          <w:p>
            <w:pPr>
              <w:pStyle w:val="Normal"/>
              <w:widowControl w:val="false"/>
              <w:suppressAutoHyphens w:val="true"/>
              <w:jc w:val="center"/>
              <w:textAlignment w:val="auto"/>
              <w:rPr>
                <w:rFonts w:ascii="Calibri" w:hAnsi="Calibri" w:eastAsia="Times New Roman" w:cs="Times New Roman"/>
                <w:color w:val="000000"/>
                <w:kern w:val="0"/>
                <w:sz w:val="22"/>
                <w:szCs w:val="22"/>
                <w:shd w:fill="FFFF00" w:val="clear"/>
                <w:lang w:val="pt-BR" w:eastAsia="pt-BR" w:bidi="ar-SA"/>
              </w:rPr>
            </w:pPr>
            <w:r>
              <w:rPr>
                <w:rFonts w:eastAsia="Times New Roman" w:cs="Times New Roman" w:ascii="Calibri" w:hAnsi="Calibri"/>
                <w:color w:val="000000"/>
                <w:kern w:val="0"/>
                <w:sz w:val="22"/>
                <w:szCs w:val="22"/>
                <w:shd w:fill="FFFF00" w:val="clear"/>
                <w:lang w:val="pt-BR" w:eastAsia="pt-BR" w:bidi="ar-SA"/>
              </w:rPr>
            </w:r>
          </w:p>
          <w:p>
            <w:pPr>
              <w:pStyle w:val="Normal"/>
              <w:widowControl w:val="false"/>
              <w:suppressAutoHyphens w:val="true"/>
              <w:jc w:val="center"/>
              <w:textAlignment w:val="auto"/>
              <w:rPr>
                <w:rFonts w:ascii="Calibri" w:hAnsi="Calibri" w:eastAsia="Calibri" w:cs="Arial"/>
                <w:color w:val="000000"/>
                <w:kern w:val="0"/>
                <w:sz w:val="22"/>
                <w:szCs w:val="22"/>
                <w:shd w:fill="auto" w:val="clear"/>
                <w:lang w:val="pt-BR" w:eastAsia="en-US" w:bidi="ar-SA"/>
              </w:rPr>
            </w:pP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R$  289.568,51</w:t>
            </w:r>
          </w:p>
        </w:tc>
      </w:tr>
      <w:tr>
        <w:trPr>
          <w:trHeight w:val="787" w:hRule="atLeast"/>
        </w:trPr>
        <w:tc>
          <w:tcPr>
            <w:tcW w:w="681" w:type="dxa"/>
            <w:tcBorders/>
          </w:tcPr>
          <w:p>
            <w:pPr>
              <w:pStyle w:val="Contedodatabela"/>
              <w:widowControl w:val="false"/>
              <w:suppressAutoHyphens w:val="true"/>
              <w:jc w:val="center"/>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r>
          </w:p>
          <w:p>
            <w:pPr>
              <w:pStyle w:val="Contedodatabela"/>
              <w:widowControl w:val="false"/>
              <w:suppressAutoHyphens w:val="true"/>
              <w:jc w:val="center"/>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t>2</w:t>
            </w:r>
          </w:p>
        </w:tc>
        <w:tc>
          <w:tcPr>
            <w:tcW w:w="4651" w:type="dxa"/>
            <w:tcBorders/>
          </w:tcPr>
          <w:p>
            <w:pPr>
              <w:pStyle w:val="Normal"/>
              <w:widowControl w:val="false"/>
              <w:suppressAutoHyphens w:val="true"/>
              <w:jc w:val="both"/>
              <w:textAlignment w:val="auto"/>
              <w:rPr>
                <w:rFonts w:ascii="Calibri" w:hAnsi="Calibri"/>
                <w:sz w:val="22"/>
                <w:szCs w:val="22"/>
                <w:lang w:val="pt-BR"/>
              </w:rPr>
            </w:pPr>
            <w:r>
              <w:rPr>
                <w:rFonts w:eastAsia="Times New Roman" w:cs="Times New Roman" w:ascii="Calibri" w:hAnsi="Calibri"/>
                <w:b w:val="false"/>
                <w:bCs w:val="false"/>
                <w:color w:val="auto"/>
                <w:kern w:val="0"/>
                <w:sz w:val="22"/>
                <w:szCs w:val="22"/>
                <w:lang w:val="pt-BR" w:eastAsia="pt-BR" w:bidi="ar-SA"/>
              </w:rPr>
              <w:t xml:space="preserve">Construção de Galpão </w:t>
            </w:r>
            <w:r>
              <w:rPr>
                <w:rFonts w:eastAsia="SimSun" w:cs="Lucida Sans" w:ascii="Calibri" w:hAnsi="Calibri"/>
                <w:b w:val="false"/>
                <w:bCs w:val="false"/>
                <w:i w:val="false"/>
                <w:color w:val="000000"/>
                <w:kern w:val="2"/>
                <w:sz w:val="22"/>
                <w:szCs w:val="22"/>
                <w:lang w:val="pt-BR" w:eastAsia="zh-CN" w:bidi="hi-IN"/>
              </w:rPr>
              <w:t xml:space="preserve">de Almoxarifado e Patrimônio </w:t>
            </w:r>
            <w:r>
              <w:rPr>
                <w:rFonts w:eastAsia="Times New Roman" w:cs="Times New Roman" w:ascii="Calibri" w:hAnsi="Calibri"/>
                <w:b w:val="false"/>
                <w:bCs w:val="false"/>
                <w:color w:val="auto"/>
                <w:kern w:val="0"/>
                <w:sz w:val="22"/>
                <w:szCs w:val="22"/>
                <w:lang w:val="pt-BR" w:eastAsia="pt-BR" w:bidi="ar-SA"/>
              </w:rPr>
              <w:t xml:space="preserve">no </w:t>
            </w:r>
            <w:r>
              <w:rPr>
                <w:rFonts w:eastAsia="Times New Roman" w:cs="Times New Roman" w:ascii="Calibri" w:hAnsi="Calibri"/>
                <w:b w:val="false"/>
                <w:bCs w:val="false"/>
                <w:i w:val="false"/>
                <w:iCs w:val="false"/>
                <w:color w:val="auto"/>
                <w:kern w:val="0"/>
                <w:sz w:val="22"/>
                <w:szCs w:val="22"/>
                <w:lang w:val="pt-BR" w:eastAsia="pt-BR" w:bidi="ar-SA"/>
              </w:rPr>
              <w:t>campus Ouric</w:t>
            </w:r>
            <w:r>
              <w:rPr>
                <w:rFonts w:eastAsia="Times New Roman" w:cs="Times New Roman" w:ascii="Calibri" w:hAnsi="Calibri"/>
                <w:b w:val="false"/>
                <w:bCs w:val="false"/>
                <w:color w:val="auto"/>
                <w:kern w:val="0"/>
                <w:sz w:val="22"/>
                <w:szCs w:val="22"/>
                <w:lang w:val="pt-BR" w:eastAsia="pt-BR" w:bidi="ar-SA"/>
              </w:rPr>
              <w:t>uri</w:t>
            </w:r>
          </w:p>
        </w:tc>
        <w:tc>
          <w:tcPr>
            <w:tcW w:w="1019" w:type="dxa"/>
            <w:tcBorders/>
          </w:tcPr>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r>
          </w:p>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t>und</w:t>
            </w:r>
          </w:p>
        </w:tc>
        <w:tc>
          <w:tcPr>
            <w:tcW w:w="735" w:type="dxa"/>
            <w:tcBorders/>
          </w:tcPr>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r>
          </w:p>
          <w:p>
            <w:pPr>
              <w:pStyle w:val="Normal"/>
              <w:widowControl w:val="false"/>
              <w:suppressAutoHyphens w:val="true"/>
              <w:jc w:val="center"/>
              <w:textAlignment w:val="auto"/>
              <w:rPr>
                <w:rFonts w:ascii="Calibri" w:hAnsi="Calibri" w:eastAsia="Times New Roman" w:cs="Arial"/>
                <w:color w:val="auto"/>
                <w:kern w:val="0"/>
                <w:sz w:val="22"/>
                <w:szCs w:val="22"/>
                <w:lang w:val="pt-BR" w:eastAsia="zh-CN" w:bidi="ar-SA"/>
              </w:rPr>
            </w:pPr>
            <w:r>
              <w:rPr>
                <w:rFonts w:eastAsia="Times New Roman" w:cs="Arial" w:ascii="Calibri" w:hAnsi="Calibri"/>
                <w:color w:val="auto"/>
                <w:kern w:val="0"/>
                <w:sz w:val="22"/>
                <w:szCs w:val="22"/>
                <w:lang w:val="pt-BR" w:eastAsia="zh-CN" w:bidi="ar-SA"/>
              </w:rPr>
              <w:t>01</w:t>
            </w:r>
          </w:p>
        </w:tc>
        <w:tc>
          <w:tcPr>
            <w:tcW w:w="1470" w:type="dxa"/>
            <w:tcBorders/>
          </w:tcPr>
          <w:p>
            <w:pPr>
              <w:pStyle w:val="Normal"/>
              <w:widowControl w:val="false"/>
              <w:suppressAutoHyphens w:val="true"/>
              <w:jc w:val="center"/>
              <w:textAlignment w:val="auto"/>
              <w:rPr>
                <w:rFonts w:ascii="Calibri" w:hAnsi="Calibri" w:eastAsia="Times New Roman" w:cs="Times New Roman"/>
                <w:color w:val="000000"/>
                <w:kern w:val="0"/>
                <w:sz w:val="22"/>
                <w:szCs w:val="22"/>
                <w:shd w:fill="FFFF00" w:val="clear"/>
                <w:lang w:val="pt-BR" w:eastAsia="pt-BR" w:bidi="ar-SA"/>
              </w:rPr>
            </w:pPr>
            <w:r>
              <w:rPr>
                <w:rFonts w:eastAsia="Times New Roman" w:cs="Times New Roman" w:ascii="Calibri" w:hAnsi="Calibri"/>
                <w:color w:val="000000"/>
                <w:kern w:val="0"/>
                <w:sz w:val="22"/>
                <w:szCs w:val="22"/>
                <w:shd w:fill="FFFF00" w:val="clear"/>
                <w:lang w:val="pt-BR" w:eastAsia="pt-BR" w:bidi="ar-SA"/>
              </w:rPr>
            </w:r>
          </w:p>
          <w:p>
            <w:pPr>
              <w:pStyle w:val="Normal"/>
              <w:widowControl w:val="false"/>
              <w:suppressAutoHyphens w:val="true"/>
              <w:jc w:val="center"/>
              <w:textAlignment w:val="auto"/>
              <w:rPr>
                <w:rFonts w:ascii="Calibri" w:hAnsi="Calibri" w:eastAsia="Calibri" w:cs="Arial"/>
                <w:color w:val="000000"/>
                <w:kern w:val="0"/>
                <w:sz w:val="22"/>
                <w:szCs w:val="22"/>
                <w:shd w:fill="auto" w:val="clear"/>
                <w:lang w:val="pt-BR" w:eastAsia="en-US" w:bidi="ar-SA"/>
              </w:rPr>
            </w:pP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R$  289.568,51</w:t>
            </w:r>
          </w:p>
        </w:tc>
      </w:tr>
      <w:tr>
        <w:trPr>
          <w:trHeight w:val="257" w:hRule="atLeast"/>
        </w:trPr>
        <w:tc>
          <w:tcPr>
            <w:tcW w:w="7086" w:type="dxa"/>
            <w:gridSpan w:val="4"/>
            <w:tcBorders/>
            <w:shd w:fill="DDDDDD" w:val="clear"/>
          </w:tcPr>
          <w:p>
            <w:pPr>
              <w:pStyle w:val="Normal"/>
              <w:widowControl w:val="false"/>
              <w:suppressAutoHyphens w:val="true"/>
              <w:jc w:val="center"/>
              <w:textAlignment w:val="auto"/>
              <w:rPr>
                <w:rFonts w:ascii="Calibri" w:hAnsi="Calibri" w:eastAsia="Times New Roman" w:cs="Times New Roman"/>
                <w:b/>
                <w:b/>
                <w:bCs/>
                <w:color w:val="000000"/>
                <w:kern w:val="0"/>
                <w:sz w:val="22"/>
                <w:szCs w:val="22"/>
                <w:lang w:val="pt-BR" w:eastAsia="pt-BR" w:bidi="ar-SA"/>
              </w:rPr>
            </w:pPr>
            <w:r>
              <w:rPr>
                <w:rFonts w:eastAsia="Times New Roman" w:cs="Times New Roman" w:ascii="Calibri" w:hAnsi="Calibri"/>
                <w:b/>
                <w:bCs/>
                <w:color w:val="000000"/>
                <w:kern w:val="0"/>
                <w:sz w:val="22"/>
                <w:szCs w:val="22"/>
                <w:lang w:val="pt-BR" w:eastAsia="pt-BR" w:bidi="ar-SA"/>
              </w:rPr>
              <w:t>VALOR TOTAL DA CONTRATAÇÃO:</w:t>
            </w:r>
          </w:p>
        </w:tc>
        <w:tc>
          <w:tcPr>
            <w:tcW w:w="1470" w:type="dxa"/>
            <w:tcBorders/>
            <w:shd w:fill="DDDDDD" w:val="clear"/>
          </w:tcPr>
          <w:p>
            <w:pPr>
              <w:pStyle w:val="Normal"/>
              <w:widowControl w:val="false"/>
              <w:suppressAutoHyphens w:val="true"/>
              <w:jc w:val="center"/>
              <w:textAlignment w:val="auto"/>
              <w:rPr>
                <w:rFonts w:ascii="Calibri" w:hAnsi="Calibri" w:eastAsia="Calibri" w:cs="Arial"/>
                <w:color w:val="000000"/>
                <w:kern w:val="0"/>
                <w:sz w:val="22"/>
                <w:szCs w:val="22"/>
                <w:shd w:fill="auto" w:val="clear"/>
                <w:lang w:val="pt-BR" w:eastAsia="en-US" w:bidi="ar-SA"/>
              </w:rPr>
            </w:pPr>
            <w:r>
              <w:rPr>
                <w:rFonts w:eastAsia="Calibri" w:cs="Arial" w:ascii="Calibri" w:hAnsi="Calibri"/>
                <w:b/>
                <w:bCs/>
                <w:color w:val="000000"/>
                <w:kern w:val="0"/>
                <w:sz w:val="22"/>
                <w:szCs w:val="22"/>
                <w:shd w:fill="auto" w:val="clear"/>
                <w:lang w:val="pt-BR" w:eastAsia="en-US" w:bidi="ar-SA"/>
              </w:rPr>
              <w:t xml:space="preserve">R$ </w:t>
            </w:r>
            <w:r>
              <w:rPr>
                <w:rFonts w:eastAsia="Calibri" w:cs="Arial" w:ascii="Calibri" w:hAnsi="Calibri"/>
                <w:b/>
                <w:bCs/>
                <w:i w:val="false"/>
                <w:strike w:val="false"/>
                <w:dstrike w:val="false"/>
                <w:outline w:val="false"/>
                <w:shadow w:val="false"/>
                <w:color w:val="000000"/>
                <w:kern w:val="0"/>
                <w:sz w:val="22"/>
                <w:szCs w:val="22"/>
                <w:u w:val="none"/>
                <w:shd w:fill="auto" w:val="clear"/>
                <w:em w:val="none"/>
                <w:lang w:val="pt-BR" w:eastAsia="en-US" w:bidi="ar-SA"/>
              </w:rPr>
              <w:t>579.137,02</w:t>
            </w:r>
          </w:p>
        </w:tc>
      </w:tr>
    </w:tbl>
    <w:p>
      <w:pPr>
        <w:pStyle w:val="Normal"/>
        <w:numPr>
          <w:ilvl w:val="0"/>
          <w:numId w:val="0"/>
        </w:numPr>
        <w:tabs>
          <w:tab w:val="clear" w:pos="709"/>
          <w:tab w:val="left" w:pos="852" w:leader="none"/>
        </w:tabs>
        <w:suppressAutoHyphens w:val="true"/>
        <w:spacing w:lineRule="auto" w:line="276" w:before="0" w:after="0"/>
        <w:ind w:left="1505" w:hanging="0"/>
        <w:jc w:val="both"/>
        <w:rPr>
          <w:rFonts w:ascii="Calibri" w:hAnsi="Calibri" w:cs="Arial"/>
          <w:i w:val="false"/>
          <w:i w:val="false"/>
          <w:iCs w:val="false"/>
          <w:color w:val="auto"/>
          <w:sz w:val="22"/>
          <w:szCs w:val="22"/>
          <w:shd w:fill="auto" w:val="clear"/>
          <w:lang w:val="pt-BR" w:eastAsia="zh-CN"/>
        </w:rPr>
      </w:pPr>
      <w:r>
        <w:rPr>
          <w:rFonts w:cs="Arial" w:ascii="Calibri" w:hAnsi="Calibri"/>
          <w:i w:val="false"/>
          <w:iCs w:val="false"/>
          <w:color w:val="000000"/>
          <w:sz w:val="22"/>
          <w:szCs w:val="22"/>
          <w:shd w:fill="auto" w:val="clear"/>
          <w:lang w:val="pt-BR" w:eastAsia="zh-CN"/>
        </w:rPr>
      </w:r>
    </w:p>
    <w:p>
      <w:pPr>
        <w:pStyle w:val="Normal"/>
        <w:numPr>
          <w:ilvl w:val="1"/>
          <w:numId w:val="3"/>
        </w:numPr>
        <w:tabs>
          <w:tab w:val="clear" w:pos="709"/>
          <w:tab w:val="left" w:pos="852" w:leader="none"/>
        </w:tabs>
        <w:suppressAutoHyphens w:val="true"/>
        <w:spacing w:lineRule="auto" w:line="276" w:before="0" w:after="0"/>
        <w:ind w:left="425" w:hanging="0"/>
        <w:jc w:val="both"/>
        <w:rPr/>
      </w:pPr>
      <w:r>
        <w:rPr>
          <w:rStyle w:val="Normaltextrun"/>
          <w:rFonts w:cs="Arial" w:ascii="Calibri" w:hAnsi="Calibri"/>
          <w:i w:val="false"/>
          <w:iCs w:val="false"/>
          <w:color w:val="000000"/>
          <w:sz w:val="22"/>
          <w:szCs w:val="22"/>
          <w:shd w:fill="auto" w:val="clear"/>
          <w:lang w:val="pt-BR" w:eastAsia="zh-CN"/>
        </w:rPr>
        <w:t>Os contr</w:t>
      </w:r>
      <w:r>
        <w:rPr>
          <w:rStyle w:val="Normaltextrun"/>
          <w:rFonts w:cs="Arial" w:ascii="Calibri" w:hAnsi="Calibri"/>
          <w:b w:val="false"/>
          <w:i w:val="false"/>
          <w:iCs w:val="false"/>
          <w:color w:val="000000"/>
          <w:kern w:val="2"/>
          <w:sz w:val="22"/>
          <w:szCs w:val="22"/>
          <w:shd w:fill="auto" w:val="clear"/>
          <w:lang w:val="pt-BR" w:eastAsia="zh-CN"/>
        </w:rPr>
        <w:t>atos terão vigência pelo período de 12 (doze) meses, sendo prorrogáveis apenas na forma do §1º do art. 57 da Lei nº 8.666, de 1993.</w:t>
      </w:r>
    </w:p>
    <w:p>
      <w:pPr>
        <w:pStyle w:val="Normal"/>
        <w:numPr>
          <w:ilvl w:val="1"/>
          <w:numId w:val="3"/>
        </w:numPr>
        <w:tabs>
          <w:tab w:val="clear" w:pos="709"/>
          <w:tab w:val="left" w:pos="852" w:leader="none"/>
        </w:tabs>
        <w:suppressAutoHyphens w:val="true"/>
        <w:spacing w:lineRule="auto" w:line="276" w:before="120" w:after="120"/>
        <w:ind w:left="425" w:hanging="0"/>
        <w:jc w:val="both"/>
        <w:rPr/>
      </w:pPr>
      <w:r>
        <w:rPr>
          <w:rStyle w:val="Normaltextrun"/>
          <w:rFonts w:eastAsia="Times New Roman" w:cs="Arial" w:ascii="Calibri" w:hAnsi="Calibri"/>
          <w:b w:val="false"/>
          <w:i w:val="false"/>
          <w:iCs w:val="false"/>
          <w:color w:val="000000"/>
          <w:kern w:val="2"/>
          <w:sz w:val="22"/>
          <w:szCs w:val="22"/>
          <w:shd w:fill="auto" w:val="clear"/>
          <w:lang w:val="pt-BR" w:eastAsia="zh-CN" w:bidi="ar-SA"/>
        </w:rPr>
        <w:t xml:space="preserve">O prazo de execução do objeto (cada item) será de 04 (quatro) meses, contados da emissão da </w:t>
      </w:r>
      <w:r>
        <w:rPr>
          <w:rStyle w:val="Normaltextrun"/>
          <w:rFonts w:eastAsia="Times New Roman" w:cs="Arial" w:ascii="Calibri" w:hAnsi="Calibri"/>
          <w:b w:val="false"/>
          <w:bCs/>
          <w:i w:val="false"/>
          <w:iCs w:val="false"/>
          <w:color w:val="000000"/>
          <w:kern w:val="2"/>
          <w:sz w:val="22"/>
          <w:szCs w:val="22"/>
          <w:shd w:fill="auto" w:val="clear"/>
          <w:lang w:val="pt-BR" w:eastAsia="zh-CN" w:bidi="ar-SA"/>
        </w:rPr>
        <w:t>ordem de serviço, podendo ser</w:t>
      </w:r>
      <w:r>
        <w:rPr>
          <w:rStyle w:val="Normaltextrun"/>
          <w:rFonts w:eastAsia="Times New Roman" w:cs="Arial" w:ascii="Calibri" w:hAnsi="Calibri"/>
          <w:b w:val="false"/>
          <w:i w:val="false"/>
          <w:iCs w:val="false"/>
          <w:color w:val="000000"/>
          <w:kern w:val="2"/>
          <w:sz w:val="22"/>
          <w:szCs w:val="22"/>
          <w:shd w:fill="auto" w:val="clear"/>
          <w:lang w:val="pt-BR" w:eastAsia="zh-CN" w:bidi="ar-SA"/>
        </w:rPr>
        <w:t xml:space="preserve"> prorrogado apenas do §1º do art. 57 da Lei nº 8.666, de 1993. As etapas de execução do objeto observarão o cronograma físico-financeiro anexo do Projeto Básico.</w:t>
      </w:r>
    </w:p>
    <w:p>
      <w:pPr>
        <w:pStyle w:val="Normal"/>
        <w:numPr>
          <w:ilvl w:val="1"/>
          <w:numId w:val="3"/>
        </w:numPr>
        <w:tabs>
          <w:tab w:val="clear" w:pos="709"/>
          <w:tab w:val="left" w:pos="852" w:leader="none"/>
        </w:tabs>
        <w:suppressAutoHyphens w:val="true"/>
        <w:spacing w:lineRule="auto" w:line="276" w:before="0" w:after="0"/>
        <w:ind w:left="425" w:hanging="0"/>
        <w:jc w:val="both"/>
        <w:rPr/>
      </w:pPr>
      <w:r>
        <w:rPr>
          <w:rStyle w:val="Normaltextrun"/>
          <w:rFonts w:cs="Arial" w:ascii="Calibri" w:hAnsi="Calibri"/>
          <w:b w:val="false"/>
          <w:i w:val="false"/>
          <w:iCs w:val="false"/>
          <w:color w:val="000000"/>
          <w:kern w:val="2"/>
          <w:sz w:val="22"/>
          <w:szCs w:val="22"/>
          <w:shd w:fill="auto" w:val="clear"/>
          <w:lang w:val="pt-BR" w:eastAsia="zh-CN"/>
        </w:rPr>
        <w:t>O regime de execução do contrato será o de Empreitada por Preço Unitário.</w:t>
      </w:r>
    </w:p>
    <w:p>
      <w:pPr>
        <w:pStyle w:val="Normal"/>
        <w:numPr>
          <w:ilvl w:val="0"/>
          <w:numId w:val="0"/>
        </w:numPr>
        <w:tabs>
          <w:tab w:val="clear" w:pos="709"/>
          <w:tab w:val="left" w:pos="852" w:leader="none"/>
        </w:tabs>
        <w:suppressAutoHyphens w:val="true"/>
        <w:spacing w:lineRule="auto" w:line="276" w:beforeAutospacing="0" w:before="0" w:afterAutospacing="0" w:after="0"/>
        <w:ind w:left="425" w:hanging="0"/>
        <w:jc w:val="both"/>
        <w:textAlignment w:val="baseline"/>
        <w:rPr/>
      </w:pPr>
      <w:r>
        <w:rPr>
          <w:rStyle w:val="Normaltextrun"/>
          <w:rFonts w:eastAsia="Times New Roman" w:cs="Arial" w:ascii="Calibri" w:hAnsi="Calibri"/>
          <w:b w:val="false"/>
          <w:bCs/>
          <w:i w:val="false"/>
          <w:iCs w:val="false"/>
          <w:color w:val="000000"/>
          <w:kern w:val="2"/>
          <w:sz w:val="22"/>
          <w:szCs w:val="22"/>
          <w:shd w:fill="auto" w:val="clear"/>
          <w:lang w:val="pt-BR" w:eastAsia="zh-CN" w:bidi="ar-SA"/>
        </w:rPr>
        <w:t xml:space="preserve"> </w:t>
      </w:r>
    </w:p>
    <w:p>
      <w:pPr>
        <w:pStyle w:val="Normal"/>
        <w:numPr>
          <w:ilvl w:val="0"/>
          <w:numId w:val="2"/>
        </w:numPr>
        <w:tabs>
          <w:tab w:val="clear" w:pos="709"/>
          <w:tab w:val="left" w:pos="288" w:leader="none"/>
        </w:tabs>
        <w:suppressAutoHyphens w:val="true"/>
        <w:spacing w:lineRule="auto" w:line="276" w:before="120" w:after="120"/>
        <w:ind w:left="0" w:hanging="0"/>
        <w:jc w:val="both"/>
        <w:rPr>
          <w:sz w:val="22"/>
          <w:szCs w:val="22"/>
        </w:rPr>
      </w:pPr>
      <w:r>
        <w:rPr>
          <w:rFonts w:cs="Arial" w:ascii="Calibri" w:hAnsi="Calibri"/>
          <w:b/>
          <w:bCs/>
          <w:sz w:val="22"/>
          <w:szCs w:val="22"/>
          <w:shd w:fill="auto" w:val="clear"/>
        </w:rPr>
        <w:t>JUSTIFICATIVA E OBJETIVO DA CONTRATAÇÃO</w:t>
      </w:r>
    </w:p>
    <w:p>
      <w:pPr>
        <w:pStyle w:val="Normal"/>
        <w:numPr>
          <w:ilvl w:val="1"/>
          <w:numId w:val="2"/>
        </w:numPr>
        <w:tabs>
          <w:tab w:val="clear" w:pos="709"/>
          <w:tab w:val="left" w:pos="852" w:leader="none"/>
        </w:tabs>
        <w:suppressAutoHyphens w:val="true"/>
        <w:spacing w:lineRule="auto" w:line="276" w:before="0" w:after="0"/>
        <w:ind w:left="425" w:hanging="0"/>
        <w:jc w:val="both"/>
        <w:rPr>
          <w:sz w:val="22"/>
          <w:szCs w:val="22"/>
        </w:rPr>
      </w:pPr>
      <w:r>
        <w:rPr>
          <w:rFonts w:cs="Arial" w:ascii="Calibri" w:hAnsi="Calibri"/>
          <w:sz w:val="22"/>
          <w:szCs w:val="22"/>
          <w:shd w:fill="auto" w:val="clear"/>
        </w:rPr>
        <w:t>A Justificativa e objetivo da contratação encontra-se pormenorizada em Tópico específico dos Estudos Técnicos Preliminares, apêndice deste Projeto Básico.</w:t>
      </w:r>
    </w:p>
    <w:p>
      <w:pPr>
        <w:pStyle w:val="Normal"/>
        <w:numPr>
          <w:ilvl w:val="0"/>
          <w:numId w:val="2"/>
        </w:numPr>
        <w:tabs>
          <w:tab w:val="clear" w:pos="709"/>
          <w:tab w:val="left" w:pos="288" w:leader="none"/>
        </w:tabs>
        <w:suppressAutoHyphens w:val="true"/>
        <w:spacing w:lineRule="auto" w:line="276" w:before="120" w:after="120"/>
        <w:ind w:left="0" w:hanging="0"/>
        <w:jc w:val="both"/>
        <w:rPr>
          <w:sz w:val="22"/>
          <w:szCs w:val="22"/>
        </w:rPr>
      </w:pPr>
      <w:r>
        <w:rPr>
          <w:rFonts w:cs="Arial" w:ascii="Calibri" w:hAnsi="Calibri"/>
          <w:b/>
          <w:bCs/>
          <w:sz w:val="22"/>
          <w:szCs w:val="22"/>
          <w:shd w:fill="auto" w:val="clear"/>
        </w:rPr>
        <w:t>DESCRIÇÃO DA SOLUÇÃO</w:t>
      </w:r>
    </w:p>
    <w:p>
      <w:pPr>
        <w:pStyle w:val="Normal"/>
        <w:numPr>
          <w:ilvl w:val="1"/>
          <w:numId w:val="2"/>
        </w:numPr>
        <w:tabs>
          <w:tab w:val="clear" w:pos="709"/>
          <w:tab w:val="left" w:pos="852" w:leader="none"/>
        </w:tabs>
        <w:suppressAutoHyphens w:val="true"/>
        <w:spacing w:lineRule="auto" w:line="276" w:before="0" w:after="0"/>
        <w:ind w:left="425" w:hanging="0"/>
        <w:jc w:val="both"/>
        <w:rPr>
          <w:sz w:val="22"/>
          <w:szCs w:val="22"/>
        </w:rPr>
      </w:pPr>
      <w:r>
        <w:rPr>
          <w:rFonts w:cs="Arial" w:ascii="Calibri" w:hAnsi="Calibri"/>
          <w:iCs/>
          <w:sz w:val="22"/>
          <w:szCs w:val="22"/>
          <w:shd w:fill="auto" w:val="clear"/>
        </w:rPr>
        <w:t>A descrição da solução como um todo, encontra-se pormenorizada em Tópico específico dos Estudos Técnicos Preliminares, apêndice deste Projeto Básico.</w:t>
      </w:r>
    </w:p>
    <w:p>
      <w:pPr>
        <w:pStyle w:val="Normal"/>
        <w:suppressAutoHyphens w:val="true"/>
        <w:spacing w:lineRule="auto" w:line="276" w:before="0" w:after="0"/>
        <w:ind w:left="425" w:hanging="0"/>
        <w:jc w:val="both"/>
        <w:rPr>
          <w:rFonts w:cs="Arial"/>
          <w:iCs/>
          <w:sz w:val="22"/>
          <w:szCs w:val="22"/>
          <w:shd w:fill="auto" w:val="clear"/>
        </w:rPr>
      </w:pPr>
      <w:r>
        <w:rPr>
          <w:rFonts w:cs="Arial"/>
          <w:iCs/>
          <w:sz w:val="22"/>
          <w:szCs w:val="22"/>
          <w:shd w:fill="auto" w:val="clear"/>
        </w:rPr>
      </w:r>
    </w:p>
    <w:p>
      <w:pPr>
        <w:pStyle w:val="Normal"/>
        <w:widowControl/>
        <w:numPr>
          <w:ilvl w:val="0"/>
          <w:numId w:val="2"/>
        </w:numPr>
        <w:suppressAutoHyphens w:val="true"/>
        <w:bidi w:val="0"/>
        <w:spacing w:before="0" w:after="120"/>
        <w:ind w:left="283" w:right="0" w:hanging="283"/>
        <w:jc w:val="both"/>
        <w:rPr>
          <w:sz w:val="22"/>
          <w:szCs w:val="22"/>
        </w:rPr>
      </w:pPr>
      <w:r>
        <w:rPr>
          <w:rFonts w:cs="Arial" w:ascii="Calibri" w:hAnsi="Calibri"/>
          <w:b/>
          <w:bCs/>
          <w:sz w:val="22"/>
          <w:szCs w:val="22"/>
        </w:rPr>
        <w:t>DA CLASSIFICAÇÃO DO OBJETO E FORMA DE SELEÇÃO DO FORNECEDOR</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zh-CN"/>
        </w:rPr>
        <w:t>Trata-se de obra a ser contratada mediante licitação, na modalidade Regime Diferenciado de Contratação – RDC Eletrônico.</w:t>
      </w:r>
    </w:p>
    <w:p>
      <w:pPr>
        <w:pStyle w:val="Normal"/>
        <w:numPr>
          <w:ilvl w:val="1"/>
          <w:numId w:val="2"/>
        </w:numPr>
        <w:tabs>
          <w:tab w:val="clear" w:pos="709"/>
          <w:tab w:val="left" w:pos="852" w:leader="none"/>
        </w:tabs>
        <w:suppressAutoHyphens w:val="true"/>
        <w:spacing w:lineRule="auto" w:line="276" w:before="120" w:after="0"/>
        <w:ind w:left="425" w:hanging="0"/>
        <w:jc w:val="both"/>
        <w:rPr>
          <w:sz w:val="22"/>
          <w:szCs w:val="22"/>
        </w:rPr>
      </w:pPr>
      <w:r>
        <w:rPr>
          <w:rFonts w:cs="Arial" w:ascii="Calibri" w:hAnsi="Calibri"/>
          <w:sz w:val="22"/>
          <w:szCs w:val="22"/>
        </w:rPr>
        <w:t>A execução do contrato não gerará vínculo empregatício entre os empregados da Contratada e a Administração, vedando-se qualquer relação entre estes que caracterize pesso</w:t>
      </w:r>
      <w:r>
        <w:rPr>
          <w:rFonts w:cs="Arial" w:ascii="Calibri" w:hAnsi="Calibri"/>
          <w:sz w:val="22"/>
          <w:szCs w:val="22"/>
          <w:lang w:val="pt-BR" w:eastAsia="zh-CN"/>
        </w:rPr>
        <w:t>alidade e subordinação direta.</w:t>
      </w:r>
    </w:p>
    <w:p>
      <w:pPr>
        <w:pStyle w:val="Normal"/>
        <w:numPr>
          <w:ilvl w:val="1"/>
          <w:numId w:val="2"/>
        </w:numPr>
        <w:tabs>
          <w:tab w:val="clear" w:pos="709"/>
          <w:tab w:val="left" w:pos="852" w:leader="none"/>
        </w:tabs>
        <w:suppressAutoHyphens w:val="true"/>
        <w:spacing w:lineRule="auto" w:line="276" w:before="120" w:after="0"/>
        <w:ind w:left="425" w:hanging="0"/>
        <w:jc w:val="both"/>
        <w:rPr>
          <w:sz w:val="22"/>
          <w:szCs w:val="22"/>
        </w:rPr>
      </w:pPr>
      <w:r>
        <w:rPr>
          <w:rFonts w:cs="Arial" w:ascii="Calibri" w:hAnsi="Calibri"/>
          <w:b w:val="false"/>
          <w:i w:val="false"/>
          <w:color w:val="000000"/>
          <w:sz w:val="22"/>
          <w:szCs w:val="22"/>
          <w:lang w:val="pt-BR" w:eastAsia="zh-CN"/>
        </w:rPr>
        <w:t xml:space="preserve">O modo de disputa será </w:t>
      </w:r>
      <w:r>
        <w:rPr>
          <w:rFonts w:cs="Arial" w:ascii="Calibri" w:hAnsi="Calibri"/>
          <w:b w:val="false"/>
          <w:i w:val="false"/>
          <w:color w:val="000000"/>
          <w:sz w:val="22"/>
          <w:szCs w:val="22"/>
          <w:shd w:fill="auto" w:val="clear"/>
          <w:lang w:val="pt-BR" w:eastAsia="zh-CN"/>
        </w:rPr>
        <w:t>Combinado Fechado/Aberto.</w:t>
      </w:r>
    </w:p>
    <w:p>
      <w:pPr>
        <w:pStyle w:val="Normal"/>
        <w:numPr>
          <w:ilvl w:val="1"/>
          <w:numId w:val="2"/>
        </w:numPr>
        <w:tabs>
          <w:tab w:val="clear" w:pos="709"/>
          <w:tab w:val="left" w:pos="852" w:leader="none"/>
        </w:tabs>
        <w:suppressAutoHyphens w:val="true"/>
        <w:spacing w:lineRule="auto" w:line="276" w:before="120" w:after="0"/>
        <w:ind w:left="425" w:hanging="0"/>
        <w:jc w:val="both"/>
        <w:rPr>
          <w:sz w:val="22"/>
          <w:szCs w:val="22"/>
        </w:rPr>
      </w:pPr>
      <w:r>
        <w:rPr>
          <w:rFonts w:cs="Arial" w:ascii="Calibri" w:hAnsi="Calibri"/>
          <w:b w:val="false"/>
          <w:i w:val="false"/>
          <w:color w:val="000000"/>
          <w:sz w:val="22"/>
          <w:szCs w:val="22"/>
          <w:lang w:val="pt-BR" w:eastAsia="zh-CN"/>
        </w:rPr>
        <w:t>O critério de julgamento da proposta será o maior desconto global.</w:t>
      </w:r>
    </w:p>
    <w:p>
      <w:pPr>
        <w:pStyle w:val="Normal"/>
        <w:numPr>
          <w:ilvl w:val="1"/>
          <w:numId w:val="2"/>
        </w:numPr>
        <w:tabs>
          <w:tab w:val="clear" w:pos="709"/>
          <w:tab w:val="left" w:pos="852" w:leader="none"/>
        </w:tabs>
        <w:suppressAutoHyphens w:val="true"/>
        <w:spacing w:lineRule="auto" w:line="276" w:before="120" w:after="0"/>
        <w:ind w:left="425" w:hanging="0"/>
        <w:jc w:val="both"/>
        <w:rPr>
          <w:sz w:val="22"/>
          <w:szCs w:val="22"/>
        </w:rPr>
      </w:pPr>
      <w:r>
        <w:rPr>
          <w:rFonts w:cs="Arial" w:ascii="Calibri" w:hAnsi="Calibri"/>
          <w:b w:val="false"/>
          <w:i w:val="false"/>
          <w:color w:val="000000"/>
          <w:sz w:val="22"/>
          <w:szCs w:val="22"/>
          <w:lang w:val="pt-BR" w:eastAsia="zh-CN"/>
        </w:rPr>
        <w:t>Não será permitida a participação de consórcios.</w:t>
      </w:r>
    </w:p>
    <w:p>
      <w:pPr>
        <w:pStyle w:val="Normal"/>
        <w:numPr>
          <w:ilvl w:val="0"/>
          <w:numId w:val="0"/>
        </w:numPr>
        <w:tabs>
          <w:tab w:val="clear" w:pos="709"/>
          <w:tab w:val="left" w:pos="852" w:leader="none"/>
        </w:tabs>
        <w:suppressAutoHyphens w:val="true"/>
        <w:spacing w:lineRule="auto" w:line="276" w:before="0" w:after="0"/>
        <w:ind w:left="857" w:hanging="0"/>
        <w:jc w:val="both"/>
        <w:rPr>
          <w:b w:val="false"/>
          <w:b w:val="false"/>
          <w:i w:val="false"/>
          <w:i w:val="false"/>
          <w:color w:val="000000"/>
          <w:sz w:val="22"/>
          <w:szCs w:val="22"/>
          <w:lang w:val="pt-BR" w:eastAsia="zh-CN"/>
        </w:rPr>
      </w:pPr>
      <w:r>
        <w:rPr>
          <w:b w:val="false"/>
          <w:i w:val="false"/>
          <w:color w:val="000000"/>
          <w:sz w:val="22"/>
          <w:szCs w:val="22"/>
          <w:lang w:val="pt-BR" w:eastAsia="zh-CN"/>
        </w:rPr>
      </w:r>
    </w:p>
    <w:p>
      <w:pPr>
        <w:pStyle w:val="Nivel1"/>
        <w:widowControl/>
        <w:numPr>
          <w:ilvl w:val="0"/>
          <w:numId w:val="2"/>
        </w:numPr>
        <w:tabs>
          <w:tab w:val="clear" w:pos="709"/>
          <w:tab w:val="left" w:pos="288" w:leader="none"/>
        </w:tabs>
        <w:suppressAutoHyphens w:val="true"/>
        <w:bidi w:val="0"/>
        <w:spacing w:before="0" w:after="0"/>
        <w:ind w:left="283" w:right="0" w:hanging="283"/>
        <w:jc w:val="both"/>
        <w:rPr>
          <w:sz w:val="22"/>
          <w:szCs w:val="22"/>
        </w:rPr>
      </w:pPr>
      <w:r>
        <w:rPr>
          <w:rFonts w:eastAsia="Times New Roman" w:cs="Arial" w:ascii="Calibri" w:hAnsi="Calibri"/>
          <w:b/>
          <w:bCs/>
          <w:i w:val="false"/>
          <w:iCs w:val="false"/>
          <w:color w:val="000000"/>
          <w:kern w:val="0"/>
          <w:sz w:val="22"/>
          <w:szCs w:val="22"/>
          <w:shd w:fill="auto" w:val="clear"/>
          <w:lang w:val="pt-BR" w:eastAsia="zh-CN" w:bidi="ar-SA"/>
        </w:rPr>
        <w:t>VISTORIA PARA A LICITAÇÃO</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eastAsia="Times New Roman" w:cs="Arial" w:ascii="Calibri" w:hAnsi="Calibri"/>
          <w:b w:val="false"/>
          <w:bCs/>
          <w:i w:val="false"/>
          <w:iCs/>
          <w:color w:val="000000"/>
          <w:kern w:val="0"/>
          <w:sz w:val="22"/>
          <w:szCs w:val="22"/>
          <w:shd w:fill="auto" w:val="clear"/>
          <w:lang w:val="pt-BR" w:eastAsia="zh-CN" w:bidi="ar-SA"/>
        </w:rPr>
        <w:t xml:space="preserve">Trata-se de obra a ser contratada mediante licitação, na modalidade Regime Diferenciado de Contratação – RDC Eletrônico. </w:t>
      </w:r>
      <w:r>
        <w:rPr>
          <w:rFonts w:eastAsia="Times New Roman" w:cs="Arial" w:ascii="Calibri" w:hAnsi="Calibri"/>
          <w:b w:val="false"/>
          <w:i w:val="false"/>
          <w:color w:val="000000"/>
          <w:kern w:val="0"/>
          <w:sz w:val="22"/>
          <w:szCs w:val="22"/>
          <w:lang w:val="pt-BR" w:eastAsia="zh-CN" w:bidi="ar-SA"/>
        </w:rPr>
        <w:t>Para o correto dimensionamento e elaboração de sua proposta, o licitante poderá realizar vistoria nas instalações do local de execução dos serviços, acompanhado por servidor designado para esse fim, de segunda a sexta-feira, das 9h00 horas às 16h00 horas, devendo o agendamento ser efetuado previamente pelo telefone (87) 2101-2392.</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O prazo para vistoria iniciar-se-á no dia útil seguinte ao da publicação do Edital, estendendo-se até o dia útil anterior à data prevista para a abertura da sessão pública.</w:t>
      </w:r>
    </w:p>
    <w:p>
      <w:pPr>
        <w:pStyle w:val="Normal"/>
        <w:numPr>
          <w:ilvl w:val="2"/>
          <w:numId w:val="2"/>
        </w:numPr>
        <w:suppressAutoHyphens w:val="true"/>
        <w:rPr>
          <w:sz w:val="22"/>
          <w:szCs w:val="22"/>
        </w:rPr>
      </w:pPr>
      <w:r>
        <w:rPr>
          <w:rFonts w:eastAsia="Times New Roman" w:cs="Arial" w:ascii="Calibri" w:hAnsi="Calibri"/>
          <w:b w:val="false"/>
          <w:i w:val="false"/>
          <w:color w:val="000000"/>
          <w:kern w:val="0"/>
          <w:sz w:val="22"/>
          <w:szCs w:val="22"/>
          <w:lang w:val="pt-BR" w:eastAsia="zh-CN" w:bidi="ar-SA"/>
        </w:rPr>
        <w:t>Para a vistoria o licitante, ou o seu representante legal, deverá estar devidamente identificado, apresentando documento de identidade civil e documento expedido pela empresa comprovando sua habilitação para a realização da vistoria.</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Normal"/>
        <w:numPr>
          <w:ilvl w:val="1"/>
          <w:numId w:val="2"/>
        </w:numPr>
        <w:tabs>
          <w:tab w:val="clear" w:pos="709"/>
          <w:tab w:val="left" w:pos="852" w:leader="none"/>
        </w:tabs>
        <w:suppressAutoHyphens w:val="true"/>
        <w:spacing w:lineRule="auto" w:line="276" w:before="0" w:after="0"/>
        <w:ind w:left="425" w:hanging="0"/>
        <w:jc w:val="both"/>
        <w:rPr>
          <w:sz w:val="22"/>
          <w:szCs w:val="22"/>
        </w:rPr>
      </w:pPr>
      <w:r>
        <w:rPr>
          <w:rFonts w:eastAsia="Times New Roman" w:cs="Arial" w:ascii="Calibri" w:hAnsi="Calibri"/>
          <w:b w:val="false"/>
          <w:bCs w:val="false"/>
          <w:i w:val="false"/>
          <w:iCs w:val="false"/>
          <w:color w:val="000000"/>
          <w:kern w:val="0"/>
          <w:sz w:val="22"/>
          <w:szCs w:val="22"/>
          <w:lang w:val="pt-BR" w:eastAsia="zh-CN" w:bidi="ar-SA"/>
        </w:rPr>
        <w:t>A licitante deverá declarar que tomou conhecimento de todas as informações e das condições locais para o cumprimento das obrigações objeto da licitação.</w:t>
      </w:r>
      <w:r>
        <w:rPr>
          <w:rFonts w:eastAsia="Times New Roman" w:cs="Arial" w:ascii="Calibri" w:hAnsi="Calibri"/>
          <w:b w:val="false"/>
          <w:i w:val="false"/>
          <w:iCs/>
          <w:color w:val="000000"/>
          <w:kern w:val="0"/>
          <w:sz w:val="22"/>
          <w:szCs w:val="22"/>
          <w:lang w:val="pt-BR" w:eastAsia="zh-CN" w:bidi="ar-SA"/>
        </w:rPr>
        <w:t xml:space="preserve"> </w:t>
      </w:r>
    </w:p>
    <w:p>
      <w:pPr>
        <w:pStyle w:val="Normal"/>
        <w:tabs>
          <w:tab w:val="clear" w:pos="709"/>
          <w:tab w:val="left" w:pos="0" w:leader="none"/>
        </w:tabs>
        <w:suppressAutoHyphens w:val="true"/>
        <w:spacing w:before="0" w:after="0"/>
        <w:ind w:left="360" w:hanging="0"/>
        <w:jc w:val="both"/>
        <w:rPr>
          <w:rFonts w:ascii="Calibri" w:hAnsi="Calibri" w:eastAsia="Times New Roman" w:cs="Arial"/>
          <w:b w:val="false"/>
          <w:b w:val="false"/>
          <w:i w:val="false"/>
          <w:i w:val="false"/>
          <w:color w:val="000000"/>
          <w:kern w:val="0"/>
          <w:sz w:val="22"/>
          <w:szCs w:val="22"/>
          <w:lang w:val="pt-BR" w:eastAsia="zh-CN" w:bidi="ar-SA"/>
        </w:rPr>
      </w:pPr>
      <w:r>
        <w:rPr>
          <w:rFonts w:eastAsia="Times New Roman" w:cs="Arial" w:ascii="Calibri" w:hAnsi="Calibri"/>
          <w:b w:val="false"/>
          <w:i w:val="false"/>
          <w:color w:val="000000"/>
          <w:kern w:val="0"/>
          <w:sz w:val="22"/>
          <w:szCs w:val="22"/>
          <w:lang w:val="pt-BR" w:eastAsia="zh-CN" w:bidi="ar-SA"/>
        </w:rPr>
      </w:r>
    </w:p>
    <w:p>
      <w:pPr>
        <w:pStyle w:val="Normal"/>
        <w:numPr>
          <w:ilvl w:val="0"/>
          <w:numId w:val="2"/>
        </w:numPr>
        <w:tabs>
          <w:tab w:val="clear" w:pos="709"/>
          <w:tab w:val="left" w:pos="456" w:leader="none"/>
        </w:tabs>
        <w:suppressAutoHyphens w:val="true"/>
        <w:spacing w:before="0" w:after="120"/>
        <w:ind w:left="0" w:hanging="0"/>
        <w:jc w:val="both"/>
        <w:rPr>
          <w:sz w:val="22"/>
          <w:szCs w:val="22"/>
        </w:rPr>
      </w:pPr>
      <w:r>
        <w:rPr>
          <w:rFonts w:eastAsia="Times New Roman" w:cs="Arial" w:ascii="Calibri" w:hAnsi="Calibri"/>
          <w:b/>
          <w:bCs/>
          <w:i w:val="false"/>
          <w:color w:val="000000"/>
          <w:kern w:val="0"/>
          <w:sz w:val="22"/>
          <w:szCs w:val="22"/>
          <w:lang w:val="pt-BR" w:eastAsia="zh-CN" w:bidi="ar-SA"/>
        </w:rPr>
        <w:t>OBRIGAÇÕES DA CONTRATANTE</w:t>
      </w:r>
    </w:p>
    <w:p>
      <w:pPr>
        <w:pStyle w:val="Normal"/>
        <w:numPr>
          <w:ilvl w:val="1"/>
          <w:numId w:val="2"/>
        </w:numPr>
        <w:tabs>
          <w:tab w:val="clear" w:pos="709"/>
          <w:tab w:val="left" w:pos="852" w:leader="none"/>
          <w:tab w:val="left" w:pos="1128"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Exigir o cumprimento de todas as obrigações assumidas pela Contratada, de acordo com as cláusulas contratuais e os termos de sua proposta.</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Pagar à Contratada o valor resultante da prestação do serviço, conforme cronograma físico-financeiro;</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Efetuar as retenções tributárias devidas sobre o valor da fatura de serviços da Contratada.</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Não praticar atos de ingerência na administração da Contratada, tais como:</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sz w:val="22"/>
          <w:szCs w:val="22"/>
        </w:rPr>
      </w:pPr>
      <w:r>
        <w:rPr>
          <w:rFonts w:eastAsia="Times New Roman" w:cs="Arial" w:ascii="Calibri" w:hAnsi="Calibri"/>
          <w:b w:val="false"/>
          <w:i w:val="false"/>
          <w:color w:val="000000"/>
          <w:kern w:val="0"/>
          <w:sz w:val="22"/>
          <w:szCs w:val="22"/>
          <w:lang w:val="pt-BR" w:eastAsia="zh-CN" w:bidi="ar-SA"/>
        </w:rPr>
        <w:t>Exercer o poder de mando sobre os empregados da Contratada, devendo reportar-se somente aos prepostos ou responsáveis por ela indicados, exceto quando o objeto da contratação previr o atendimento direto;</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sz w:val="22"/>
          <w:szCs w:val="22"/>
        </w:rPr>
      </w:pPr>
      <w:r>
        <w:rPr>
          <w:rFonts w:eastAsia="Times New Roman" w:cs="Arial" w:ascii="Calibri" w:hAnsi="Calibri"/>
          <w:b w:val="false"/>
          <w:i w:val="false"/>
          <w:color w:val="000000"/>
          <w:kern w:val="0"/>
          <w:sz w:val="22"/>
          <w:szCs w:val="22"/>
          <w:lang w:val="pt-BR" w:eastAsia="zh-CN" w:bidi="ar-SA"/>
        </w:rPr>
        <w:t>Direcionar a contratação de pessoas para trabalhar nas empresas Contratadas;</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sz w:val="22"/>
          <w:szCs w:val="22"/>
        </w:rPr>
      </w:pPr>
      <w:r>
        <w:rPr>
          <w:rFonts w:eastAsia="Times New Roman" w:cs="Arial" w:ascii="Calibri" w:hAnsi="Calibri"/>
          <w:b w:val="false"/>
          <w:i w:val="false"/>
          <w:color w:val="000000"/>
          <w:kern w:val="0"/>
          <w:sz w:val="22"/>
          <w:szCs w:val="22"/>
          <w:lang w:val="pt-BR" w:eastAsia="zh-CN" w:bidi="ar-SA"/>
        </w:rPr>
        <w:t>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sz w:val="22"/>
          <w:szCs w:val="22"/>
        </w:rPr>
      </w:pPr>
      <w:r>
        <w:rPr>
          <w:rFonts w:eastAsia="Times New Roman" w:cs="Arial" w:ascii="Calibri" w:hAnsi="Calibri"/>
          <w:b w:val="false"/>
          <w:i w:val="false"/>
          <w:color w:val="000000"/>
          <w:kern w:val="0"/>
          <w:sz w:val="22"/>
          <w:szCs w:val="22"/>
          <w:lang w:val="pt-BR" w:eastAsia="zh-CN" w:bidi="ar-SA"/>
        </w:rPr>
        <w:t>Considerar os trabalhadores da Contratada como colaboradores eventuais do próprio órgão ou entidade responsável pela contratação, especialmente para efeito de concessão de diárias e passagens.</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Fornecer por escrito as informações necessárias para o desenvolvimento dos serviços objeto do contrato.</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Realizar avaliações periódicas da qualidade dos serviç</w:t>
      </w:r>
      <w:r>
        <w:rPr>
          <w:rFonts w:cs="Arial" w:ascii="Calibri" w:hAnsi="Calibri"/>
          <w:sz w:val="22"/>
          <w:szCs w:val="22"/>
        </w:rPr>
        <w:t>os, após seu recebimento.</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cs="Arial" w:ascii="Calibri" w:hAnsi="Calibri"/>
          <w:sz w:val="22"/>
          <w:szCs w:val="22"/>
        </w:rPr>
        <w:t>Cientificar o órgão de representação judicial da Advocacia-Geral da União para adoção das medidas cabíveis quando do descumprimento das obrigações pela Contratada.</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cs="Arial" w:ascii="Calibri" w:hAnsi="Calibri"/>
          <w:b w:val="false"/>
          <w:i w:val="false"/>
          <w:color w:val="auto"/>
          <w:kern w:val="2"/>
          <w:sz w:val="22"/>
          <w:szCs w:val="22"/>
          <w:lang w:val="pt-BR" w:eastAsia="zh-CN"/>
        </w:rPr>
        <w:t>A</w:t>
      </w:r>
      <w:r>
        <w:rPr>
          <w:rFonts w:cs="Arial" w:ascii="Calibri" w:hAnsi="Calibri"/>
          <w:b w:val="false"/>
          <w:i w:val="false"/>
          <w:iCs/>
          <w:color w:val="auto"/>
          <w:kern w:val="2"/>
          <w:sz w:val="22"/>
          <w:szCs w:val="22"/>
          <w:lang w:val="pt-BR" w:eastAsia="zh-CN"/>
        </w:rPr>
        <w:t>rquivar, entre outros documentos, de projetos, "as built", especificações técnicas, orçamentos, termos de recebimento, contratos e aditamentos, relatórios de inspeções técnicas após o recebimento do serviço e notificações expedidas.</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cs="Arial" w:ascii="Calibri" w:hAnsi="Calibri"/>
          <w:color w:val="auto"/>
          <w:sz w:val="22"/>
          <w:szCs w:val="22"/>
          <w:lang w:val="pt-BR" w:eastAsia="zh-CN"/>
        </w:rPr>
        <w:t>Exigir da Contratada que providencie a seguinte documentação como condição indispensável para o recebimento definitivo de objeto:</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color w:val="auto"/>
          <w:sz w:val="22"/>
          <w:szCs w:val="22"/>
          <w:lang w:val="pt-BR" w:eastAsia="zh-CN"/>
        </w:rPr>
        <w:t>"A</w:t>
      </w:r>
      <w:r>
        <w:rPr>
          <w:rFonts w:cs="Arial" w:ascii="Calibri" w:hAnsi="Calibri"/>
          <w:i/>
          <w:iCs/>
          <w:color w:val="auto"/>
          <w:sz w:val="22"/>
          <w:szCs w:val="22"/>
          <w:lang w:val="pt-BR" w:eastAsia="zh-CN"/>
        </w:rPr>
        <w:t>s built</w:t>
      </w:r>
      <w:r>
        <w:rPr>
          <w:rFonts w:cs="Arial" w:ascii="Calibri" w:hAnsi="Calibri"/>
          <w:color w:val="auto"/>
          <w:sz w:val="22"/>
          <w:szCs w:val="22"/>
          <w:lang w:val="pt-BR" w:eastAsia="zh-CN"/>
        </w:rPr>
        <w:t>", elaborado pelo responsável por sua execução;</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color w:val="auto"/>
          <w:sz w:val="22"/>
          <w:szCs w:val="22"/>
          <w:lang w:val="pt-BR" w:eastAsia="zh-CN"/>
        </w:rPr>
        <w:t>Laudo de vistoria do corpo de bombeiros aprovando a obra;</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color w:val="auto"/>
          <w:sz w:val="22"/>
          <w:szCs w:val="22"/>
          <w:lang w:val="pt-BR" w:eastAsia="zh-CN"/>
        </w:rPr>
        <w:t xml:space="preserve">Carta "habite-se", emitida pela prefeitura; </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color w:val="auto"/>
          <w:sz w:val="22"/>
          <w:szCs w:val="22"/>
          <w:lang w:val="pt-BR" w:eastAsia="zh-CN"/>
        </w:rPr>
        <w:t>Certidão negativa de débitos previdenciários específica para o registro da obra junto ao Cartório de Registro de Imóveis;</w:t>
      </w:r>
    </w:p>
    <w:p>
      <w:pPr>
        <w:pStyle w:val="Normal"/>
        <w:widowControl w:val="false"/>
        <w:numPr>
          <w:ilvl w:val="2"/>
          <w:numId w:val="2"/>
        </w:numPr>
        <w:tabs>
          <w:tab w:val="clear" w:pos="709"/>
          <w:tab w:val="left" w:pos="1980" w:leader="none"/>
        </w:tabs>
        <w:suppressAutoHyphens w:val="true"/>
        <w:spacing w:lineRule="auto" w:line="276" w:before="120" w:after="120"/>
        <w:ind w:left="1134" w:hanging="0"/>
        <w:jc w:val="both"/>
        <w:rPr>
          <w:sz w:val="22"/>
          <w:szCs w:val="22"/>
        </w:rPr>
      </w:pPr>
      <w:r>
        <w:rPr>
          <w:rFonts w:cs="Arial" w:ascii="Calibri" w:hAnsi="Calibri"/>
          <w:b w:val="false"/>
          <w:i w:val="false"/>
          <w:color w:val="auto"/>
          <w:kern w:val="2"/>
          <w:sz w:val="22"/>
          <w:szCs w:val="22"/>
          <w:lang w:val="pt-BR" w:eastAsia="zh-CN"/>
        </w:rPr>
        <w:t>A reparação dos vícios verificados dentro do prazo de garantia da obra, tendo em vista o direito assegurado à Contratante no art. 69 da Lei nº 8.666/93 e no art. 12 da Lei nº 8.078/90 (Código de Defesa do Consumidor)</w:t>
      </w:r>
      <w:r>
        <w:rPr>
          <w:rFonts w:cs="Arial" w:ascii="Calibri" w:hAnsi="Calibri"/>
          <w:b w:val="false"/>
          <w:i w:val="false"/>
          <w:iCs/>
          <w:color w:val="auto"/>
          <w:kern w:val="2"/>
          <w:sz w:val="22"/>
          <w:szCs w:val="22"/>
          <w:lang w:val="pt-BR" w:eastAsia="zh-CN"/>
        </w:rPr>
        <w:t>.</w:t>
      </w:r>
    </w:p>
    <w:p>
      <w:pPr>
        <w:pStyle w:val="Normal"/>
        <w:numPr>
          <w:ilvl w:val="1"/>
          <w:numId w:val="2"/>
        </w:numPr>
        <w:tabs>
          <w:tab w:val="clear" w:pos="709"/>
          <w:tab w:val="left" w:pos="1135" w:leader="none"/>
        </w:tabs>
        <w:suppressAutoHyphens w:val="true"/>
        <w:spacing w:lineRule="auto" w:line="276" w:before="0" w:after="0"/>
        <w:ind w:left="425" w:hanging="0"/>
        <w:jc w:val="both"/>
        <w:rPr>
          <w:sz w:val="22"/>
          <w:szCs w:val="22"/>
        </w:rPr>
      </w:pPr>
      <w:r>
        <w:rPr>
          <w:rFonts w:cs="Arial" w:ascii="Calibri" w:hAnsi="Calibri"/>
          <w:iCs/>
          <w:sz w:val="22"/>
          <w:szCs w:val="22"/>
        </w:rPr>
        <w:t xml:space="preserve">Fiscalizar o </w:t>
      </w:r>
      <w:r>
        <w:rPr>
          <w:rFonts w:cs="Arial" w:ascii="Calibri" w:hAnsi="Calibri"/>
          <w:sz w:val="22"/>
          <w:szCs w:val="22"/>
        </w:rPr>
        <w:t>cumprimento</w:t>
      </w:r>
      <w:r>
        <w:rPr>
          <w:rFonts w:cs="Arial" w:ascii="Calibri" w:hAnsi="Calibri"/>
          <w:iCs/>
          <w:sz w:val="22"/>
          <w:szCs w:val="22"/>
        </w:rPr>
        <w:t xml:space="preserve"> </w:t>
      </w:r>
      <w:r>
        <w:rPr>
          <w:rFonts w:cs="Arial" w:ascii="Calibri" w:hAnsi="Calibri"/>
          <w:iCs/>
          <w:sz w:val="22"/>
          <w:szCs w:val="22"/>
          <w:lang w:val="pt-BR" w:eastAsia="zh-CN"/>
        </w:rPr>
        <w:t>dos requisitos legais, quando a contratada houver se beneficiado da preferência estabelecida pelo art.</w:t>
      </w:r>
      <w:r>
        <w:rPr>
          <w:rFonts w:cs="Arial" w:ascii="Calibri" w:hAnsi="Calibri"/>
          <w:b w:val="false"/>
          <w:i w:val="false"/>
          <w:iCs/>
          <w:color w:val="000000"/>
          <w:sz w:val="22"/>
          <w:szCs w:val="22"/>
          <w:lang w:val="pt-BR" w:eastAsia="zh-CN"/>
        </w:rPr>
        <w:t xml:space="preserve"> 38 da Lei nº 12.462/2011.</w:t>
      </w:r>
    </w:p>
    <w:p>
      <w:pPr>
        <w:pStyle w:val="Normal"/>
        <w:suppressAutoHyphens w:val="true"/>
        <w:ind w:left="714" w:right="-431" w:hanging="11"/>
        <w:jc w:val="both"/>
        <w:rPr>
          <w:rFonts w:ascii="Calibri" w:hAnsi="Calibri" w:cs="Arial"/>
          <w:sz w:val="22"/>
          <w:szCs w:val="22"/>
        </w:rPr>
      </w:pPr>
      <w:r>
        <w:rPr>
          <w:rFonts w:cs="Arial" w:ascii="Calibri" w:hAnsi="Calibri"/>
          <w:sz w:val="22"/>
          <w:szCs w:val="22"/>
        </w:rPr>
      </w:r>
    </w:p>
    <w:p>
      <w:pPr>
        <w:pStyle w:val="Normal"/>
        <w:widowControl/>
        <w:numPr>
          <w:ilvl w:val="0"/>
          <w:numId w:val="2"/>
        </w:numPr>
        <w:tabs>
          <w:tab w:val="clear" w:pos="709"/>
          <w:tab w:val="left" w:pos="396" w:leader="none"/>
        </w:tabs>
        <w:suppressAutoHyphens w:val="true"/>
        <w:bidi w:val="0"/>
        <w:spacing w:before="0" w:after="120"/>
        <w:ind w:left="0" w:right="0" w:hanging="0"/>
        <w:jc w:val="both"/>
        <w:rPr>
          <w:sz w:val="22"/>
          <w:szCs w:val="22"/>
        </w:rPr>
      </w:pPr>
      <w:r>
        <w:rPr>
          <w:rFonts w:cs="Arial" w:ascii="Calibri" w:hAnsi="Calibri"/>
          <w:b/>
          <w:bCs/>
          <w:sz w:val="22"/>
          <w:szCs w:val="22"/>
        </w:rPr>
        <w:t>OBRIGAÇÕES DA CONTRATADA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 xml:space="preserve">Executar o contrato conforme especificações deste Projeto Básico e de sua proposta, com a alocação dos empregados necessários ao perfeito cumprimento das cláusulas contratuais, </w:t>
      </w:r>
      <w:r>
        <w:rPr>
          <w:rFonts w:cs="Arial" w:ascii="Calibri" w:hAnsi="Calibri"/>
          <w:sz w:val="22"/>
          <w:szCs w:val="22"/>
        </w:rPr>
        <w:t>além de fornecer e utilizar os materiais e equipamentos, ferramentas e utensílios necessários, na qualidade e quantidade mínimas especificadas neste Projeto Básico e em sua proposta</w:t>
      </w:r>
      <w:r>
        <w:rPr>
          <w:rFonts w:cs="Arial" w:ascii="Calibri" w:hAnsi="Calibri"/>
          <w:color w:val="000000" w:themeColor="text1"/>
          <w:sz w:val="22"/>
          <w:szCs w:val="22"/>
        </w:rPr>
        <w:t>.</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Reparar, corrigir, remover ou substituir, às suas expensas, no total ou em parte, no prazo fixado pelo fiscal do contrato, os serviços/obras efetuados em que se verificarem vícios, defeitos ou incorreções resultantes da execução ou dos materiais empregados.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Utilizar empregados habilitados e com conhecimentos básicos do objeto a ser executado, em conformidade com as normas e determinações em vigor.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Vedar a utilização, na execução dos serviços, de empregado que seja familiar de agente público ocupante de cargo em comissão ou função de confiança no órgão Contratante, nos termos do artigo 7° do Decreto n° 7.203, de 2010.</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 xml:space="preserve">Quando não for possível a verificação da regularidade no Sistema de Cadastro de Fornecedores – SICAF, a empresa contratada deverá entregar ao setor responsável pela </w:t>
      </w:r>
      <w:r>
        <w:rPr>
          <w:rFonts w:cs="Arial" w:ascii="Calibri" w:hAnsi="Calibri"/>
          <w:i w:val="false"/>
          <w:iCs w:val="false"/>
          <w:color w:val="auto"/>
          <w:sz w:val="22"/>
          <w:szCs w:val="22"/>
        </w:rPr>
        <w:t>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Estadual, Distrital e Municipal do domicílio ou sede do contratado; 4) Certidão de Regularidade do FGTS – CRF; e 5) Certidão Negativa de Débitos Trabalhistas – CNDT</w:t>
      </w:r>
      <w:r>
        <w:rPr>
          <w:rFonts w:eastAsia="Times New Roman" w:cs="Arial" w:ascii="Calibri" w:hAnsi="Calibri"/>
          <w:i w:val="false"/>
          <w:iCs w:val="false"/>
          <w:color w:val="auto"/>
          <w:sz w:val="22"/>
          <w:szCs w:val="22"/>
          <w:lang w:eastAsia="pt-BR"/>
        </w:rPr>
        <w:t>.</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Comunicar ao Fiscal do contrato, no prazo de 24 (vinte e quatro) horas, qualquer ocorrência anormal ou acidente que se verifique no local dos serviços.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Cs/>
          <w:sz w:val="22"/>
          <w:szCs w:val="22"/>
        </w:rPr>
        <w:t>Assegurar aos seus trabalhadores ambiente de trabalho, inclusive equipamentos e instalações, em condições adequadas ao cumprimento das normas de saúde, segurança e bem-estar no trabalho.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Prestar todo esclarecimento ou informação solicitada pela Contratante ou por seus prepostos, garantindo-lhes o acesso, a qualquer tempo, ao local dos trabalhos, bem como aos documentos relativos à execução do empreendimento.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Paralisar, por determinação da Contratante, qualquer atividade que não esteja sendo executada de acordo com a boa técnica ou que ponha em risco a segurança de pessoas ou bens de terceiros.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 xml:space="preserve"> </w:t>
      </w:r>
      <w:r>
        <w:rPr>
          <w:rFonts w:cs="Arial" w:ascii="Calibri" w:hAnsi="Calibri"/>
          <w:color w:val="000000" w:themeColor="text1"/>
          <w:sz w:val="22"/>
          <w:szCs w:val="22"/>
        </w:rPr>
        <w:t>Promover a guarda, manutenção e vigilância de materiais, ferramentas, e tudo o que for necessário à execução dos serviços, durante a vigência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Promover a organização técnica e administrativa dos serviços, de modo a conduzi-los eficaz e eficientemente, de acordo com os documentos e especificações que integram este Projeto Básico, no prazo determinado.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Submeter previamente, por escrito, à Contratante, para análise e aprovação, quaisquer mudanças nos métodos executivos que fujam às especificações do memorial descritivo.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Manter durante toda a vigência do contrato, em compatibilidade com as obrigações assumidas, todas as condições de habilitação e qualificação exigidas na licitação.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Guardar sigilo sobre todas as informações obtidas em decorrência do cumprimento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Arcar com o ônus decorrente de eventual equívoco no dimensionamento dos quantitativos de sua proposta, inclusive quanto aos custos variáveis decorrentes de fatores futuros e incertos, tais como os valores providos com o quantitativo de vale-transporte,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Cumprir, além dos postulados legais vigentes de âmbito federal, estadual ou municipal, as normas de segurança da Contratante.</w:t>
      </w:r>
    </w:p>
    <w:p>
      <w:pPr>
        <w:pStyle w:val="Normal"/>
        <w:numPr>
          <w:ilvl w:val="1"/>
          <w:numId w:val="2"/>
        </w:numPr>
        <w:tabs>
          <w:tab w:val="clear" w:pos="709"/>
          <w:tab w:val="left" w:pos="444" w:leader="none"/>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 w:val="false"/>
          <w:iCs w:val="false"/>
          <w:color w:val="000000" w:themeColor="text1"/>
          <w:sz w:val="22"/>
          <w:szCs w:val="22"/>
          <w:lang w:val="pt-BR" w:eastAsia="zh-CN"/>
        </w:rPr>
        <w:t>Fica assegurado à CONTRATANTE, nos termos do art. 49 da Lei nº 9.610/98:</w:t>
      </w:r>
    </w:p>
    <w:p>
      <w:pPr>
        <w:pStyle w:val="Normal"/>
        <w:widowControl/>
        <w:numPr>
          <w:ilvl w:val="2"/>
          <w:numId w:val="2"/>
        </w:numPr>
        <w:tabs>
          <w:tab w:val="clear" w:pos="709"/>
          <w:tab w:val="left" w:pos="1128" w:leader="none"/>
          <w:tab w:val="left" w:pos="1704" w:leader="none"/>
        </w:tabs>
        <w:suppressAutoHyphens w:val="true"/>
        <w:bidi w:val="0"/>
        <w:spacing w:lineRule="auto" w:line="276" w:before="120" w:after="120"/>
        <w:ind w:left="850" w:right="0" w:hanging="0"/>
        <w:jc w:val="both"/>
        <w:rPr>
          <w:sz w:val="22"/>
          <w:szCs w:val="22"/>
        </w:rPr>
      </w:pPr>
      <w:r>
        <w:rPr>
          <w:rFonts w:cs="Arial" w:ascii="Calibri" w:hAnsi="Calibri"/>
          <w:color w:val="000000"/>
          <w:sz w:val="22"/>
          <w:szCs w:val="22"/>
          <w:lang w:val="pt-BR" w:eastAsia="zh-CN"/>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Normal"/>
        <w:widowControl/>
        <w:numPr>
          <w:ilvl w:val="2"/>
          <w:numId w:val="2"/>
        </w:numPr>
        <w:tabs>
          <w:tab w:val="clear" w:pos="709"/>
          <w:tab w:val="left" w:pos="1128" w:leader="none"/>
          <w:tab w:val="left" w:pos="1704" w:leader="none"/>
        </w:tabs>
        <w:suppressAutoHyphens w:val="true"/>
        <w:bidi w:val="0"/>
        <w:spacing w:lineRule="auto" w:line="276" w:before="120" w:after="120"/>
        <w:ind w:left="850" w:right="0" w:hanging="0"/>
        <w:jc w:val="both"/>
        <w:rPr>
          <w:sz w:val="22"/>
          <w:szCs w:val="22"/>
        </w:rPr>
      </w:pPr>
      <w:r>
        <w:rPr>
          <w:rFonts w:cs="Arial" w:ascii="Calibri" w:hAnsi="Calibri"/>
          <w:color w:val="000000"/>
          <w:sz w:val="22"/>
          <w:szCs w:val="22"/>
          <w:lang w:val="pt-BR" w:eastAsia="zh-CN"/>
        </w:rPr>
        <w:t>Os direitos autorais da solução, do projeto, de suas especificações técnicas, da documentação produzida e congêneres, e dos demais produtos gerados na execução do contrato, inclusive aqueles produzidos por terceiros subcontratados, fi</w:t>
      </w:r>
      <w:r>
        <w:rPr>
          <w:rFonts w:cs="Arial" w:ascii="Calibri" w:hAnsi="Calibri"/>
          <w:i w:val="false"/>
          <w:iCs w:val="false"/>
          <w:color w:val="000000"/>
          <w:sz w:val="22"/>
          <w:szCs w:val="22"/>
          <w:lang w:val="pt-BR" w:eastAsia="zh-CN"/>
        </w:rPr>
        <w:t>cando proibida a sua utilização sem que exista autorização expressa da Contratante, sob pena de multa, sem prejuízo das sanções civis e penais cabíveis.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 w:val="false"/>
          <w:iCs w:val="false"/>
          <w:color w:val="000000"/>
          <w:sz w:val="22"/>
          <w:szCs w:val="22"/>
          <w:lang w:val="pt-BR" w:eastAsia="zh-CN"/>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Manter os empregados nos horários predeterminados pela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Apresentar os empregados devidamente identificados por meio de crachá.</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Apresentar à Contratante, quando for o caso, a relação nominal dos empregados que adentrarão no órgão para a execução do serviço.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Atender às solicitações da Contratante quanto à substituição dos empregados alocados, no prazo fixado pela fiscalização do contrato, nos casos em que ficar constatado descumprimento das obrigações relativas à execução do serviço, conforme descrito neste Projeto Básico.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Manter preposto aceito pela Contratante nos horários e locais de prestação de serviço para representá-la na execução do contrato com capacidade para tomar decisões compatíveis com os compromissos assumidos.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Instruir seus empregados quanto à necessidade de acatar as Normas Internas da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Adotar as providências e precauções necessárias, inclusive consulta nos respectivos órgãos, se necessário for, a fim de que não venham a ser danificadas as redes hidrossanitárias, elétricas e de comunicação.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Providenciar junto ao CREA e/ou ao CAU-BR as Anotações e Registros de Responsabilidade Técnica referentes ao objeto do contrato e especialidades pertinentes, nos termos das normas pertinentes (Leis ns. 6.496/77 e 12.378/2010).</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Obter junto aos órgãos competentes, conforme o caso, as licenças necessárias e demais documentos e autorizações exigíveis, na forma da legislação aplicável.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 xml:space="preserve">Refazer, às suas expensas, os trabalhos executados em desacordo com o estabelecido no instrumento contratual, neste </w:t>
      </w:r>
      <w:r>
        <w:rPr>
          <w:rFonts w:cs="Arial" w:ascii="Calibri" w:hAnsi="Calibri"/>
          <w:color w:val="000000" w:themeColor="text1"/>
          <w:sz w:val="22"/>
          <w:szCs w:val="22"/>
        </w:rPr>
        <w:t>Projeto Básico</w:t>
      </w:r>
      <w:r>
        <w:rPr>
          <w:rFonts w:cs="Arial" w:ascii="Calibri" w:hAnsi="Calibri"/>
          <w:color w:val="000000"/>
          <w:sz w:val="22"/>
          <w:szCs w:val="22"/>
        </w:rPr>
        <w:t xml:space="preserve"> e seus anexos, bem como substituir aqueles realizados com materiais defeituosos ou com vício de construção, pelo prazo de 05 (cinco) anos, contado da data de emissão do Termo de Recebimento Definitivo.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 xml:space="preserve">Cópias autenticadas das notas fiscais de aquisição dos produtos ou subprodutos florestais; </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5, de 15/03/2014, e legislação correlata;</w:t>
      </w:r>
    </w:p>
    <w:p>
      <w:pPr>
        <w:pStyle w:val="ListaColoridanfase11"/>
        <w:widowControl/>
        <w:numPr>
          <w:ilvl w:val="2"/>
          <w:numId w:val="2"/>
        </w:numPr>
        <w:tabs>
          <w:tab w:val="clear" w:pos="709"/>
          <w:tab w:val="left" w:pos="273" w:leader="none"/>
          <w:tab w:val="left" w:pos="1980" w:leader="none"/>
        </w:tabs>
        <w:suppressAutoHyphens w:val="true"/>
        <w:spacing w:lineRule="auto" w:line="276" w:before="120" w:after="120"/>
        <w:ind w:left="1134" w:hanging="0"/>
        <w:contextualSpacing/>
        <w:jc w:val="both"/>
        <w:rPr>
          <w:sz w:val="22"/>
          <w:szCs w:val="22"/>
        </w:rPr>
      </w:pPr>
      <w:r>
        <w:rPr>
          <w:rFonts w:cs="Arial" w:ascii="Calibri" w:hAnsi="Calibri"/>
          <w:color w:val="000000" w:themeColor="text1"/>
          <w:sz w:val="22"/>
          <w:szCs w:val="22"/>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color w:val="000000"/>
          <w:sz w:val="22"/>
          <w:szCs w:val="22"/>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pPr>
        <w:pStyle w:val="ListaColoridanfase11"/>
        <w:widowControl/>
        <w:numPr>
          <w:ilvl w:val="2"/>
          <w:numId w:val="2"/>
        </w:numPr>
        <w:tabs>
          <w:tab w:val="clear" w:pos="709"/>
          <w:tab w:val="left" w:pos="273" w:leader="none"/>
          <w:tab w:val="left" w:pos="1980" w:leader="none"/>
        </w:tabs>
        <w:suppressAutoHyphens w:val="true"/>
        <w:spacing w:lineRule="auto" w:line="276" w:before="120" w:after="120"/>
        <w:ind w:left="1134" w:hanging="0"/>
        <w:contextualSpacing/>
        <w:jc w:val="both"/>
        <w:rPr>
          <w:sz w:val="22"/>
          <w:szCs w:val="22"/>
        </w:rPr>
      </w:pPr>
      <w:r>
        <w:rPr>
          <w:rFonts w:cs="Arial" w:ascii="Calibri" w:hAnsi="Calibri"/>
          <w:color w:val="000000" w:themeColor="text1"/>
          <w:sz w:val="22"/>
          <w:szCs w:val="22"/>
        </w:rPr>
        <w:t>Apenas se houver dúvida fundada acerca da autenticidade dos documentos acima, conforme art. 9º do Decreto nº 9.094/17, poderá haver solicitação de cópia autenticada por cartório ou pelo servidor, mediante comparação com o original.</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cs="Arial" w:ascii="Calibri" w:hAnsi="Calibri"/>
          <w:sz w:val="22"/>
          <w:szCs w:val="22"/>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pPr>
        <w:pStyle w:val="Normal"/>
        <w:numPr>
          <w:ilvl w:val="2"/>
          <w:numId w:val="2"/>
        </w:numPr>
        <w:tabs>
          <w:tab w:val="clear" w:pos="709"/>
          <w:tab w:val="left" w:pos="273" w:leader="none"/>
          <w:tab w:val="left" w:pos="1560"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pPr>
        <w:pStyle w:val="Normal"/>
        <w:numPr>
          <w:ilvl w:val="2"/>
          <w:numId w:val="2"/>
        </w:numPr>
        <w:tabs>
          <w:tab w:val="clear" w:pos="709"/>
          <w:tab w:val="left" w:pos="273" w:leader="none"/>
          <w:tab w:val="left" w:pos="1560"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pPr>
        <w:pStyle w:val="Normal"/>
        <w:numPr>
          <w:ilvl w:val="3"/>
          <w:numId w:val="2"/>
        </w:numPr>
        <w:tabs>
          <w:tab w:val="clear" w:pos="709"/>
          <w:tab w:val="left" w:pos="2410" w:leader="none"/>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 xml:space="preserve">Resíduos Classe A (reutilizáveis ou recicláveis como agregados): deverão ser reutilizados ou reciclados na forma de agregados, ou encaminhados a aterros de resíduos classe A de reservação de material para usos futuros; </w:t>
      </w:r>
    </w:p>
    <w:p>
      <w:pPr>
        <w:pStyle w:val="Normal"/>
        <w:numPr>
          <w:ilvl w:val="3"/>
          <w:numId w:val="2"/>
        </w:numPr>
        <w:tabs>
          <w:tab w:val="clear" w:pos="709"/>
          <w:tab w:val="left" w:pos="2410" w:leader="none"/>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Resíduos Classe B (recicláveis para outras destinações): deverão ser reutilizados, reciclados ou encaminhados a áreas de armazenamento temporário, sendo dispostos de modo a permitir a sua utilização ou reciclagem futura;</w:t>
      </w:r>
    </w:p>
    <w:p>
      <w:pPr>
        <w:pStyle w:val="Normal"/>
        <w:numPr>
          <w:ilvl w:val="3"/>
          <w:numId w:val="2"/>
        </w:numPr>
        <w:tabs>
          <w:tab w:val="clear" w:pos="709"/>
          <w:tab w:val="left" w:pos="2410" w:leader="none"/>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Resíduos Classe C (para os quais não foram desenvolvidas tecnologias ou aplicações economicamente viáveis que permitam a sua reciclagem/recuperação): deverão ser armazenados, transportados e destinados em conformidade com as normas técnicas específicas;</w:t>
      </w:r>
    </w:p>
    <w:p>
      <w:pPr>
        <w:pStyle w:val="Normal"/>
        <w:widowControl/>
        <w:numPr>
          <w:ilvl w:val="3"/>
          <w:numId w:val="2"/>
        </w:numPr>
        <w:tabs>
          <w:tab w:val="clear" w:pos="709"/>
          <w:tab w:val="left" w:pos="2410" w:leader="none"/>
          <w:tab w:val="left" w:pos="2664" w:leader="none"/>
        </w:tabs>
        <w:suppressAutoHyphens w:val="true"/>
        <w:spacing w:lineRule="auto" w:line="276" w:before="120" w:after="120"/>
        <w:ind w:left="1701" w:hanging="0"/>
        <w:jc w:val="both"/>
        <w:rPr>
          <w:sz w:val="22"/>
          <w:szCs w:val="22"/>
        </w:rPr>
      </w:pPr>
      <w:r>
        <w:rPr>
          <w:rFonts w:cs="Arial" w:ascii="Calibri" w:hAnsi="Calibri"/>
          <w:color w:val="000000" w:themeColor="text1"/>
          <w:sz w:val="22"/>
          <w:szCs w:val="22"/>
        </w:rPr>
        <w:t>Resíduos Classe D (perigosos, contaminados ou prejudiciais à saúde): deverão ser armazenados, transportados, reutilizados e destinados em conformidade com as normas técnicas específicas.</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Em nenhuma hipótese a Contratada poderá dispor os resíduos originários da contratação em aterros de resíduos sólidos urbanos, áreas de “bota fora”, encostas, corpos d´água, lotes vagos e áreas protegidas por Lei, bem como em áreas não licenciadas;</w:t>
      </w:r>
    </w:p>
    <w:p>
      <w:pPr>
        <w:pStyle w:val="Normal"/>
        <w:widowContro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color w:val="000000" w:themeColor="text1"/>
          <w:sz w:val="22"/>
          <w:szCs w:val="22"/>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Observar as seguintes diretrizes de caráter ambiental:</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pPr>
        <w:pStyle w:val="Normal"/>
        <w:widowContro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color w:val="000000" w:themeColor="text1"/>
          <w:sz w:val="22"/>
          <w:szCs w:val="22"/>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Pr>
          <w:rFonts w:cs="Arial" w:ascii="Calibri" w:hAnsi="Calibri"/>
          <w:color w:val="000000" w:themeColor="text1"/>
          <w:sz w:val="22"/>
          <w:szCs w:val="22"/>
        </w:rPr>
        <w:t>Projeto Básico</w:t>
      </w:r>
      <w:r>
        <w:rPr>
          <w:rFonts w:cs="Arial" w:ascii="Calibri" w:hAnsi="Calibri"/>
          <w:sz w:val="22"/>
          <w:szCs w:val="22"/>
        </w:rPr>
        <w:t xml:space="preserve"> e demais documentos anexos.</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Cumprir o Acordo, Dissídio, Convenção Coletiva ou equivalente, relativo à categoria profissional abrangida no contrato bem como da legislação em vigor e não havendo na região Acordo, Dissídio ou Convenção Coletiva relativa à categoria profissional abrangida no contrato, garantir os direitos trabalhistas, fixado em regulamento de trabalho ou profissão de natureza similar da região mais próxima.</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Reconhecer sua responsabilidade exclusiva da contratada sobre a quitação dos encargos trabalhistas e sociais decorrentes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Apresentar a comprovação, conforme solicitado pela contratada, do cumprimento das obrigações trabalhistas, previdenciárias e para com o FGTS, em relação aos empregados da contratada que efetivamente participarem da execução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Observar os preceitos da legislação sobre a jornada de trabalho, conforme a categoria profissional.</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Subcontratar somente empresas que aceitem expressamente as obrigações estabelecidas na Instrução Normativa SEGES/MP nº 6, de 6 de julho de 2018.</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Inscrever a Obra no Cadastro Nacional de Obras – CNO da Receita Federal do Brasil em até 30 (trinta) dias contados do início das atividades, em conformidade com a Instrução Normativa RFB nº 1845, de 22 de Novembro de 2018.</w:t>
      </w:r>
    </w:p>
    <w:p>
      <w:pPr>
        <w:pStyle w:val="Normal"/>
        <w:widowControl w:val="false"/>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kern w:val="2"/>
          <w:sz w:val="22"/>
          <w:szCs w:val="22"/>
          <w:lang w:val="pt-BR" w:eastAsia="zh-CN"/>
        </w:rPr>
        <w:t>Elaborar “as built”, ao final da obra, em conformidade com a NBR 14645-1:2001 da ABNT.</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 w:val="false"/>
          <w:iCs w:val="false"/>
          <w:color w:val="auto"/>
          <w:sz w:val="22"/>
          <w:szCs w:val="22"/>
          <w:lang w:val="pt-BR" w:eastAsia="zh-CN"/>
        </w:rPr>
        <w:t>Fornecer</w:t>
      </w:r>
      <w:r>
        <w:rPr>
          <w:rFonts w:cs="Arial" w:ascii="Calibri" w:hAnsi="Calibri"/>
          <w:i w:val="false"/>
          <w:iCs w:val="false"/>
          <w:color w:val="auto"/>
          <w:sz w:val="22"/>
          <w:szCs w:val="22"/>
        </w:rPr>
        <w:t xml:space="preserve"> os projetos executivos desenvolvidos pela contratada,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w:t>
      </w:r>
      <w:r>
        <w:rPr>
          <w:rFonts w:cs="Arial" w:ascii="Calibri" w:hAnsi="Calibri"/>
          <w:i w:val="false"/>
          <w:iCs w:val="false"/>
          <w:color w:val="auto"/>
          <w:sz w:val="22"/>
          <w:szCs w:val="22"/>
          <w:lang w:val="pt-BR" w:eastAsia="zh-CN"/>
        </w:rPr>
        <w:t>nos trabalhos:</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i w:val="false"/>
          <w:iCs w:val="false"/>
          <w:color w:val="000000"/>
          <w:sz w:val="22"/>
          <w:szCs w:val="22"/>
          <w:shd w:fill="auto" w:val="clear"/>
          <w:lang w:val="pt-BR" w:eastAsia="zh-CN"/>
        </w:rPr>
        <w:t>A elaboração dos projetos executivos deverá partir das soluções desenvolvidas nos anteprojetos constantes neste Projeto Básico e seus anexos (Caderno de Encargos e Especificações Técnicas) e apresentar o detalhamento dos elementos construtivos e especificações técnicas, incorporando as alterações exigidas pelas mútuas interferências entre os diversos projetos.</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i w:val="false"/>
          <w:iCs w:val="false"/>
          <w:color w:val="000000"/>
          <w:sz w:val="22"/>
          <w:szCs w:val="22"/>
          <w:shd w:fill="auto" w:val="clear"/>
          <w:lang w:val="pt-BR" w:eastAsia="zh-CN"/>
        </w:rPr>
        <w:t xml:space="preserve"> </w:t>
      </w:r>
      <w:r>
        <w:rPr>
          <w:rFonts w:cs="Arial" w:ascii="Calibri" w:hAnsi="Calibri"/>
          <w:i w:val="false"/>
          <w:iCs w:val="false"/>
          <w:color w:val="000000"/>
          <w:sz w:val="22"/>
          <w:szCs w:val="22"/>
          <w:shd w:fill="auto" w:val="clear"/>
          <w:lang w:val="pt-BR" w:eastAsia="zh-CN"/>
        </w:rPr>
        <w:t>A</w:t>
      </w:r>
      <w:r>
        <w:rPr>
          <w:rFonts w:cs="Arial" w:ascii="Calibri" w:hAnsi="Calibri"/>
          <w:b w:val="false"/>
          <w:i w:val="false"/>
          <w:iCs w:val="false"/>
          <w:color w:val="000000"/>
          <w:sz w:val="22"/>
          <w:szCs w:val="22"/>
          <w:shd w:fill="auto" w:val="clear"/>
          <w:lang w:val="pt-BR" w:eastAsia="zh-CN"/>
        </w:rPr>
        <w:t xml:space="preserve"> execução de cada etapa será precedida de projeto executivo para a etapa e da conclusão e aprovação, pelo órgão ou entidade contratante, dos trabalhos relativos às etapas anteriores;</w:t>
      </w:r>
    </w:p>
    <w:p>
      <w:pPr>
        <w:pStyle w:val="Normal"/>
        <w:widowControl/>
        <w:numPr>
          <w:ilvl w:val="2"/>
          <w:numId w:val="2"/>
        </w:numPr>
        <w:tabs>
          <w:tab w:val="clear" w:pos="709"/>
          <w:tab w:val="left" w:pos="273" w:leader="none"/>
          <w:tab w:val="left" w:pos="1701" w:leader="none"/>
          <w:tab w:val="left" w:pos="1865"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zh-CN"/>
        </w:rPr>
        <w:t xml:space="preserve"> </w:t>
      </w:r>
      <w:r>
        <w:rPr>
          <w:rFonts w:cs="Arial" w:ascii="Calibri" w:hAnsi="Calibri"/>
          <w:b w:val="false"/>
          <w:i w:val="false"/>
          <w:iCs w:val="false"/>
          <w:color w:val="000000"/>
          <w:sz w:val="22"/>
          <w:szCs w:val="22"/>
          <w:shd w:fill="auto" w:val="clear"/>
          <w:lang w:val="pt-BR" w:eastAsia="zh-CN"/>
        </w:rPr>
        <w:t>O projeto executivo de etapa posterior poderá ser desenvolvido concomitantemente com a execução das obras e serviços de etapa anterior, desde que autorizado pelo contratante.</w:t>
      </w:r>
    </w:p>
    <w:p>
      <w:pPr>
        <w:pStyle w:val="Norma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i w:val="false"/>
          <w:iCs w:val="false"/>
          <w:color w:val="000000"/>
          <w:sz w:val="22"/>
          <w:szCs w:val="22"/>
          <w:shd w:fill="auto" w:val="clear"/>
          <w:lang w:val="pt-BR" w:eastAsia="zh-CN"/>
        </w:rP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inciso III do § 4º do art. 42 do Decreto nº 7.541/2011.</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sz w:val="22"/>
          <w:szCs w:val="22"/>
          <w:shd w:fill="auto" w:val="clear"/>
          <w:lang w:val="pt-BR" w:eastAsia="zh-CN"/>
        </w:rPr>
        <w:t>Após a assinatura do contrato, a contratada deverá participar de reunião inicial com a contratante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sz w:val="22"/>
          <w:szCs w:val="22"/>
          <w:shd w:fill="auto" w:val="clear"/>
          <w:lang w:val="pt-BR" w:eastAsia="zh-CN"/>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sz w:val="22"/>
          <w:szCs w:val="22"/>
          <w:shd w:fill="auto" w:val="clear"/>
          <w:lang w:val="pt-BR" w:eastAsia="zh-CN"/>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pPr>
        <w:pStyle w:val="Normal"/>
        <w:widowContro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b w:val="false"/>
          <w:i w:val="false"/>
          <w:iCs w:val="false"/>
          <w:color w:val="000000"/>
          <w:sz w:val="22"/>
          <w:szCs w:val="22"/>
          <w:shd w:fill="auto" w:val="clear"/>
          <w:lang w:val="pt-BR" w:eastAsia="zh-CN"/>
        </w:rPr>
        <w:t>Responsabilizar-se pela padronização, pela compatibilidade, pelo gerenciamento centralizado e pela qualidade da subcontratação.</w:t>
      </w:r>
    </w:p>
    <w:p>
      <w:pPr>
        <w:pStyle w:val="Normal"/>
        <w:widowControl/>
        <w:numPr>
          <w:ilvl w:val="0"/>
          <w:numId w:val="0"/>
        </w:numPr>
        <w:tabs>
          <w:tab w:val="clear" w:pos="709"/>
          <w:tab w:val="left" w:pos="1128" w:leader="none"/>
        </w:tabs>
        <w:suppressAutoHyphens w:val="true"/>
        <w:spacing w:lineRule="auto" w:line="276" w:before="0" w:after="0"/>
        <w:ind w:left="857" w:hanging="0"/>
        <w:jc w:val="both"/>
        <w:rPr>
          <w:rFonts w:cs="Arial"/>
          <w:b w:val="false"/>
          <w:b w:val="false"/>
          <w:i w:val="false"/>
          <w:i w:val="false"/>
          <w:iCs w:val="false"/>
          <w:color w:val="auto"/>
          <w:sz w:val="22"/>
          <w:szCs w:val="22"/>
          <w:shd w:fill="auto" w:val="clear"/>
          <w:lang w:val="pt-BR" w:eastAsia="zh-CN"/>
        </w:rPr>
      </w:pPr>
      <w:r>
        <w:rPr>
          <w:rFonts w:cs="Arial"/>
          <w:b w:val="false"/>
          <w:i w:val="false"/>
          <w:iCs w:val="false"/>
          <w:color w:val="000000"/>
          <w:sz w:val="22"/>
          <w:szCs w:val="22"/>
          <w:shd w:fill="auto" w:val="clear"/>
          <w:lang w:val="pt-BR" w:eastAsia="zh-CN"/>
        </w:rPr>
      </w:r>
    </w:p>
    <w:p>
      <w:pPr>
        <w:pStyle w:val="Nivel1"/>
        <w:numPr>
          <w:ilvl w:val="0"/>
          <w:numId w:val="2"/>
        </w:numPr>
        <w:suppressAutoHyphens w:val="true"/>
        <w:spacing w:lineRule="auto" w:line="240" w:before="24" w:after="0"/>
        <w:rPr>
          <w:sz w:val="22"/>
          <w:szCs w:val="22"/>
        </w:rPr>
      </w:pPr>
      <w:r>
        <w:rPr>
          <w:rFonts w:cs="Arial" w:ascii="Calibri" w:hAnsi="Calibri"/>
          <w:sz w:val="22"/>
          <w:szCs w:val="22"/>
        </w:rPr>
        <w:t>DA SUBCONTRATAÇÃO</w:t>
      </w:r>
    </w:p>
    <w:p>
      <w:pPr>
        <w:pStyle w:val="ListParagraph"/>
        <w:numPr>
          <w:ilvl w:val="1"/>
          <w:numId w:val="2"/>
        </w:numPr>
        <w:tabs>
          <w:tab w:val="clear" w:pos="709"/>
          <w:tab w:val="left" w:pos="1135" w:leader="none"/>
        </w:tabs>
        <w:suppressAutoHyphens w:val="true"/>
        <w:spacing w:lineRule="auto" w:line="276" w:before="120" w:after="120"/>
        <w:ind w:left="425" w:hanging="0"/>
        <w:contextualSpacing/>
        <w:jc w:val="both"/>
        <w:rPr>
          <w:sz w:val="22"/>
          <w:szCs w:val="22"/>
        </w:rPr>
      </w:pPr>
      <w:r>
        <w:rPr>
          <w:rFonts w:cs="Arial" w:ascii="Calibri" w:hAnsi="Calibri"/>
          <w:i w:val="false"/>
          <w:iCs w:val="false"/>
          <w:color w:val="000000"/>
          <w:sz w:val="22"/>
          <w:szCs w:val="22"/>
          <w:lang w:val="pt-BR" w:eastAsia="zh-CN"/>
        </w:rPr>
        <w:t>É permitida a subcontratação parcial do objeto, até o limite de 30% (trinta por cento) do valor total do contrato, nas seguintes condições:</w:t>
      </w:r>
    </w:p>
    <w:p>
      <w:pPr>
        <w:pStyle w:val="Normal"/>
        <w:numPr>
          <w:ilvl w:val="2"/>
          <w:numId w:val="2"/>
        </w:numPr>
        <w:tabs>
          <w:tab w:val="clear" w:pos="709"/>
          <w:tab w:val="left" w:pos="273" w:leader="none"/>
          <w:tab w:val="left" w:pos="1701" w:leader="none"/>
          <w:tab w:val="left" w:pos="1702" w:leader="none"/>
          <w:tab w:val="left" w:pos="1865"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zh-CN"/>
        </w:rPr>
        <w:t xml:space="preserve">É vedada a sub-rogação completa ou da </w:t>
      </w:r>
      <w:r>
        <w:rPr>
          <w:rFonts w:cs="Arial" w:ascii="Calibri" w:hAnsi="Calibri"/>
          <w:i w:val="false"/>
          <w:iCs w:val="false"/>
          <w:color w:val="000000" w:themeColor="text1"/>
          <w:sz w:val="22"/>
          <w:szCs w:val="22"/>
          <w:shd w:fill="auto" w:val="clear"/>
          <w:lang w:val="pt-BR" w:eastAsia="zh-CN"/>
        </w:rPr>
        <w:t>parcela principal da obrigação.</w:t>
      </w:r>
    </w:p>
    <w:p>
      <w:pPr>
        <w:pStyle w:val="Normal"/>
        <w:numPr>
          <w:ilvl w:val="1"/>
          <w:numId w:val="2"/>
        </w:numPr>
        <w:tabs>
          <w:tab w:val="clear" w:pos="709"/>
          <w:tab w:val="left" w:pos="1135" w:leader="none"/>
        </w:tabs>
        <w:suppressAutoHyphens w:val="true"/>
        <w:spacing w:before="120" w:after="120"/>
        <w:ind w:left="425" w:hanging="0"/>
        <w:jc w:val="both"/>
        <w:rPr>
          <w:sz w:val="22"/>
          <w:szCs w:val="22"/>
        </w:rPr>
      </w:pPr>
      <w:r>
        <w:rPr>
          <w:rFonts w:cs="Arial" w:ascii="Calibri" w:hAnsi="Calibri"/>
          <w:i w:val="false"/>
          <w:color w:val="000000"/>
          <w:sz w:val="22"/>
          <w:szCs w:val="22"/>
          <w:lang w:val="pt-BR" w:eastAsia="zh-CN"/>
        </w:rPr>
        <w:t xml:space="preserve">A subcontratação depende de autorização prévia da Contratante, a quem incumbe avaliar se a subcontratada cumpre os requisitos de qualificação técnica necessários para a execução do objeto. </w:t>
      </w:r>
    </w:p>
    <w:p>
      <w:pPr>
        <w:pStyle w:val="Normal"/>
        <w:numPr>
          <w:ilvl w:val="2"/>
          <w:numId w:val="2"/>
        </w:numPr>
        <w:tabs>
          <w:tab w:val="clear" w:pos="709"/>
          <w:tab w:val="left" w:pos="273" w:leader="none"/>
          <w:tab w:val="left" w:pos="1701" w:leader="none"/>
          <w:tab w:val="left" w:pos="1865"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zh-CN"/>
        </w:rPr>
        <w:t>S</w:t>
      </w:r>
      <w:r>
        <w:rPr>
          <w:rFonts w:cs="Arial" w:ascii="Calibri" w:hAnsi="Calibri"/>
          <w:b w:val="false"/>
          <w:i w:val="false"/>
          <w:iCs/>
          <w:color w:val="000000"/>
          <w:sz w:val="22"/>
          <w:szCs w:val="22"/>
          <w:shd w:fill="auto" w:val="clear"/>
          <w:lang w:val="pt-BR" w:eastAsia="zh-CN"/>
        </w:rPr>
        <w:t>omente será autorizada a subcontratação de empresas que expressamente aceitem o cumprimento das cláusulas assecuratórias de direitos trabalhistas, previstas na Instrução Normativa SEGES/MP nº 6, de 6 de julho de 2018.</w:t>
      </w:r>
    </w:p>
    <w:p>
      <w:pPr>
        <w:pStyle w:val="Normal"/>
        <w:numPr>
          <w:ilvl w:val="1"/>
          <w:numId w:val="2"/>
        </w:numPr>
        <w:tabs>
          <w:tab w:val="clear" w:pos="709"/>
          <w:tab w:val="left" w:pos="1135" w:leader="none"/>
        </w:tabs>
        <w:suppressAutoHyphens w:val="true"/>
        <w:spacing w:before="0" w:after="0"/>
        <w:ind w:left="425" w:hanging="0"/>
        <w:jc w:val="both"/>
        <w:rPr>
          <w:sz w:val="22"/>
          <w:szCs w:val="22"/>
        </w:rPr>
      </w:pPr>
      <w:r>
        <w:rPr>
          <w:rFonts w:cs="Arial" w:ascii="Calibri" w:hAnsi="Calibri"/>
          <w:i w:val="false"/>
          <w:color w:val="000000"/>
          <w:sz w:val="22"/>
          <w:szCs w:val="22"/>
          <w:lang w:val="pt-BR" w:eastAsia="zh-CN"/>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pPr>
        <w:pStyle w:val="Normal"/>
        <w:numPr>
          <w:ilvl w:val="0"/>
          <w:numId w:val="0"/>
        </w:numPr>
        <w:tabs>
          <w:tab w:val="clear" w:pos="709"/>
          <w:tab w:val="left" w:pos="1135" w:leader="none"/>
        </w:tabs>
        <w:suppressAutoHyphens w:val="true"/>
        <w:spacing w:before="0" w:after="0"/>
        <w:ind w:left="857" w:hanging="0"/>
        <w:jc w:val="both"/>
        <w:rPr>
          <w:rFonts w:cs="Arial"/>
          <w:i w:val="false"/>
          <w:i w:val="false"/>
          <w:color w:val="000000"/>
          <w:sz w:val="22"/>
          <w:szCs w:val="22"/>
          <w:lang w:val="pt-BR" w:eastAsia="zh-CN"/>
        </w:rPr>
      </w:pPr>
      <w:r>
        <w:rPr>
          <w:rFonts w:cs="Arial"/>
          <w:i w:val="false"/>
          <w:color w:val="000000"/>
          <w:sz w:val="22"/>
          <w:szCs w:val="22"/>
          <w:lang w:val="pt-BR" w:eastAsia="zh-CN"/>
        </w:rPr>
      </w:r>
    </w:p>
    <w:p>
      <w:pPr>
        <w:pStyle w:val="Nivel1"/>
        <w:numPr>
          <w:ilvl w:val="0"/>
          <w:numId w:val="2"/>
        </w:numPr>
        <w:suppressAutoHyphens w:val="true"/>
        <w:spacing w:lineRule="auto" w:line="240" w:before="24" w:after="0"/>
        <w:rPr>
          <w:sz w:val="22"/>
          <w:szCs w:val="22"/>
        </w:rPr>
      </w:pPr>
      <w:r>
        <w:rPr>
          <w:rFonts w:cs="Arial" w:ascii="Calibri" w:hAnsi="Calibri"/>
          <w:sz w:val="22"/>
          <w:szCs w:val="22"/>
        </w:rPr>
        <w:t>ALTERAÇÃO SUBJETIVA</w:t>
      </w:r>
    </w:p>
    <w:p>
      <w:pPr>
        <w:pStyle w:val="ListParagraph"/>
        <w:numPr>
          <w:ilvl w:val="1"/>
          <w:numId w:val="2"/>
        </w:numPr>
        <w:tabs>
          <w:tab w:val="clear" w:pos="709"/>
          <w:tab w:val="left" w:pos="1135" w:leader="none"/>
          <w:tab w:val="left" w:pos="1418" w:leader="none"/>
        </w:tabs>
        <w:suppressAutoHyphens w:val="true"/>
        <w:spacing w:lineRule="auto" w:line="276" w:before="120" w:after="120"/>
        <w:ind w:left="425" w:hanging="0"/>
        <w:contextualSpacing/>
        <w:jc w:val="both"/>
        <w:rPr>
          <w:sz w:val="22"/>
          <w:szCs w:val="22"/>
        </w:rPr>
      </w:pPr>
      <w:r>
        <w:rPr>
          <w:rFonts w:cs="Arial" w:ascii="Calibri" w:hAnsi="Calibri"/>
          <w:b w:val="false"/>
          <w:i w:val="false"/>
          <w:iCs w:val="false"/>
          <w:color w:val="000000"/>
          <w:sz w:val="22"/>
          <w:szCs w:val="22"/>
          <w:lang w:val="pt-BR" w:eastAsia="en-US"/>
        </w:rPr>
        <w:t>N</w:t>
      </w:r>
      <w:r>
        <w:rPr>
          <w:rFonts w:cs="Arial" w:ascii="Calibri" w:hAnsi="Calibri"/>
          <w:b w:val="false"/>
          <w:i w:val="false"/>
          <w:color w:val="000000"/>
          <w:sz w:val="22"/>
          <w:szCs w:val="22"/>
          <w:lang w:val="pt-BR" w:eastAsia="en-US"/>
        </w:rPr>
        <w:t>ão haverá rescisão contratual em razão de fusão, cisão ou incorporação do contratado, ou de substituição de consorciado, desde que mantidas as condições de habilitação previamente atestadas.</w:t>
      </w:r>
    </w:p>
    <w:p>
      <w:pPr>
        <w:pStyle w:val="ListParagraph"/>
        <w:numPr>
          <w:ilvl w:val="0"/>
          <w:numId w:val="0"/>
        </w:numPr>
        <w:tabs>
          <w:tab w:val="clear" w:pos="709"/>
          <w:tab w:val="left" w:pos="1135" w:leader="none"/>
          <w:tab w:val="left" w:pos="1418" w:leader="none"/>
        </w:tabs>
        <w:suppressAutoHyphens w:val="true"/>
        <w:spacing w:lineRule="auto" w:line="276" w:before="0" w:after="0"/>
        <w:ind w:left="857" w:hanging="0"/>
        <w:contextualSpacing/>
        <w:jc w:val="both"/>
        <w:rPr>
          <w:b w:val="false"/>
          <w:b w:val="false"/>
          <w:i w:val="false"/>
          <w:i w:val="false"/>
          <w:color w:val="000000"/>
          <w:sz w:val="22"/>
          <w:szCs w:val="22"/>
        </w:rPr>
      </w:pPr>
      <w:r>
        <w:rPr>
          <w:b w:val="false"/>
          <w:i w:val="false"/>
          <w:color w:val="000000"/>
          <w:sz w:val="22"/>
          <w:szCs w:val="22"/>
        </w:rPr>
      </w:r>
    </w:p>
    <w:p>
      <w:pPr>
        <w:pStyle w:val="Nivel1"/>
        <w:numPr>
          <w:ilvl w:val="0"/>
          <w:numId w:val="2"/>
        </w:numPr>
        <w:tabs>
          <w:tab w:val="clear" w:pos="709"/>
          <w:tab w:val="left" w:pos="545" w:leader="none"/>
        </w:tabs>
        <w:suppressAutoHyphens w:val="true"/>
        <w:spacing w:lineRule="auto" w:line="240" w:before="0" w:after="0"/>
        <w:rPr>
          <w:sz w:val="22"/>
          <w:szCs w:val="22"/>
        </w:rPr>
      </w:pPr>
      <w:r>
        <w:rPr>
          <w:rFonts w:cs="Arial" w:ascii="Calibri" w:hAnsi="Calibri"/>
          <w:bCs/>
          <w:color w:val="000000" w:themeColor="text1"/>
          <w:sz w:val="22"/>
          <w:szCs w:val="22"/>
          <w:lang w:eastAsia="en-US"/>
        </w:rPr>
        <w:t>CONTROLE E FISCALIZAÇÃO DA EXECUÇÃO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val="false"/>
          <w:color w:val="000000"/>
          <w:sz w:val="22"/>
          <w:szCs w:val="22"/>
          <w:shd w:fill="auto" w:val="clear"/>
          <w:lang w:val="pt-BR" w:eastAsia="pt-BR"/>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O representante da Contratante deverá ter a qualificação necessária para o acompanhamento e controle da execução dos serviços e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val="false"/>
          <w:color w:val="000000"/>
          <w:sz w:val="22"/>
          <w:szCs w:val="22"/>
          <w:shd w:fill="auto" w:val="clear"/>
          <w:lang w:val="pt-BR" w:eastAsia="pt-BR"/>
        </w:rPr>
        <w:t>A verificação da adequação da prestação do serviço deverá ser realizada com base nos critérios previstos neste Projeto Básico.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A conformidade do material/técnica/equipamento a ser utilizado na execução dos serviços deverá ser verificada juntamente com o documento da Contratada que contenha a relação detalhada dos mesmos, de acordo com o estabelecido neste Projeto Básico, informando as respectivas quantidades e especificações técnicas, tais como: marca, qualidade e forma de uso.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O representante da Contratante deverá promover o registro das ocorrências verificadas, adotando as providências necessárias ao fiel cumprimento das cláusulas contratuais, conforme o disposto nos §§ 1º e 2º do art. 67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O descumprimento total ou parcial das obrigações e responsabilidades assumidas pela Contratada, sobretudo quanto às obrigações e encargos sociais e trabalhistas, ensejará a aplicação de sanções administrativas, previstas neste Projeto Básico e na legislação vigente, podendo culminar em rescisão contratual, conforme disposto nos artigos 77 e 87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O fiscal técnico deverá apresentar ao preposto da CONTRATADA a avaliação da execução do objeto ou, se for o caso, a avaliação de desempenho e qualidade da prestação dos serviços realizada.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Em hipótese alguma, será admitido que a própria CONTRATADA materialize a avaliação de desempenho e qualidade da prestação dos serviços realizada.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O fiscal técnico poderá realizar avaliação diária, semanal ou mensal, desde que o período escolhido seja suficiente para avaliar ou, se for o caso, aferir o desempenho e qualidade da prestação dos serviços.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Cumpre, ainda, à fiscalização:</w:t>
      </w:r>
    </w:p>
    <w:p>
      <w:pPr>
        <w:pStyle w:val="Normal"/>
        <w:numPr>
          <w:ilvl w:val="2"/>
          <w:numId w:val="2"/>
        </w:numPr>
        <w:tabs>
          <w:tab w:val="clear" w:pos="709"/>
          <w:tab w:val="left" w:pos="273" w:leader="none"/>
          <w:tab w:val="left" w:pos="1701" w:leader="none"/>
          <w:tab w:val="left" w:pos="198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en-US"/>
        </w:rPr>
        <w:t>S</w:t>
      </w:r>
      <w:r>
        <w:rPr>
          <w:rFonts w:cs="Arial" w:ascii="Calibri" w:hAnsi="Calibri"/>
          <w:b w:val="false"/>
          <w:i w:val="false"/>
          <w:iCs/>
          <w:color w:val="000000"/>
          <w:sz w:val="22"/>
          <w:szCs w:val="22"/>
          <w:shd w:fill="auto" w:val="clear"/>
          <w:lang w:val="pt-BR" w:eastAsia="en-US"/>
        </w:rPr>
        <w:t>olicitar, mensalmente, por amostragem, que a contratada apresente os documentos comprobatórios das obrigações trabalhistas e previdenciárias dos empregados alocados na execução da obra, em especial, quanto: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b w:val="false"/>
          <w:i w:val="false"/>
          <w:iCs/>
          <w:color w:val="000000"/>
          <w:sz w:val="22"/>
          <w:szCs w:val="22"/>
          <w:shd w:fill="auto" w:val="clear"/>
          <w:lang w:val="pt-BR" w:eastAsia="en-US"/>
        </w:rPr>
        <w:t>Ao pagamento de salários, adicionais, horas extras, repouso semanal remunerado e décimo terceiro salário;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b w:val="false"/>
          <w:i w:val="false"/>
          <w:iCs/>
          <w:color w:val="000000"/>
          <w:sz w:val="22"/>
          <w:szCs w:val="22"/>
          <w:shd w:fill="auto" w:val="clear"/>
          <w:lang w:val="pt-BR" w:eastAsia="en-US"/>
        </w:rPr>
        <w:t>À concessão de férias remuneradas e pagamento do respectivo adicional;</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À concessão do auxílio-transporte, auxílio-alimentação e auxílio-saúde, quando for devido;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Aos depósitos do FGTS; e</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Ao pagamento de obrigações trabalhistas e previdenciárias dos empregados dispensados até a data da extinção do contrato.</w:t>
      </w:r>
    </w:p>
    <w:p>
      <w:pPr>
        <w:pStyle w:val="Normal"/>
        <w:numPr>
          <w:ilvl w:val="2"/>
          <w:numId w:val="2"/>
        </w:numPr>
        <w:tabs>
          <w:tab w:val="clear" w:pos="709"/>
          <w:tab w:val="left" w:pos="273" w:leader="none"/>
          <w:tab w:val="left" w:pos="1701" w:leader="none"/>
          <w:tab w:val="left" w:pos="1985"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en-US"/>
        </w:rPr>
        <w:t>S</w:t>
      </w:r>
      <w:r>
        <w:rPr>
          <w:rFonts w:cs="Arial" w:ascii="Calibri" w:hAnsi="Calibri"/>
          <w:b w:val="false"/>
          <w:i w:val="false"/>
          <w:iCs/>
          <w:color w:val="000000"/>
          <w:sz w:val="22"/>
          <w:szCs w:val="22"/>
          <w:shd w:fill="auto" w:val="clear"/>
          <w:lang w:val="pt-BR" w:eastAsia="en-US"/>
        </w:rPr>
        <w:t>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pPr>
        <w:pStyle w:val="Normal"/>
        <w:numPr>
          <w:ilvl w:val="2"/>
          <w:numId w:val="2"/>
        </w:numPr>
        <w:tabs>
          <w:tab w:val="clear" w:pos="709"/>
          <w:tab w:val="left" w:pos="273" w:leader="none"/>
          <w:tab w:val="left" w:pos="1701" w:leader="none"/>
          <w:tab w:val="left" w:pos="1865"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 xml:space="preserve"> </w:t>
      </w:r>
      <w:r>
        <w:rPr>
          <w:rFonts w:cs="Arial" w:ascii="Calibri" w:hAnsi="Calibri"/>
          <w:b w:val="false"/>
          <w:i w:val="false"/>
          <w:iCs/>
          <w:color w:val="000000"/>
          <w:sz w:val="22"/>
          <w:szCs w:val="22"/>
          <w:shd w:fill="auto" w:val="clear"/>
          <w:lang w:val="pt-BR" w:eastAsia="en-US"/>
        </w:rPr>
        <w:t>O</w:t>
      </w:r>
      <w:r>
        <w:rPr>
          <w:rFonts w:cs="Arial" w:ascii="Calibri" w:hAnsi="Calibri"/>
          <w:sz w:val="22"/>
          <w:szCs w:val="22"/>
        </w:rPr>
        <w:t>ficiar os órgãos responsáveis pela fiscalização em caso de indício de irregularidade no cumprimento das obrigações trabalhistas, previdenciárias e para com o FGTS.</w:t>
      </w:r>
    </w:p>
    <w:p>
      <w:pPr>
        <w:pStyle w:val="Normal"/>
        <w:numPr>
          <w:ilvl w:val="2"/>
          <w:numId w:val="2"/>
        </w:numPr>
        <w:tabs>
          <w:tab w:val="clear" w:pos="709"/>
          <w:tab w:val="left" w:pos="273" w:leader="none"/>
          <w:tab w:val="left" w:pos="1701" w:leader="none"/>
          <w:tab w:val="left" w:pos="1985" w:leader="none"/>
        </w:tabs>
        <w:suppressAutoHyphens w:val="true"/>
        <w:spacing w:lineRule="auto" w:line="276" w:before="120" w:after="120"/>
        <w:ind w:left="1134" w:hanging="0"/>
        <w:jc w:val="both"/>
        <w:rPr>
          <w:sz w:val="22"/>
          <w:szCs w:val="22"/>
        </w:rPr>
      </w:pPr>
      <w:r>
        <w:rPr>
          <w:rFonts w:cs="Arial" w:ascii="Calibri" w:hAnsi="Calibri"/>
          <w:sz w:val="22"/>
          <w:szCs w:val="22"/>
        </w:rPr>
        <w:t xml:space="preserve">Somente autorizar a subcontratação se as obrigações estabelecidas na Instrução Normativa SEGES/MP nº 6, de 6 de julho de 2018 forem expressamente </w:t>
      </w:r>
      <w:r>
        <w:rPr>
          <w:rFonts w:cs="Arial" w:ascii="Calibri" w:hAnsi="Calibri"/>
          <w:sz w:val="22"/>
          <w:szCs w:val="22"/>
          <w:lang w:val="pt-BR" w:eastAsia="zh-CN"/>
        </w:rPr>
        <w:t>aceitas pela subcontratada.</w:t>
      </w:r>
    </w:p>
    <w:p>
      <w:pPr>
        <w:pStyle w:val="Norma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sz w:val="22"/>
          <w:szCs w:val="22"/>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pPr>
        <w:pStyle w:val="Normal"/>
        <w:numPr>
          <w:ilvl w:val="0"/>
          <w:numId w:val="0"/>
        </w:numPr>
        <w:tabs>
          <w:tab w:val="clear" w:pos="709"/>
          <w:tab w:val="left" w:pos="1128" w:leader="none"/>
        </w:tabs>
        <w:suppressAutoHyphens w:val="true"/>
        <w:spacing w:lineRule="auto" w:line="276" w:before="0" w:after="0"/>
        <w:ind w:left="857" w:hanging="0"/>
        <w:jc w:val="both"/>
        <w:rPr>
          <w:rFonts w:cs="Arial"/>
          <w:sz w:val="22"/>
          <w:szCs w:val="22"/>
        </w:rPr>
      </w:pPr>
      <w:r>
        <w:rPr>
          <w:rFonts w:cs="Arial"/>
          <w:sz w:val="22"/>
          <w:szCs w:val="22"/>
        </w:rPr>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DO RECEBIMENTO E ACEITAÇÃO DO OBJETO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sz w:val="22"/>
          <w:szCs w:val="22"/>
          <w:shd w:fill="auto" w:val="clear"/>
          <w:lang w:val="pt-BR" w:eastAsia="en-US"/>
        </w:rPr>
        <w:t xml:space="preserve">A </w:t>
      </w:r>
      <w:r>
        <w:rPr>
          <w:rFonts w:cs="Arial" w:ascii="Calibri" w:hAnsi="Calibri"/>
          <w:b w:val="false"/>
          <w:i w:val="false"/>
          <w:iCs/>
          <w:color w:val="000000"/>
          <w:sz w:val="22"/>
          <w:szCs w:val="22"/>
          <w:shd w:fill="auto" w:val="clear"/>
          <w:lang w:val="pt-BR" w:eastAsia="en-US"/>
        </w:rPr>
        <w:t>emissão da Nota Fiscal/Fatura deve ser precedida do recebimento definitivo Dos serviços, nos termos abaixo: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Ao final de cada etapa da execução contratual, conforme previsto no Cronograma Físico-Financeiro, a Contratada apresentará a medição prévia dos serviços executados no período, através de planilha e memória de cálculo detalhada.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Uma etapa será considerada efetivamente concluída quando os serviços previstos para aquela etapa, no Cronograma Físico-Financeiro, estiverem executados em sua totalidade.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A Contratada também apresentará, a cada medição, os documentos comprobatórios da procedência legal dos produtos e subprodutos florestais utilizados naquela etapa da execução contratual, quando for o caso.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O recebimento provisório será realizado pela equipe de fiscalização após a entrega da documentação acima, da seguinte forma: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 xml:space="preserve">A </w:t>
      </w:r>
      <w:r>
        <w:rPr>
          <w:rFonts w:cs="Arial" w:ascii="Calibri" w:hAnsi="Calibri"/>
          <w:sz w:val="22"/>
          <w:szCs w:val="22"/>
        </w:rPr>
        <w:t>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lang w:eastAsia="en-US"/>
        </w:rPr>
        <w:t>O recebimento provisório também ficará sujeito, quando cabível, à conclusão de todos os testes de campo e à entrega dos Manuais e Instruções exigíveis.</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lang w:eastAsia="en-US"/>
        </w:rPr>
        <w:t>A aprovação da medição prévia apresentada pela Contratada não a exime de qualquer das responsabilidades contratuais, nem implica aceitação definitiva dos serviços executados.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 xml:space="preserve">No prazo de até 15 dias corridos a partir do recebimento dos documentos da CONTRATADA, cada fiscal ou a equipe de fiscalização deverá elaborar Relatório Circunstanciado em consonância com suas atribuições, e encaminhá-lo ao gestor do contrato. </w:t>
      </w:r>
    </w:p>
    <w:p>
      <w:pPr>
        <w:pStyle w:val="Normal"/>
        <w:numPr>
          <w:ilvl w:val="3"/>
          <w:numId w:val="2"/>
        </w:numPr>
        <w:tabs>
          <w:tab w:val="clear" w:pos="709"/>
          <w:tab w:val="left" w:pos="2664" w:leader="none"/>
        </w:tabs>
        <w:suppressAutoHyphens w:val="true"/>
        <w:spacing w:lineRule="auto" w:line="276" w:before="171" w:after="171"/>
        <w:ind w:left="1701" w:hanging="0"/>
        <w:jc w:val="both"/>
        <w:rPr>
          <w:sz w:val="22"/>
          <w:szCs w:val="22"/>
        </w:rPr>
      </w:pPr>
      <w:r>
        <w:rPr>
          <w:rFonts w:cs="Arial" w:ascii="Calibri" w:hAnsi="Calibri"/>
          <w:sz w:val="22"/>
          <w:szCs w:val="22"/>
          <w:lang w:eastAsia="en-US"/>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lang w:eastAsia="en-US"/>
        </w:rPr>
        <w:t xml:space="preserve">Será considerado como ocorrido o recebimento provisório com a entrega do relatório circunstanciado ou, em havendo mais de um a ser feito, com a entrega do último. </w:t>
      </w:r>
    </w:p>
    <w:p>
      <w:pPr>
        <w:pStyle w:val="ListParagraph"/>
        <w:numPr>
          <w:ilvl w:val="3"/>
          <w:numId w:val="2"/>
        </w:numPr>
        <w:tabs>
          <w:tab w:val="clear" w:pos="709"/>
          <w:tab w:val="left" w:pos="2664" w:leader="none"/>
        </w:tabs>
        <w:suppressAutoHyphens w:val="true"/>
        <w:spacing w:lineRule="auto" w:line="276" w:before="120" w:after="120"/>
        <w:ind w:left="1701" w:hanging="0"/>
        <w:contextualSpacing/>
        <w:jc w:val="both"/>
        <w:rPr>
          <w:sz w:val="22"/>
          <w:szCs w:val="22"/>
        </w:rPr>
      </w:pPr>
      <w:r>
        <w:rPr>
          <w:rFonts w:cs="Arial" w:ascii="Calibri" w:hAnsi="Calibri"/>
          <w:sz w:val="22"/>
          <w:szCs w:val="22"/>
          <w:lang w:eastAsia="en-US"/>
        </w:rPr>
        <w:t>Na hipótese de a verificação a que se refere o parágrafo anterior não ser procedida tempestivamente, reputar-se-á como realizada, consumando-se o recebimento provisório no dia do esgotamento do prazo.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 xml:space="preserve">No prazo de até 90 (noventa) dias corridos a partir do recebimento provisório dos serviços, o Gestor do Contrato deverá providenciar o recebimento definitivo, ato que concretiza o ateste da execução dos serviços, obedecendo as seguintes diretrizes: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eastAsia="en-US"/>
        </w:rPr>
        <w:t>Emitir Termo Circunstanciado para efeito de recebimento definitivo dos serviços prestados, com base nos relatórios e documentações apresentadas; 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eastAsia="en-US"/>
        </w:rPr>
        <w:t>Comunicar a empresa para que emita a Nota Fiscal ou Fatura, com o valor exato dimensionado pela fiscalização.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kern w:val="2"/>
          <w:sz w:val="22"/>
          <w:szCs w:val="22"/>
          <w:shd w:fill="auto" w:val="clear"/>
          <w:lang w:val="pt-BR" w:eastAsia="en-US"/>
        </w:rPr>
        <w:t>O recebimento provisório da última etapa da obra é condicionada, além da execução do objeto em si, à entrega dos “as built”.</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O recebimento provisório ou definitivo do objeto não exclui a responsabilidade da Contratada pelos prejuízos resultantes da incorreta execução do contrato, das garantias concedidas e das responsabilidades assumidas em contrato e por força das disposições legais em vigor (Lei n° 10.406, de 2002).</w:t>
      </w:r>
    </w:p>
    <w:p>
      <w:pPr>
        <w:pStyle w:val="Norma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b w:val="false"/>
          <w:i w:val="false"/>
          <w:iCs/>
          <w:color w:val="000000"/>
          <w:sz w:val="22"/>
          <w:szCs w:val="22"/>
          <w:shd w:fill="auto" w:val="clear"/>
          <w:lang w:val="pt-BR" w:eastAsia="en-US"/>
        </w:rPr>
        <w:t>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p>
    <w:p>
      <w:pPr>
        <w:pStyle w:val="Normal"/>
        <w:numPr>
          <w:ilvl w:val="0"/>
          <w:numId w:val="0"/>
        </w:numPr>
        <w:tabs>
          <w:tab w:val="clear" w:pos="709"/>
          <w:tab w:val="left" w:pos="273" w:leader="none"/>
          <w:tab w:val="left" w:pos="1701" w:leader="none"/>
          <w:tab w:val="left" w:pos="1865" w:leader="none"/>
          <w:tab w:val="left" w:pos="2269" w:leader="none"/>
        </w:tabs>
        <w:suppressAutoHyphens w:val="true"/>
        <w:spacing w:lineRule="auto" w:line="276" w:before="0" w:after="0"/>
        <w:ind w:left="2358" w:hanging="0"/>
        <w:jc w:val="both"/>
        <w:rPr>
          <w:kern w:val="2"/>
          <w:sz w:val="22"/>
          <w:szCs w:val="22"/>
        </w:rPr>
      </w:pPr>
      <w:r>
        <w:rPr>
          <w:kern w:val="2"/>
          <w:sz w:val="22"/>
          <w:szCs w:val="22"/>
        </w:rPr>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DO PAGAMENTO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Cs/>
          <w:strike w:val="false"/>
          <w:dstrike w:val="false"/>
          <w:color w:val="000000" w:themeColor="text1"/>
          <w:sz w:val="22"/>
          <w:szCs w:val="22"/>
          <w:shd w:fill="auto" w:val="clear"/>
        </w:rPr>
        <w:t xml:space="preserve">O </w:t>
      </w:r>
      <w:r>
        <w:rPr>
          <w:rFonts w:cs="Arial" w:ascii="Calibri" w:hAnsi="Calibri"/>
          <w:iCs/>
          <w:strike w:val="false"/>
          <w:dstrike w:val="false"/>
          <w:sz w:val="22"/>
          <w:szCs w:val="22"/>
          <w:shd w:fill="auto" w:val="clear"/>
        </w:rPr>
        <w:t>pagamento</w:t>
      </w:r>
      <w:r>
        <w:rPr>
          <w:rFonts w:cs="Arial" w:ascii="Calibri" w:hAnsi="Calibri"/>
          <w:iCs/>
          <w:strike w:val="false"/>
          <w:dstrike w:val="false"/>
          <w:color w:val="000000" w:themeColor="text1"/>
          <w:sz w:val="22"/>
          <w:szCs w:val="22"/>
          <w:shd w:fill="auto" w:val="clear"/>
        </w:rPr>
        <w:t xml:space="preserve"> será efetuado pela Contratante no prazo de</w:t>
      </w:r>
      <w:r>
        <w:rPr>
          <w:rFonts w:eastAsia="Arial" w:cs="Arial" w:ascii="Calibri" w:hAnsi="Calibri"/>
          <w:iCs/>
          <w:strike w:val="false"/>
          <w:dstrike w:val="false"/>
          <w:color w:val="000000" w:themeColor="text1"/>
          <w:sz w:val="22"/>
          <w:szCs w:val="22"/>
          <w:shd w:fill="auto" w:val="clear"/>
        </w:rPr>
        <w:t xml:space="preserve"> 30 (trinta) </w:t>
      </w:r>
      <w:r>
        <w:rPr>
          <w:rFonts w:cs="Arial" w:ascii="Calibri" w:hAnsi="Calibri"/>
          <w:iCs/>
          <w:strike w:val="false"/>
          <w:dstrike w:val="false"/>
          <w:color w:val="000000" w:themeColor="text1"/>
          <w:sz w:val="22"/>
          <w:szCs w:val="22"/>
          <w:shd w:fill="auto" w:val="clear"/>
        </w:rPr>
        <w:t>dias, contados do recebimento da Nota Fiscal/Fatura.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A emissão da Nota Fiscal/Fatura será precedida do recebimento definitivo do serviço, conforme este Projeto Básico.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strike w:val="false"/>
          <w:dstrike w:val="false"/>
          <w:color w:val="000000"/>
          <w:sz w:val="22"/>
          <w:szCs w:val="22"/>
          <w:shd w:fill="auto" w:val="clear"/>
          <w:lang w:val="pt-BR" w:eastAsia="en-US"/>
        </w:rPr>
        <w:t>Constatando-se, junto ao SICAF, a situação de irregularidade do fornecedor contratado, deverão ser tomadas as providências previstas no do art. 31 da Instrução Normativa nº 3, de 26 de abril de 2018.</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 xml:space="preserve">O setor competente para proceder o pagamento deve verificar se a Nota Fiscal ou Fatura apresentada expressa os elementos necessários e essenciais do documento, tais como: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O prazo de validade;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A data da emissão;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color w:val="000000"/>
          <w:sz w:val="22"/>
          <w:szCs w:val="22"/>
        </w:rPr>
        <w:t>Os dados do contrato e do órgão contratante;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color w:val="000000"/>
          <w:sz w:val="22"/>
          <w:szCs w:val="22"/>
        </w:rPr>
        <w:t>O período de prestação dos serviços;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color w:val="000000"/>
          <w:sz w:val="22"/>
          <w:szCs w:val="22"/>
        </w:rPr>
        <w:t>O valor a pagar; 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color w:val="000000"/>
          <w:sz w:val="22"/>
          <w:szCs w:val="22"/>
        </w:rPr>
        <w:t>Eventual destaque do valor de retenções tributárias cabíveis.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Cs/>
          <w:sz w:val="22"/>
          <w:szCs w:val="22"/>
        </w:rPr>
        <w:t xml:space="preserve">Havendo erro </w:t>
      </w:r>
      <w:r>
        <w:rPr>
          <w:rFonts w:cs="Arial" w:ascii="Calibri" w:hAnsi="Calibri"/>
          <w:color w:val="000000"/>
          <w:sz w:val="22"/>
          <w:szCs w:val="22"/>
        </w:rPr>
        <w:t>na</w:t>
      </w:r>
      <w:r>
        <w:rPr>
          <w:rFonts w:cs="Arial" w:ascii="Calibri" w:hAnsi="Calibri"/>
          <w:iCs/>
          <w:sz w:val="22"/>
          <w:szCs w:val="22"/>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Será considerada data do pagamento o dia em que constar como emitida a ordem bancária para pagamento.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 xml:space="preserve">Antes de cada pagamento à contratada, será realizada consulta ao SICAF para verificar a manutenção das condições de habilitação exigidas no edital.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Persistindo a irregularidade, a contratante deverá adotar as medidas necessárias à rescisão contratual nos autos do processo administrativo correspondente, assegurada à contratada a ampla defesa.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Havendo a efetiva execução do objeto, os pagamentos serão realizados normalmente, até que se decida pela rescisão do contrato, caso a contratada não regularize sua situação junto ao SICAF.</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S</w:t>
      </w:r>
      <w:r>
        <w:rPr>
          <w:rFonts w:cs="Arial" w:ascii="Calibri" w:hAnsi="Calibri"/>
          <w:sz w:val="22"/>
          <w:szCs w:val="22"/>
          <w:lang w:eastAsia="en-US"/>
        </w:rPr>
        <w:t xml:space="preserve">erá rescindido o contrato em execução com a contratada inadimplente no SICAF, salvo por motivo de economicidade, segurança nacional ou outro de interesse público de alta relevância, devidamente justificado, em qualquer caso, </w:t>
      </w:r>
      <w:r>
        <w:rPr>
          <w:rFonts w:cs="Arial" w:ascii="Calibri" w:hAnsi="Calibri"/>
          <w:sz w:val="22"/>
          <w:szCs w:val="22"/>
          <w:lang w:val="pt-BR" w:eastAsia="en-US"/>
        </w:rPr>
        <w:t xml:space="preserve">pela máxima autoridade da contratante.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val="pt-BR" w:eastAsia="en-US"/>
        </w:rPr>
        <w:t>Quando do pagamento, será efetuada a retenção tributária prevista na legislação aplicável.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val="pt-BR" w:eastAsia="en-US"/>
        </w:rPr>
        <w:t>É vedado o pagamento, a qualquer título, por serviços prestados, à empresa privada que tenha em seu quadro societário servidor público da ativa do órgão contratante, com fundamento na Lei de Diretrizes Orçamentárias vigente.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val="pt-BR" w:eastAsia="en-US"/>
        </w:rPr>
        <w:t>Caso não seja apresentada a documentação comprobatória do cumprimento das obrigações de que trata a IN SEGES/MP nº 6, de 2018, a contratante comunicará o fato à contratada e reterá o pagamento da fatura mensal, em valor proporcional ao inadimplemento, até que a situação seja regularizada.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val="pt-BR" w:eastAsia="en-US"/>
        </w:rPr>
        <w:t>Na hipótese prevista no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val="pt-BR" w:eastAsia="en-US"/>
        </w:rPr>
        <w:t>O contrato poderá ser rescindido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shd w:fill="auto" w:val="clear"/>
          <w:lang w:val="pt-BR" w:eastAsia="en-US"/>
        </w:rPr>
        <w:t>Nos ca</w:t>
      </w:r>
      <w:r>
        <w:rPr>
          <w:rFonts w:eastAsia="Times New Roman" w:cs="Arial" w:ascii="Calibri" w:hAnsi="Calibri"/>
          <w:color w:val="000000"/>
          <w:kern w:val="0"/>
          <w:sz w:val="22"/>
          <w:szCs w:val="22"/>
          <w:shd w:fill="auto" w:val="clear"/>
          <w:lang w:val="pt-BR" w:eastAsia="en-US" w:bidi="ar-SA"/>
        </w:rPr>
        <w:t>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suppressAutoHyphens w:val="true"/>
        <w:ind w:left="426" w:firstLine="708"/>
        <w:jc w:val="both"/>
        <w:rPr>
          <w:sz w:val="22"/>
          <w:szCs w:val="22"/>
        </w:rPr>
      </w:pPr>
      <w:r>
        <w:rPr>
          <w:rFonts w:cs="Arial" w:ascii="Calibri" w:hAnsi="Calibri"/>
          <w:sz w:val="22"/>
          <w:szCs w:val="22"/>
          <w:shd w:fill="auto" w:val="clear"/>
          <w:lang w:val="pt-BR" w:eastAsia="en-US"/>
        </w:rPr>
        <w:t>EM = I x N x VP, sendo:</w:t>
      </w:r>
    </w:p>
    <w:p>
      <w:pPr>
        <w:pStyle w:val="Normal"/>
        <w:tabs>
          <w:tab w:val="clear" w:pos="709"/>
          <w:tab w:val="left" w:pos="1701" w:leader="none"/>
        </w:tabs>
        <w:suppressAutoHyphens w:val="true"/>
        <w:ind w:firstLine="1134"/>
        <w:jc w:val="both"/>
        <w:rPr>
          <w:sz w:val="22"/>
          <w:szCs w:val="22"/>
        </w:rPr>
      </w:pPr>
      <w:r>
        <w:rPr>
          <w:rFonts w:cs="Arial" w:ascii="Calibri" w:hAnsi="Calibri"/>
          <w:color w:val="000000"/>
          <w:sz w:val="22"/>
          <w:szCs w:val="22"/>
          <w:shd w:fill="auto" w:val="clear"/>
          <w:lang w:val="pt-BR" w:eastAsia="en-US"/>
        </w:rPr>
        <w:t>EM = Encargos moratórios;</w:t>
      </w:r>
    </w:p>
    <w:p>
      <w:pPr>
        <w:pStyle w:val="Normal"/>
        <w:tabs>
          <w:tab w:val="clear" w:pos="709"/>
          <w:tab w:val="left" w:pos="1701" w:leader="none"/>
        </w:tabs>
        <w:suppressAutoHyphens w:val="true"/>
        <w:ind w:firstLine="1134"/>
        <w:jc w:val="both"/>
        <w:rPr>
          <w:sz w:val="22"/>
          <w:szCs w:val="22"/>
        </w:rPr>
      </w:pPr>
      <w:r>
        <w:rPr>
          <w:rFonts w:cs="Arial" w:ascii="Calibri" w:hAnsi="Calibri"/>
          <w:color w:val="000000"/>
          <w:sz w:val="22"/>
          <w:szCs w:val="22"/>
          <w:shd w:fill="auto" w:val="clear"/>
          <w:lang w:val="pt-BR" w:eastAsia="en-US"/>
        </w:rPr>
        <w:t>N = Número de dias entre a data prevista para o pagamento e a do efetivo   pagamento;</w:t>
      </w:r>
    </w:p>
    <w:p>
      <w:pPr>
        <w:pStyle w:val="Normal"/>
        <w:tabs>
          <w:tab w:val="clear" w:pos="709"/>
          <w:tab w:val="left" w:pos="1701" w:leader="none"/>
        </w:tabs>
        <w:suppressAutoHyphens w:val="true"/>
        <w:ind w:firstLine="1134"/>
        <w:jc w:val="both"/>
        <w:rPr>
          <w:sz w:val="22"/>
          <w:szCs w:val="22"/>
        </w:rPr>
      </w:pPr>
      <w:r>
        <w:rPr>
          <w:rFonts w:cs="Arial" w:ascii="Calibri" w:hAnsi="Calibri"/>
          <w:color w:val="000000"/>
          <w:sz w:val="22"/>
          <w:szCs w:val="22"/>
          <w:shd w:fill="auto" w:val="clear"/>
          <w:lang w:val="pt-BR" w:eastAsia="en-US"/>
        </w:rPr>
        <w:t>VP = Valor da parcela a ser paga.</w:t>
      </w:r>
    </w:p>
    <w:p>
      <w:pPr>
        <w:pStyle w:val="Normal"/>
        <w:tabs>
          <w:tab w:val="clear" w:pos="709"/>
          <w:tab w:val="left" w:pos="1701" w:leader="none"/>
        </w:tabs>
        <w:suppressAutoHyphens w:val="true"/>
        <w:ind w:firstLine="1134"/>
        <w:jc w:val="both"/>
        <w:rPr>
          <w:sz w:val="22"/>
          <w:szCs w:val="22"/>
        </w:rPr>
      </w:pPr>
      <w:r>
        <w:rPr>
          <w:rFonts w:cs="Arial" w:ascii="Calibri" w:hAnsi="Calibri"/>
          <w:color w:val="000000"/>
          <w:sz w:val="22"/>
          <w:szCs w:val="22"/>
          <w:shd w:fill="auto" w:val="clear"/>
          <w:lang w:val="pt-BR" w:eastAsia="en-US"/>
        </w:rPr>
        <w:t>I = Índice de compensação financeira = 0,00016438, assim apurado:</w:t>
      </w:r>
    </w:p>
    <w:tbl>
      <w:tblPr>
        <w:tblStyle w:val="Tabelacomgrade"/>
        <w:tblW w:w="8646" w:type="dxa"/>
        <w:jc w:val="left"/>
        <w:tblInd w:w="533" w:type="dxa"/>
        <w:tblLayout w:type="fixed"/>
        <w:tblCellMar>
          <w:top w:w="0" w:type="dxa"/>
          <w:left w:w="108" w:type="dxa"/>
          <w:bottom w:w="0" w:type="dxa"/>
          <w:right w:w="108" w:type="dxa"/>
        </w:tblCellMar>
        <w:tblLook w:firstRow="1" w:noVBand="1" w:lastRow="0" w:firstColumn="1" w:lastColumn="0" w:noHBand="0" w:val="04a0"/>
      </w:tblPr>
      <w:tblGrid>
        <w:gridCol w:w="2145"/>
        <w:gridCol w:w="441"/>
        <w:gridCol w:w="1252"/>
        <w:gridCol w:w="4807"/>
      </w:tblGrid>
      <w:tr>
        <w:trPr/>
        <w:tc>
          <w:tcPr>
            <w:tcW w:w="2145" w:type="dxa"/>
            <w:tcBorders>
              <w:top w:val="nil"/>
              <w:left w:val="nil"/>
              <w:bottom w:val="nil"/>
              <w:right w:val="nil"/>
            </w:tcBorders>
            <w:vAlign w:val="center"/>
          </w:tcPr>
          <w:p>
            <w:pPr>
              <w:pStyle w:val="Normal"/>
              <w:widowControl w:val="false"/>
              <w:tabs>
                <w:tab w:val="clear" w:pos="709"/>
                <w:tab w:val="left" w:pos="1701" w:leader="none"/>
              </w:tabs>
              <w:suppressAutoHyphens w:val="true"/>
              <w:spacing w:before="0" w:after="0"/>
              <w:jc w:val="both"/>
              <w:rPr>
                <w:rFonts w:ascii="Arial" w:hAnsi="Arial" w:cs="Arial"/>
                <w:color w:val="000000"/>
                <w:sz w:val="22"/>
                <w:szCs w:val="22"/>
              </w:rPr>
            </w:pPr>
            <w:r>
              <w:rPr>
                <w:rFonts w:eastAsia="Times New Roman" w:cs="Arial" w:ascii="Arial" w:hAnsi="Arial"/>
                <w:color w:val="000000"/>
                <w:kern w:val="0"/>
                <w:sz w:val="22"/>
                <w:szCs w:val="22"/>
                <w:lang w:bidi="ar-SA"/>
              </w:rPr>
              <w:t>I = (TX)</w:t>
            </w:r>
          </w:p>
        </w:tc>
        <w:tc>
          <w:tcPr>
            <w:tcW w:w="441" w:type="dxa"/>
            <w:tcBorders>
              <w:top w:val="nil"/>
              <w:left w:val="nil"/>
              <w:bottom w:val="nil"/>
              <w:right w:val="nil"/>
            </w:tcBorders>
            <w:vAlign w:val="center"/>
          </w:tcPr>
          <w:p>
            <w:pPr>
              <w:pStyle w:val="Normal"/>
              <w:widowControl w:val="false"/>
              <w:tabs>
                <w:tab w:val="clear" w:pos="709"/>
                <w:tab w:val="left" w:pos="1701" w:leader="none"/>
              </w:tabs>
              <w:suppressAutoHyphens w:val="true"/>
              <w:spacing w:before="0" w:after="0"/>
              <w:jc w:val="both"/>
              <w:rPr>
                <w:rFonts w:ascii="Arial" w:hAnsi="Arial" w:cs="Arial"/>
                <w:color w:val="000000"/>
                <w:sz w:val="22"/>
                <w:szCs w:val="22"/>
              </w:rPr>
            </w:pPr>
            <w:r>
              <w:rPr>
                <w:rFonts w:eastAsia="Times New Roman" w:cs="Arial" w:ascii="Arial" w:hAnsi="Arial"/>
                <w:color w:val="000000"/>
                <w:kern w:val="0"/>
                <w:sz w:val="22"/>
                <w:szCs w:val="22"/>
                <w:lang w:bidi="ar-SA"/>
              </w:rPr>
              <w:t>I =</w:t>
            </w:r>
          </w:p>
        </w:tc>
        <w:tc>
          <w:tcPr>
            <w:tcW w:w="1252" w:type="dxa"/>
            <w:tcBorders>
              <w:top w:val="nil"/>
              <w:left w:val="nil"/>
              <w:right w:val="nil"/>
            </w:tcBorders>
          </w:tcPr>
          <w:p>
            <w:pPr>
              <w:pStyle w:val="Normal"/>
              <w:widowControl w:val="false"/>
              <w:tabs>
                <w:tab w:val="clear" w:pos="709"/>
                <w:tab w:val="left" w:pos="1701" w:leader="none"/>
              </w:tabs>
              <w:suppressAutoHyphens w:val="true"/>
              <w:spacing w:before="0" w:after="0"/>
              <w:jc w:val="both"/>
              <w:rPr>
                <w:rFonts w:ascii="Arial" w:hAnsi="Arial" w:cs="Arial"/>
                <w:color w:val="000000"/>
                <w:sz w:val="22"/>
                <w:szCs w:val="22"/>
              </w:rPr>
            </w:pPr>
            <w:r>
              <w:rPr>
                <w:rFonts w:eastAsia="Times New Roman" w:cs="Arial" w:ascii="Arial" w:hAnsi="Arial"/>
                <w:color w:val="000000"/>
                <w:kern w:val="0"/>
                <w:sz w:val="22"/>
                <w:szCs w:val="22"/>
                <w:lang w:bidi="ar-SA"/>
              </w:rPr>
              <w:t>( 6 / 100 )</w:t>
            </w:r>
          </w:p>
        </w:tc>
        <w:tc>
          <w:tcPr>
            <w:tcW w:w="4807" w:type="dxa"/>
            <w:tcBorders>
              <w:top w:val="nil"/>
              <w:left w:val="nil"/>
              <w:bottom w:val="nil"/>
              <w:right w:val="nil"/>
            </w:tcBorders>
            <w:vAlign w:val="center"/>
          </w:tcPr>
          <w:p>
            <w:pPr>
              <w:pStyle w:val="Normal"/>
              <w:widowControl w:val="false"/>
              <w:tabs>
                <w:tab w:val="clear" w:pos="709"/>
                <w:tab w:val="left" w:pos="1701" w:leader="none"/>
              </w:tabs>
              <w:suppressAutoHyphens w:val="true"/>
              <w:spacing w:before="0" w:after="0"/>
              <w:ind w:left="742" w:hanging="0"/>
              <w:jc w:val="both"/>
              <w:rPr>
                <w:rFonts w:ascii="Arial" w:hAnsi="Arial" w:cs="Arial"/>
                <w:color w:val="000000"/>
                <w:sz w:val="22"/>
                <w:szCs w:val="22"/>
              </w:rPr>
            </w:pPr>
            <w:r>
              <w:rPr>
                <w:rFonts w:eastAsia="Times New Roman" w:cs="Arial" w:ascii="Arial" w:hAnsi="Arial"/>
                <w:color w:val="000000"/>
                <w:kern w:val="0"/>
                <w:sz w:val="22"/>
                <w:szCs w:val="22"/>
                <w:lang w:bidi="ar-SA"/>
              </w:rPr>
              <w:t>I = 0,00016438</w:t>
            </w:r>
          </w:p>
          <w:p>
            <w:pPr>
              <w:pStyle w:val="Normal"/>
              <w:widowControl w:val="false"/>
              <w:tabs>
                <w:tab w:val="clear" w:pos="709"/>
                <w:tab w:val="left" w:pos="1701" w:leader="none"/>
              </w:tabs>
              <w:suppressAutoHyphens w:val="true"/>
              <w:spacing w:before="0" w:after="0"/>
              <w:ind w:left="742" w:hanging="0"/>
              <w:jc w:val="both"/>
              <w:rPr>
                <w:rFonts w:ascii="Arial" w:hAnsi="Arial" w:cs="Arial"/>
                <w:color w:val="000000"/>
                <w:sz w:val="22"/>
                <w:szCs w:val="22"/>
              </w:rPr>
            </w:pPr>
            <w:r>
              <w:rPr>
                <w:rFonts w:eastAsia="Times New Roman" w:cs="Arial" w:ascii="Arial" w:hAnsi="Arial"/>
                <w:color w:val="000000"/>
                <w:kern w:val="0"/>
                <w:sz w:val="22"/>
                <w:szCs w:val="22"/>
                <w:lang w:bidi="ar-SA"/>
              </w:rPr>
              <w:t>TX = Percentual da taxa anual = 6%</w:t>
            </w:r>
          </w:p>
          <w:p>
            <w:pPr>
              <w:pStyle w:val="Normal"/>
              <w:widowControl w:val="false"/>
              <w:tabs>
                <w:tab w:val="clear" w:pos="709"/>
                <w:tab w:val="left" w:pos="1701" w:leader="none"/>
              </w:tabs>
              <w:suppressAutoHyphens w:val="true"/>
              <w:spacing w:before="0" w:after="0"/>
              <w:ind w:left="742" w:hanging="0"/>
              <w:jc w:val="both"/>
              <w:rPr>
                <w:rFonts w:ascii="Arial" w:hAnsi="Arial" w:cs="Arial"/>
                <w:color w:val="000000"/>
                <w:sz w:val="22"/>
                <w:szCs w:val="22"/>
              </w:rPr>
            </w:pPr>
            <w:r>
              <w:rPr>
                <w:rFonts w:cs="Arial" w:ascii="Arial" w:hAnsi="Arial"/>
                <w:color w:val="000000"/>
                <w:sz w:val="20"/>
                <w:szCs w:val="22"/>
              </w:rPr>
            </w:r>
          </w:p>
        </w:tc>
      </w:tr>
    </w:tbl>
    <w:p>
      <w:pPr>
        <w:pStyle w:val="Nivel1"/>
        <w:suppressAutoHyphens w:val="true"/>
        <w:spacing w:lineRule="auto" w:line="240" w:before="0" w:after="0"/>
        <w:rPr>
          <w:rFonts w:ascii="Calibri" w:hAnsi="Calibri"/>
          <w:sz w:val="22"/>
          <w:szCs w:val="22"/>
        </w:rPr>
      </w:pPr>
      <w:r>
        <w:rPr>
          <w:rFonts w:ascii="Calibri" w:hAnsi="Calibri"/>
          <w:sz w:val="22"/>
          <w:szCs w:val="22"/>
        </w:rPr>
      </w:r>
    </w:p>
    <w:p>
      <w:pPr>
        <w:pStyle w:val="Nivel1"/>
        <w:suppressAutoHyphens w:val="true"/>
        <w:spacing w:lineRule="auto" w:line="240" w:before="0" w:after="0"/>
        <w:rPr>
          <w:rFonts w:ascii="Calibri" w:hAnsi="Calibri"/>
          <w:sz w:val="22"/>
          <w:szCs w:val="22"/>
        </w:rPr>
      </w:pPr>
      <w:r>
        <w:rPr>
          <w:rFonts w:ascii="Calibri" w:hAnsi="Calibri"/>
          <w:sz w:val="22"/>
          <w:szCs w:val="22"/>
        </w:rPr>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REAJUSTE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strike w:val="false"/>
          <w:dstrike w:val="false"/>
          <w:color w:val="000000"/>
          <w:sz w:val="22"/>
          <w:szCs w:val="22"/>
          <w:shd w:fill="auto" w:val="clear"/>
          <w:lang w:val="pt-BR" w:eastAsia="en-US"/>
        </w:rPr>
        <w:t>Os preços são fixos e irreajustáveis no prazo de um ano contado da data limite para a apresentação das propostas.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Cs/>
          <w:iCs/>
          <w:strike w:val="false"/>
          <w:dstrike w:val="false"/>
          <w:sz w:val="22"/>
          <w:szCs w:val="22"/>
          <w:shd w:fill="auto" w:val="clear"/>
          <w:lang w:val="pt-BR" w:eastAsia="en-US"/>
        </w:rPr>
        <w:t xml:space="preserve">Dentro do prazo de vigência do contrato e a partir do pedido da contratada, os preços contratados poderão sofrer reajuste após o interregno de um ano, aplicando-se o </w:t>
      </w:r>
      <w:r>
        <w:rPr>
          <w:rFonts w:cs="Arial" w:ascii="Calibri" w:hAnsi="Calibri"/>
          <w:b w:val="false"/>
          <w:bCs/>
          <w:i w:val="false"/>
          <w:iCs/>
          <w:strike w:val="false"/>
          <w:dstrike w:val="false"/>
          <w:color w:val="000000"/>
          <w:sz w:val="22"/>
          <w:szCs w:val="22"/>
          <w:shd w:fill="auto" w:val="clear"/>
          <w:lang w:val="pt-BR" w:eastAsia="en-US"/>
        </w:rPr>
        <w:t>Índice Nacional de Custo da Construção do Mercado (INCC-M), da Fundação Getúlio Vargas – FGV. 20.1.1</w:t>
      </w:r>
      <w:r>
        <w:rPr>
          <w:rFonts w:cs="Arial" w:ascii="Calibri" w:hAnsi="Calibri"/>
          <w:bCs/>
          <w:iCs/>
          <w:strike w:val="false"/>
          <w:dstrike w:val="false"/>
          <w:sz w:val="22"/>
          <w:szCs w:val="22"/>
          <w:shd w:fill="auto" w:val="clear"/>
          <w:lang w:val="pt-BR" w:eastAsia="en-US"/>
        </w:rPr>
        <w:t xml:space="preserve"> exclusivamente para as obrigações iniciadas e concluídas após a ocorrência da anualidade.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strike w:val="false"/>
          <w:dstrike w:val="false"/>
          <w:sz w:val="22"/>
          <w:szCs w:val="22"/>
          <w:lang w:val="pt-BR" w:eastAsia="en-US"/>
        </w:rPr>
        <w:t>Nos reajustes subsequentes ao primeiro, o interregno mínimo de um ano será contado a partir dos efeitos financeiros do último reajuste.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strike w:val="false"/>
          <w:dstrike w:val="false"/>
          <w:sz w:val="22"/>
          <w:szCs w:val="22"/>
          <w:lang w:val="pt-BR" w:eastAsia="en-US"/>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iCs/>
          <w:sz w:val="22"/>
          <w:szCs w:val="22"/>
          <w:lang w:val="pt-BR" w:eastAsia="en-US"/>
        </w:rPr>
        <w:t>Nas aferições finais, o índice utilizado para reajuste será, obrigatoriamente, o definitivo.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iCs/>
          <w:sz w:val="22"/>
          <w:szCs w:val="22"/>
          <w:lang w:val="pt-BR" w:eastAsia="en-US"/>
        </w:rPr>
        <w:t>Caso o índice estabelecido para reajustamento venha a ser extinto ou de qualquer forma não possa mais ser utilizado, será adotado, em substituição, o que vier a ser determinado pela legislação então em vigor.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iCs/>
          <w:sz w:val="22"/>
          <w:szCs w:val="22"/>
          <w:lang w:val="pt-BR" w:eastAsia="en-US"/>
        </w:rPr>
        <w:t xml:space="preserve">Na ausência de previsão legal quanto ao índice substituto, as partes elegerão novo índice oficial, para reajustamento do preço do valor remanescente, por meio de termo aditivo. </w:t>
      </w:r>
    </w:p>
    <w:p>
      <w:pPr>
        <w:pStyle w:val="Norma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bCs/>
          <w:iCs/>
          <w:sz w:val="22"/>
          <w:szCs w:val="22"/>
          <w:lang w:val="pt-BR" w:eastAsia="en-US"/>
        </w:rPr>
        <w:t>O reajuste será realizado por apostilamento.</w:t>
      </w:r>
    </w:p>
    <w:p>
      <w:pPr>
        <w:pStyle w:val="Normal"/>
        <w:tabs>
          <w:tab w:val="clear" w:pos="709"/>
          <w:tab w:val="left" w:pos="1128" w:leader="none"/>
        </w:tabs>
        <w:suppressAutoHyphens w:val="true"/>
        <w:spacing w:lineRule="auto" w:line="276" w:before="0" w:after="0"/>
        <w:ind w:left="425" w:hanging="0"/>
        <w:jc w:val="both"/>
        <w:rPr>
          <w:rFonts w:ascii="Calibri" w:hAnsi="Calibri" w:cs="Arial"/>
          <w:b w:val="false"/>
          <w:b w:val="false"/>
          <w:i w:val="false"/>
          <w:i w:val="false"/>
          <w:iCs/>
          <w:color w:val="000000"/>
          <w:sz w:val="22"/>
          <w:szCs w:val="22"/>
          <w:shd w:fill="B7B3CA" w:val="clear"/>
          <w:lang w:val="pt-BR" w:eastAsia="en-US"/>
        </w:rPr>
      </w:pPr>
      <w:r>
        <w:rPr>
          <w:rFonts w:cs="Arial" w:ascii="Calibri" w:hAnsi="Calibri"/>
          <w:b w:val="false"/>
          <w:i w:val="false"/>
          <w:iCs/>
          <w:color w:val="000000"/>
          <w:sz w:val="22"/>
          <w:szCs w:val="22"/>
          <w:shd w:fill="B7B3CA" w:val="clear"/>
          <w:lang w:val="pt-BR" w:eastAsia="en-US"/>
        </w:rPr>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GARANTIA DA EXECUÇÃO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i w:val="false"/>
          <w:iCs w:val="false"/>
          <w:color w:val="auto"/>
          <w:sz w:val="22"/>
          <w:szCs w:val="22"/>
          <w:lang w:val="pt-BR" w:eastAsia="en-US"/>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val="false"/>
          <w:strike w:val="false"/>
          <w:dstrike w:val="false"/>
          <w:color w:val="000000"/>
          <w:sz w:val="22"/>
          <w:szCs w:val="22"/>
          <w:shd w:fill="auto" w:val="clear"/>
          <w:lang w:val="pt-BR" w:eastAsia="en-US"/>
        </w:rPr>
        <w:t>No prazo máximo de 10 (dez) dias úteis, prorrogáveis por igual período, a critério do contratante, contados da assinatura do contrato, a contratada deverá apresentar comprovante</w:t>
      </w:r>
      <w:r>
        <w:rPr>
          <w:rFonts w:eastAsia="Calibri" w:cs="Arial" w:ascii="Calibri" w:hAnsi="Calibri"/>
          <w:b w:val="false"/>
          <w:bCs/>
          <w:i w:val="false"/>
          <w:iCs w:val="false"/>
          <w:strike w:val="false"/>
          <w:dstrike w:val="false"/>
          <w:color w:val="000000"/>
          <w:sz w:val="22"/>
          <w:szCs w:val="22"/>
          <w:shd w:fill="auto" w:val="clear"/>
          <w:lang w:val="pt-BR" w:eastAsia="en-US"/>
        </w:rPr>
        <w:t xml:space="preserve"> de prestação de garantia, podendo optar por caução em dinheiro ou títulos da dívida pública, seguro-garantia ou fiança bancária.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A inobservância do prazo fixado para apresentação da garantia acarretará a aplicação de multa de 0,07% (sete centésimos por cento) do valor total do contrato por dia de atraso, até o máximo de 2% (dois por cento).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O atraso superior a 25 (vinte e cinco) dias autoriza a Administração a promover a rescisão do contrato por descumprimento ou cumprimento irregular de suas cláusulas, conforme dispõem os incisos I e II do art. 78 da Lei n. 8.666 de 1993.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 validade da garantia, qualquer que seja a modalidade escolhida, deverá abranger um período de 90 dias após o término da vigência contratual.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A garantia assegurará, qualquer que seja a modalidade escolhida, o pagamento de: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Prejuízos advindos do não cumprimento do objeto do contrato e do não adimplemento das demais obrigações nele previstas;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Prejuízos diretos causados à Administração decorrentes de culpa ou dolo durante a execução do contrato;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Multas moratórias e punitivas aplicadas pela Administração à contratada; e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Obrigações trabalhistas e previdenciárias de qualquer natureza e para com o FGTS, não adimplidas pela contratada, quando couber.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A modalidade seguro-garantia somente será aceita se contemplar todos os eventos indicados no item anterior, observada a legislação que rege a matéria.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A garantia em dinheiro deverá ser efetuada em favor da Contratante, em conta específica na Caixa Econômica Federal, com correção monetária.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No caso de garantia na modalidade de fiança bancária, deverá constar expressa renúncia do fiador aos benefícios do artigo 827 do Código Civil.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No caso de alteração do valor do contrato, ou prorrogação de sua vigência, a garantia deverá ser ajustada à nova situação ou renovada, seguindo os mesmos parâmetros utilizados quando da contratação.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A Contratante executará a garantia na forma prevista na legislação que rege a matéria.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O garantidor não é parte para figurar em processo administrativo instaurado pela </w:t>
      </w:r>
      <w:r>
        <w:rPr>
          <w:rFonts w:cs="Arial" w:ascii="Calibri" w:hAnsi="Calibri"/>
          <w:b w:val="false"/>
          <w:bCs w:val="false"/>
          <w:i w:val="false"/>
          <w:iCs w:val="false"/>
          <w:strike w:val="false"/>
          <w:dstrike w:val="false"/>
          <w:color w:val="000000"/>
          <w:sz w:val="22"/>
          <w:szCs w:val="22"/>
          <w:shd w:fill="auto" w:val="clear"/>
          <w:lang w:val="pt-BR" w:eastAsia="en-US"/>
        </w:rPr>
        <w:t xml:space="preserve">contratante com o objetivo de apurar prejuízos e/ou aplicar sanções à contratada. </w:t>
      </w:r>
    </w:p>
    <w:p>
      <w:pPr>
        <w:pStyle w:val="Normal"/>
        <w:numPr>
          <w:ilvl w:val="1"/>
          <w:numId w:val="2"/>
        </w:numPr>
        <w:tabs>
          <w:tab w:val="clear" w:pos="709"/>
          <w:tab w:val="left" w:pos="1128" w:leader="none"/>
          <w:tab w:val="left" w:pos="1533" w:leader="none"/>
        </w:tabs>
        <w:suppressAutoHyphens w:val="true"/>
        <w:spacing w:lineRule="auto" w:line="276" w:before="0" w:after="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 contratada autoriza a contratante a reter, a qualquer tempo, a garantia, na forma prevista no neste Edital e no Contrato.</w:t>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SANÇÕES ADMINISTRATIVAS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Comete infração administrativa, nos termos da Lei nº 12.462/2011, a CONTRATADA que: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Inexecutar total ou parcialmente qualquer das obrigações assumidas em decorrência da contratação;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Ensejar o retardamento da execução do objeto;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Falhar ou fraudar na execução do contrato;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Comportar-se de modo inidôneo; ou</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Cometer fraude fiscal.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Pela inexecução </w:t>
      </w:r>
      <w:r>
        <w:rPr>
          <w:rFonts w:cs="Arial" w:ascii="Calibri" w:hAnsi="Calibri"/>
          <w:sz w:val="22"/>
          <w:szCs w:val="22"/>
          <w:u w:val="single"/>
        </w:rPr>
        <w:t>total ou parcial</w:t>
      </w:r>
      <w:r>
        <w:rPr>
          <w:rFonts w:cs="Arial" w:ascii="Calibri" w:hAnsi="Calibri"/>
          <w:sz w:val="22"/>
          <w:szCs w:val="22"/>
        </w:rPr>
        <w:t xml:space="preserve"> do objeto deste contrato, a Administração pode aplicar à CONTRATADA as seguintes sanções:</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bCs/>
          <w:sz w:val="22"/>
          <w:szCs w:val="22"/>
        </w:rPr>
        <w:t>a) Advertência por escrito</w:t>
      </w:r>
      <w:r>
        <w:rPr>
          <w:rFonts w:cs="Arial" w:ascii="Calibri" w:hAnsi="Calibri"/>
          <w:sz w:val="22"/>
          <w:szCs w:val="22"/>
        </w:rPr>
        <w:t>, quando do não cumprimento de quaisquer das obrigações contratuais consideradas faltas leves, assim entendidas aquelas que não acarretam prejuízos significativos para o serviço contratado;</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bCs/>
          <w:sz w:val="22"/>
          <w:szCs w:val="22"/>
          <w:lang w:eastAsia="pt-BR"/>
        </w:rPr>
        <w:t>b) Multa de</w:t>
      </w:r>
      <w:r>
        <w:rPr>
          <w:rFonts w:cs="Arial" w:ascii="Calibri" w:hAnsi="Calibri"/>
          <w:sz w:val="22"/>
          <w:szCs w:val="22"/>
          <w:lang w:eastAsia="pt-BR"/>
        </w:rPr>
        <w:t xml:space="preserve">: </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 xml:space="preserve">(1) 0,1% (um décimo por cento) até 0,2% (dois décimos por cento) por dia sobre o valor adjudicado em caso de atraso na execução dos serviços, limitada a incidência a </w:t>
      </w:r>
      <w:r>
        <w:rPr>
          <w:rFonts w:cs="Arial" w:ascii="Calibri" w:hAnsi="Calibri"/>
          <w:color w:val="auto"/>
          <w:sz w:val="22"/>
          <w:szCs w:val="22"/>
          <w:lang w:val="pt-BR" w:eastAsia="pt-BR"/>
        </w:rPr>
        <w:t xml:space="preserve">15 (quinze) </w:t>
      </w:r>
      <w:r>
        <w:rPr>
          <w:rFonts w:cs="Arial" w:ascii="Calibri" w:hAnsi="Calibri"/>
          <w:sz w:val="22"/>
          <w:szCs w:val="22"/>
          <w:lang w:val="pt-BR" w:eastAsia="pt-BR"/>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(2) 0,1% (um décimo por cento) até 10% (dez por cento) sobre o valor adjudicado, em caso de atraso na execução do objeto, por período superior ao previsto no subitem acima, ou de inexecução parcial da obrigação assumida;</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(3) 0,1% (um décimo por cento) até 15% (quinze por cento) sobre o valor adjudicado, em caso de inexecução total da obrigação assumida;</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 xml:space="preserve">(4) 0,2% a 3,2% por dia sobre o valor mensal do contrato, conforme detalhamento constante das </w:t>
      </w:r>
      <w:r>
        <w:rPr>
          <w:rFonts w:cs="Arial" w:ascii="Calibri" w:hAnsi="Calibri"/>
          <w:b/>
          <w:bCs/>
          <w:sz w:val="22"/>
          <w:szCs w:val="22"/>
          <w:lang w:val="pt-BR" w:eastAsia="pt-BR"/>
        </w:rPr>
        <w:t>tabelas 1 e 2</w:t>
      </w:r>
      <w:r>
        <w:rPr>
          <w:rFonts w:cs="Arial" w:ascii="Calibri" w:hAnsi="Calibri"/>
          <w:sz w:val="22"/>
          <w:szCs w:val="22"/>
          <w:lang w:val="pt-BR" w:eastAsia="pt-BR"/>
        </w:rPr>
        <w:t>, abaixo;</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(5) 0,07% (sete centésimos por cento) do valor do contrato por dia de atraso na apresentação da garantia (seja para reforço ou por ocasião de prorrogação), observado o máximo de 2% (dois por cento). O atraso</w:t>
      </w:r>
      <w:r>
        <w:rPr>
          <w:rFonts w:cs="Arial" w:ascii="Calibri" w:hAnsi="Calibri"/>
          <w:sz w:val="22"/>
          <w:szCs w:val="22"/>
          <w:lang w:eastAsia="pt-BR"/>
        </w:rPr>
        <w:t xml:space="preserve"> superior a 25 (vinte e cinco) dias autorizará a Administração CONTRATANTE a promover a rescisão do contrato;</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eastAsia="pt-BR"/>
        </w:rPr>
        <w:t>(6) As penalidades de multa decorrentes de fatos diversos serão consideradas independentes entre si.</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val="false"/>
          <w:bCs w:val="false"/>
          <w:sz w:val="22"/>
          <w:szCs w:val="22"/>
          <w:lang w:eastAsia="pt-BR"/>
        </w:rPr>
        <w:t>c) Suspensão de licitar e impedimento de contratar com o órgão, entidade ou unidade administrativa pela qual a Administração Pública opera e atua concretamente, pelo prazo de até dois anos, conforme art. 87, III da Lei 8.666/93;</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val="false"/>
          <w:bCs w:val="false"/>
          <w:sz w:val="22"/>
          <w:szCs w:val="22"/>
          <w:lang w:eastAsia="pt-BR"/>
        </w:rPr>
        <w:t>d) Impedimento de licitar e contratar com a União e entidades federais, pelo prazo de até 5 (cinco) anos, conforme artigo 47 da Lei 12.462/2011;</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val="false"/>
          <w:bCs w:val="false"/>
          <w:sz w:val="22"/>
          <w:szCs w:val="22"/>
          <w:lang w:eastAsia="pt-BR"/>
        </w:rPr>
        <w:t xml:space="preserve">e) </w:t>
      </w:r>
      <w:r>
        <w:rPr>
          <w:rFonts w:cs="Arial" w:ascii="Calibri" w:hAnsi="Calibri"/>
          <w:sz w:val="22"/>
          <w:szCs w:val="22"/>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As sanções previstas nos subitens </w:t>
      </w:r>
      <w:r>
        <w:rPr>
          <w:rFonts w:cs="Arial" w:ascii="Calibri" w:hAnsi="Calibri"/>
          <w:sz w:val="22"/>
          <w:szCs w:val="22"/>
          <w:lang w:eastAsia="pt-BR"/>
        </w:rPr>
        <w:t xml:space="preserve">“a”, “c”, “d” e “e” </w:t>
      </w:r>
      <w:r>
        <w:rPr>
          <w:rFonts w:cs="Arial" w:ascii="Calibri" w:hAnsi="Calibri"/>
          <w:sz w:val="22"/>
          <w:szCs w:val="22"/>
        </w:rPr>
        <w:t>poderão ser aplicadas à CONTRATADA juntamente com as de multa, descontando-a dos pagamentos a serem efetuados.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Para efeito de aplicação de multas, às infrações são atribuídos graus, de acordo com as tabelas 1 e 2:</w:t>
      </w:r>
    </w:p>
    <w:p>
      <w:pPr>
        <w:pStyle w:val="Normal"/>
        <w:suppressAutoHyphens w:val="true"/>
        <w:spacing w:lineRule="auto" w:line="276" w:before="120" w:after="120"/>
        <w:ind w:right="-30" w:hanging="0"/>
        <w:jc w:val="center"/>
        <w:rPr>
          <w:sz w:val="22"/>
          <w:szCs w:val="22"/>
        </w:rPr>
      </w:pPr>
      <w:r>
        <w:rPr>
          <w:rFonts w:cs="Arial" w:ascii="Calibri" w:hAnsi="Calibri"/>
          <w:b/>
          <w:bCs/>
          <w:sz w:val="22"/>
          <w:szCs w:val="22"/>
        </w:rPr>
        <w:t>Tabela 1</w:t>
      </w:r>
    </w:p>
    <w:tbl>
      <w:tblPr>
        <w:tblW w:w="9180" w:type="dxa"/>
        <w:jc w:val="left"/>
        <w:tblInd w:w="187" w:type="dxa"/>
        <w:tblLayout w:type="fixed"/>
        <w:tblCellMar>
          <w:top w:w="75" w:type="dxa"/>
          <w:left w:w="75" w:type="dxa"/>
          <w:bottom w:w="75" w:type="dxa"/>
          <w:right w:w="75" w:type="dxa"/>
        </w:tblCellMar>
        <w:tblLook w:firstRow="0" w:noVBand="0" w:lastRow="0" w:firstColumn="0" w:lastColumn="0" w:noHBand="0" w:val="0000"/>
      </w:tblPr>
      <w:tblGrid>
        <w:gridCol w:w="3575"/>
        <w:gridCol w:w="5604"/>
      </w:tblGrid>
      <w:tr>
        <w:trPr>
          <w:trHeight w:val="180" w:hRule="atLeast"/>
        </w:trPr>
        <w:tc>
          <w:tcPr>
            <w:tcW w:w="357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GRAU</w:t>
            </w:r>
          </w:p>
        </w:tc>
        <w:tc>
          <w:tcPr>
            <w:tcW w:w="560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CORRESPONDÊNCIA</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1</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0,2%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2</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0,4%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3</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0,8%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4</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1,6%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5</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3,2% ao dia sobre o valor mensal do contrato</w:t>
            </w:r>
          </w:p>
        </w:tc>
      </w:tr>
    </w:tbl>
    <w:p>
      <w:pPr>
        <w:pStyle w:val="Normal"/>
        <w:suppressAutoHyphens w:val="true"/>
        <w:spacing w:lineRule="auto" w:line="276" w:before="120" w:after="120"/>
        <w:ind w:right="-30" w:hanging="0"/>
        <w:jc w:val="center"/>
        <w:rPr>
          <w:rFonts w:cs="Arial"/>
          <w:b/>
          <w:b/>
          <w:bCs/>
          <w:sz w:val="22"/>
          <w:szCs w:val="22"/>
        </w:rPr>
      </w:pPr>
      <w:r>
        <w:rPr>
          <w:rFonts w:cs="Arial"/>
          <w:b/>
          <w:bCs/>
          <w:sz w:val="22"/>
          <w:szCs w:val="22"/>
        </w:rPr>
      </w:r>
    </w:p>
    <w:p>
      <w:pPr>
        <w:pStyle w:val="Normal"/>
        <w:suppressAutoHyphens w:val="true"/>
        <w:spacing w:lineRule="auto" w:line="276" w:before="120" w:after="120"/>
        <w:ind w:right="-30" w:hanging="0"/>
        <w:jc w:val="center"/>
        <w:rPr>
          <w:sz w:val="22"/>
          <w:szCs w:val="22"/>
        </w:rPr>
      </w:pPr>
      <w:r>
        <w:rPr>
          <w:rFonts w:cs="Arial" w:ascii="Calibri" w:hAnsi="Calibri"/>
          <w:b/>
          <w:bCs/>
          <w:sz w:val="22"/>
          <w:szCs w:val="22"/>
        </w:rPr>
        <w:t>Tabela 2</w:t>
      </w:r>
    </w:p>
    <w:tbl>
      <w:tblPr>
        <w:tblW w:w="9180" w:type="dxa"/>
        <w:jc w:val="left"/>
        <w:tblInd w:w="187" w:type="dxa"/>
        <w:tblLayout w:type="fixed"/>
        <w:tblCellMar>
          <w:top w:w="75" w:type="dxa"/>
          <w:left w:w="75" w:type="dxa"/>
          <w:bottom w:w="75" w:type="dxa"/>
          <w:right w:w="75" w:type="dxa"/>
        </w:tblCellMar>
        <w:tblLook w:firstRow="0" w:noVBand="0" w:lastRow="0" w:firstColumn="0" w:lastColumn="0" w:noHBand="0" w:val="0000"/>
      </w:tblPr>
      <w:tblGrid>
        <w:gridCol w:w="2239"/>
        <w:gridCol w:w="4981"/>
        <w:gridCol w:w="1960"/>
      </w:tblGrid>
      <w:tr>
        <w:trPr>
          <w:trHeight w:val="60" w:hRule="atLeast"/>
        </w:trPr>
        <w:tc>
          <w:tcPr>
            <w:tcW w:w="9180" w:type="dxa"/>
            <w:gridSpan w:val="3"/>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INFRAÇÃO</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ITEM</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DESCRIÇÃO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GRAU</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1</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Permitir situação que crie a possibilidade de causar dano físico, lesão corporal ou conseqüências letais,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05</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2</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Suspender ou interromper, salvo motivo de força maior ou caso fortuito, os serviços contratuais por dia e por unidade de atendimento;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04</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3</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Manter funcionário sem qualificação para executar os serviços contratados, por empregado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03</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4</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Recusar-se a executar serviço determinado pela fiscalização, por serviço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02</w:t>
            </w:r>
          </w:p>
        </w:tc>
      </w:tr>
      <w:tr>
        <w:trPr>
          <w:trHeight w:val="225" w:hRule="atLeast"/>
        </w:trPr>
        <w:tc>
          <w:tcPr>
            <w:tcW w:w="9180" w:type="dxa"/>
            <w:gridSpan w:val="3"/>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Para os itens a seguir, deixar de:</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7</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Cumprir determinação formal ou instrução complementar do órgão fiscalizador,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02</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8</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Substituir empregado que se conduza de modo inconveniente ou não atenda às necessidades do serviço, por funcionário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01</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9</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Cumprir quaisquer dos itens do Edital e seus Anexos não previstos nesta tabela de multas, após reincidência formalmente notificada pelo órgão fiscalizador, por item e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03</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10</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Indicar e manter durante a execução do contrato os prepostos previstos no edital/contrato;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01</w:t>
            </w:r>
          </w:p>
        </w:tc>
      </w:tr>
    </w:tbl>
    <w:p>
      <w:pPr>
        <w:pStyle w:val="Normal"/>
        <w:suppressAutoHyphens w:val="true"/>
        <w:spacing w:lineRule="auto" w:line="276" w:before="0" w:after="0"/>
        <w:ind w:right="-30" w:hanging="0"/>
        <w:jc w:val="both"/>
        <w:rPr>
          <w:rFonts w:ascii="Calibri" w:hAnsi="Calibri"/>
          <w:sz w:val="22"/>
          <w:szCs w:val="22"/>
        </w:rPr>
      </w:pPr>
      <w:r>
        <w:rPr>
          <w:rFonts w:ascii="Calibri" w:hAnsi="Calibri"/>
          <w:sz w:val="22"/>
          <w:szCs w:val="22"/>
        </w:rPr>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Também ficam sujeitas às penalidades do art. 87, III e IV da Lei nº 8.666, de 1993, as empresas ou profissionais que: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Tenham sofrido condenação definitiva por praticar, por meio dolosos, fraude fiscal no recolhimento de quaisquer tributos;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Tenham praticado atos ilícitos visando a frustrar os objetivos da licitação;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Demonstrem não possuir idoneidade para contratar com a Administração em virtude de atos ilícitos praticados.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A aplicação de qualquer das penalidades previstas realizar-se-á em processo administrativo que assegurará o contraditório e a ampla defesa à CONTRATADA, </w:t>
      </w:r>
      <w:r>
        <w:rPr>
          <w:rFonts w:cs="Arial" w:ascii="Calibri" w:hAnsi="Calibri"/>
          <w:sz w:val="22"/>
          <w:szCs w:val="22"/>
          <w:lang w:val="pt-BR" w:eastAsia="zh-CN"/>
        </w:rPr>
        <w:t>observando-se o procedimento previsto na Lei nº 8.666, de 1993, e subsidiariamente a Lei nº 9.784, de 1999.</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val="pt-BR" w:eastAsia="zh-CN"/>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val="pt-BR" w:eastAsia="zh-CN"/>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Caso a Contratante determine, a multa deverá ser recolhida no prazo máximo de 15 (quinze)</w:t>
      </w:r>
      <w:r>
        <w:rPr>
          <w:rFonts w:cs="Arial" w:ascii="Calibri" w:hAnsi="Calibri"/>
          <w:color w:val="FF0000"/>
          <w:sz w:val="22"/>
          <w:szCs w:val="22"/>
        </w:rPr>
        <w:t xml:space="preserve"> </w:t>
      </w:r>
      <w:r>
        <w:rPr>
          <w:rFonts w:cs="Arial" w:ascii="Calibri" w:hAnsi="Calibri"/>
          <w:sz w:val="22"/>
          <w:szCs w:val="22"/>
        </w:rPr>
        <w:t>dias, a contar da data do recebimento da comunicação enviada pela autoridade competente.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As penalidades serão obrigatoriamente registradas no SICAF.</w:t>
      </w:r>
    </w:p>
    <w:p>
      <w:pPr>
        <w:pStyle w:val="Normal"/>
        <w:suppressAutoHyphens w:val="true"/>
        <w:spacing w:lineRule="auto" w:line="276" w:before="6" w:after="6"/>
        <w:ind w:left="432" w:right="-30" w:hanging="0"/>
        <w:jc w:val="both"/>
        <w:rPr>
          <w:rFonts w:ascii="Calibri" w:hAnsi="Calibri" w:cs="Arial"/>
          <w:sz w:val="22"/>
          <w:szCs w:val="22"/>
        </w:rPr>
      </w:pPr>
      <w:r>
        <w:rPr>
          <w:rFonts w:cs="Arial" w:ascii="Calibri" w:hAnsi="Calibri"/>
          <w:sz w:val="22"/>
          <w:szCs w:val="22"/>
        </w:rPr>
      </w:r>
    </w:p>
    <w:p>
      <w:pPr>
        <w:pStyle w:val="Normal"/>
        <w:numPr>
          <w:ilvl w:val="0"/>
          <w:numId w:val="2"/>
        </w:numPr>
        <w:tabs>
          <w:tab w:val="clear" w:pos="709"/>
          <w:tab w:val="left" w:pos="400" w:leader="none"/>
        </w:tabs>
        <w:suppressAutoHyphens w:val="true"/>
        <w:spacing w:before="0" w:after="120"/>
        <w:ind w:left="0" w:hanging="0"/>
        <w:jc w:val="both"/>
        <w:rPr>
          <w:sz w:val="22"/>
          <w:szCs w:val="22"/>
        </w:rPr>
      </w:pPr>
      <w:r>
        <w:rPr>
          <w:rFonts w:cs="Arial" w:ascii="Calibri" w:hAnsi="Calibri"/>
          <w:b/>
          <w:bCs/>
          <w:sz w:val="22"/>
          <w:szCs w:val="22"/>
        </w:rPr>
        <w:t>CRITÉRIOS DE SELEÇÃO DO FORNECEDOR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As exigências de habilitação jurídica e de regularidade fiscal e trabalhista são as usuais para a generalidade dos objetos, conforme disciplinado no edital.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Qualificação Técnica: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Registro ou inscrição da empresa contratada no CREA (Conselho Regional de Engenharia e Agronomia) e/ou CAU (Conselho de Arquitetura e Urbanismo), conforme as áreas de atuação previstas no Projeto Básico, em plena validade;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Quanto à capacitação técnico-operacional: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Execução de laje </w:t>
      </w: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pré-moldada em concreto</w:t>
      </w:r>
      <w:r>
        <w:rPr>
          <w:rFonts w:eastAsia="Calibri" w:cs="Arial" w:ascii="Calibri" w:hAnsi="Calibri"/>
          <w:b w:val="false"/>
          <w:bCs w:val="false"/>
          <w:i w:val="false"/>
          <w:iCs w:val="false"/>
          <w:strike w:val="false"/>
          <w:dstrike w:val="false"/>
          <w:color w:val="000000"/>
          <w:sz w:val="22"/>
          <w:szCs w:val="22"/>
          <w:shd w:fill="auto" w:val="clear"/>
          <w:lang w:val="pt-BR" w:eastAsia="en-US"/>
        </w:rPr>
        <w:t>;</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Execução de alvenaria de blocos de concreto;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Execução de piso granilite;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Os atestados exigidos no subitem anterior, para serem aceitos, deverão ter as seguintes informações:</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Execução de laje pré-moldada em concreto: 44,15 m²;</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Execução de alvenaria de blocos de concreto: 157,57 m²;</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Execução de piso granilite: 96,13 m²;</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Será admitida, para fins de comprovação de quantitativo mínimo do serviço, a apresentação de diferentes atestados de serviços executados de forma concomitante.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Comprovação da capacitação técnico-profissional, mediante apresentação de Certidão de Acervo Técnico – CAT, expedida pelo CREA, CAU ou CRT da região pertinente, nos termos da legislação aplicável, em nome do(s) responsável(is) técnico(s) e/ou membros da equipe técnica que participarão da obra, que demonstre a Anotação de Responsabilidade Técnica – ART, o Registro de Responsabilidade Técnica – RRT ou o Termo de Responsabilidade Técnica - TRT, relativo à execução dos serviços que compõem as parcelas de maior relevância técnica e valor significativo da contratação, a saber:</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Para o Engenheiro Civil, serviços elencados no subitem 16.2.2 com respectivos quantitativos descritos no subitem 16.2.3.</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 proponente, quando solicitada, deverá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 proposta deverá contemplar os quantitativos e orientações previstas neste Projeto Básico e Anexos.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Os critérios de aceitabilidade de preços serão: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val="pt-BR" w:eastAsia="zh-CN"/>
        </w:rPr>
        <w:t>Valor Globa</w:t>
      </w:r>
      <w:r>
        <w:rPr>
          <w:rFonts w:cs="Arial" w:ascii="Calibri" w:hAnsi="Calibri"/>
          <w:color w:val="auto"/>
          <w:sz w:val="22"/>
          <w:szCs w:val="22"/>
          <w:lang w:val="pt-BR" w:eastAsia="zh-CN"/>
        </w:rPr>
        <w:t xml:space="preserve">l: </w:t>
      </w:r>
      <w:r>
        <w:rPr>
          <w:rFonts w:eastAsia="Times New Roman" w:cs="Arial" w:ascii="Calibri" w:hAnsi="Calibri"/>
          <w:b w:val="false"/>
          <w:bCs w:val="false"/>
          <w:i w:val="false"/>
          <w:iCs w:val="false"/>
          <w:strike w:val="false"/>
          <w:dstrike w:val="false"/>
          <w:outline w:val="false"/>
          <w:shadow w:val="false"/>
          <w:color w:val="000000"/>
          <w:kern w:val="0"/>
          <w:sz w:val="22"/>
          <w:szCs w:val="22"/>
          <w:u w:val="none"/>
          <w:shd w:fill="auto" w:val="clear"/>
          <w:em w:val="none"/>
          <w:lang w:val="pt-BR" w:eastAsia="zh-CN" w:bidi="ar-SA"/>
        </w:rPr>
        <w:t>R$ 579.137,02 (quinhentos e setenta e nove mil, cento e trinta e sete reais e dois centavos).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Valores unitários: conforme planilha de composição de preços anexa ao edital.</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respectivos.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0" w:after="0"/>
        <w:ind w:left="1134" w:hanging="0"/>
        <w:jc w:val="both"/>
        <w:rPr>
          <w:sz w:val="22"/>
          <w:szCs w:val="22"/>
        </w:rPr>
      </w:pPr>
      <w:r>
        <w:rPr>
          <w:rFonts w:cs="Arial" w:ascii="Calibri" w:hAnsi="Calibri"/>
          <w:sz w:val="22"/>
          <w:szCs w:val="22"/>
        </w:rPr>
        <w:t>Caso o Regime de Execução seja o de empreitada por preço unitário, os custos unitários dos itens materialmente relevantes das propostas não podem exceder os custos unitários estabelecidos no orçamento estimado pela administração pública, sendo considerados itens materialmente relevantes aqueles de maior impacto no valor total da proposta e que, somados, representem pelo menos oitenta por cento do valor total do orçamento estimado ou que sejam considerados essenciais à funcionalidade da obra.</w:t>
      </w:r>
    </w:p>
    <w:p>
      <w:pPr>
        <w:pStyle w:val="Normal"/>
        <w:tabs>
          <w:tab w:val="clear" w:pos="709"/>
          <w:tab w:val="left" w:pos="273" w:leader="none"/>
          <w:tab w:val="left" w:pos="1701" w:leader="none"/>
          <w:tab w:val="left" w:pos="1865" w:leader="none"/>
          <w:tab w:val="left" w:pos="2269" w:leader="none"/>
        </w:tabs>
        <w:suppressAutoHyphens w:val="true"/>
        <w:spacing w:lineRule="auto" w:line="276" w:before="0" w:after="0"/>
        <w:ind w:hanging="0"/>
        <w:jc w:val="both"/>
        <w:rPr>
          <w:rFonts w:ascii="Calibri" w:hAnsi="Calibri" w:cs="Arial"/>
          <w:sz w:val="22"/>
          <w:szCs w:val="22"/>
        </w:rPr>
      </w:pPr>
      <w:r>
        <w:rPr>
          <w:rFonts w:cs="Arial" w:ascii="Calibri" w:hAnsi="Calibri"/>
          <w:sz w:val="22"/>
          <w:szCs w:val="22"/>
        </w:rPr>
      </w:r>
    </w:p>
    <w:p>
      <w:pPr>
        <w:pStyle w:val="Normal"/>
        <w:numPr>
          <w:ilvl w:val="0"/>
          <w:numId w:val="2"/>
        </w:numPr>
        <w:tabs>
          <w:tab w:val="clear" w:pos="709"/>
          <w:tab w:val="left" w:pos="400" w:leader="none"/>
        </w:tabs>
        <w:suppressAutoHyphens w:val="true"/>
        <w:spacing w:before="0" w:after="120"/>
        <w:ind w:left="0" w:hanging="0"/>
        <w:jc w:val="both"/>
        <w:rPr>
          <w:sz w:val="22"/>
          <w:szCs w:val="22"/>
        </w:rPr>
      </w:pPr>
      <w:r>
        <w:rPr>
          <w:rFonts w:cs="Arial" w:ascii="Calibri" w:hAnsi="Calibri"/>
          <w:b/>
          <w:bCs/>
          <w:sz w:val="22"/>
          <w:szCs w:val="22"/>
        </w:rPr>
        <w:t>ESTIMATIVA DE PREÇOS E PREÇOS REFERENCIAIS</w:t>
      </w:r>
    </w:p>
    <w:p>
      <w:pPr>
        <w:pStyle w:val="Norma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O custo estimado da contratação é </w:t>
      </w: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 xml:space="preserve">de </w:t>
      </w:r>
      <w:r>
        <w:rPr>
          <w:rFonts w:eastAsia="Times New Roman" w:cs="Arial" w:ascii="Calibri" w:hAnsi="Calibri"/>
          <w:b w:val="false"/>
          <w:bCs w:val="false"/>
          <w:i w:val="false"/>
          <w:iCs w:val="false"/>
          <w:strike w:val="false"/>
          <w:dstrike w:val="false"/>
          <w:outline w:val="false"/>
          <w:shadow w:val="false"/>
          <w:color w:val="000000"/>
          <w:kern w:val="0"/>
          <w:sz w:val="22"/>
          <w:szCs w:val="22"/>
          <w:u w:val="none"/>
          <w:shd w:fill="auto" w:val="clear"/>
          <w:em w:val="none"/>
          <w:lang w:val="pt-BR" w:eastAsia="zh-CN" w:bidi="ar-SA"/>
        </w:rPr>
        <w:t>R$ 579.137,02 (quinhentos e setenta e nove mil, cento e trinta e sete reais e dois centavos).</w:t>
      </w:r>
    </w:p>
    <w:p>
      <w:pPr>
        <w:pStyle w:val="Normal"/>
        <w:suppressAutoHyphens w:val="true"/>
        <w:spacing w:lineRule="auto" w:line="276" w:before="0" w:after="0"/>
        <w:ind w:left="432" w:right="-30" w:hanging="432"/>
        <w:jc w:val="both"/>
        <w:rPr>
          <w:sz w:val="22"/>
          <w:szCs w:val="22"/>
        </w:rPr>
      </w:pP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 xml:space="preserve"> </w:t>
      </w:r>
    </w:p>
    <w:p>
      <w:pPr>
        <w:pStyle w:val="Normal"/>
        <w:numPr>
          <w:ilvl w:val="0"/>
          <w:numId w:val="2"/>
        </w:numPr>
        <w:tabs>
          <w:tab w:val="clear" w:pos="709"/>
          <w:tab w:val="left" w:pos="400" w:leader="none"/>
        </w:tabs>
        <w:suppressAutoHyphens w:val="true"/>
        <w:spacing w:before="0" w:after="120"/>
        <w:ind w:left="0" w:hanging="0"/>
        <w:jc w:val="both"/>
        <w:rPr>
          <w:sz w:val="22"/>
          <w:szCs w:val="22"/>
        </w:rPr>
      </w:pPr>
      <w:r>
        <w:rPr>
          <w:rFonts w:cs="Arial" w:ascii="Calibri" w:hAnsi="Calibri"/>
          <w:b/>
          <w:bCs/>
          <w:sz w:val="22"/>
          <w:szCs w:val="22"/>
        </w:rPr>
        <w:t>DOS RECURSOS ORÇAMENTÁRIOS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As despesas decorrentes da presente contratação correrão à conta de recursos específicos com a seguinte dotação:</w:t>
      </w:r>
    </w:p>
    <w:p>
      <w:pPr>
        <w:pStyle w:val="Normal"/>
        <w:suppressAutoHyphens w:val="true"/>
        <w:spacing w:lineRule="auto" w:line="276" w:before="0" w:after="0"/>
        <w:ind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b/>
        <w:t>Ação Orçamentária: 20RG</w:t>
        <w:tab/>
        <w:t xml:space="preserve">Natureza da Despesa: </w:t>
      </w:r>
      <w:r>
        <w:rPr>
          <w:rFonts w:ascii="Calibri" w:hAnsi="Calibri"/>
          <w:sz w:val="22"/>
          <w:szCs w:val="22"/>
          <w:shd w:fill="auto" w:val="clear"/>
        </w:rPr>
        <w:t>33.90.51</w:t>
      </w:r>
    </w:p>
    <w:p>
      <w:pPr>
        <w:pStyle w:val="Normal"/>
        <w:suppressAutoHyphens w:val="true"/>
        <w:spacing w:lineRule="auto" w:line="276" w:before="0" w:after="0"/>
        <w:ind w:hanging="0"/>
        <w:jc w:val="both"/>
        <w:rPr>
          <w:rFonts w:ascii="Calibri" w:hAnsi="Calibri"/>
          <w:sz w:val="22"/>
          <w:szCs w:val="22"/>
        </w:rPr>
      </w:pPr>
      <w:r>
        <w:rPr>
          <w:rFonts w:ascii="Calibri" w:hAnsi="Calibri"/>
          <w:sz w:val="22"/>
          <w:szCs w:val="22"/>
        </w:rPr>
      </w:r>
    </w:p>
    <w:p>
      <w:pPr>
        <w:pStyle w:val="Normal"/>
        <w:suppressAutoHyphens w:val="true"/>
        <w:spacing w:lineRule="auto" w:line="276" w:before="0" w:after="0"/>
        <w:ind w:hanging="0"/>
        <w:jc w:val="both"/>
        <w:rPr>
          <w:rFonts w:ascii="Calibri" w:hAnsi="Calibri"/>
          <w:sz w:val="22"/>
          <w:szCs w:val="22"/>
        </w:rPr>
      </w:pPr>
      <w:r>
        <w:rPr>
          <w:rFonts w:ascii="Calibri" w:hAnsi="Calibri"/>
          <w:sz w:val="22"/>
          <w:szCs w:val="22"/>
        </w:rPr>
      </w:r>
    </w:p>
    <w:p>
      <w:pPr>
        <w:pStyle w:val="Normal"/>
        <w:suppressAutoHyphens w:val="true"/>
        <w:spacing w:lineRule="auto" w:line="276" w:before="0" w:after="120"/>
        <w:ind w:right="-15" w:hanging="0"/>
        <w:jc w:val="both"/>
        <w:rPr>
          <w:sz w:val="22"/>
          <w:szCs w:val="22"/>
        </w:rPr>
      </w:pPr>
      <w:r>
        <w:rPr>
          <w:rFonts w:cs="Arial" w:ascii="Calibri" w:hAnsi="Calibri"/>
          <w:sz w:val="22"/>
          <w:szCs w:val="22"/>
        </w:rPr>
        <w:t xml:space="preserve">Integram este Projeto Básico, para todos os fins e efeitos, os seguintes </w:t>
      </w:r>
      <w:r>
        <w:rPr>
          <w:rFonts w:cs="Arial" w:ascii="Calibri" w:hAnsi="Calibri"/>
          <w:b/>
          <w:sz w:val="22"/>
          <w:szCs w:val="22"/>
        </w:rPr>
        <w:t>Anexos</w:t>
      </w:r>
      <w:r>
        <w:rPr>
          <w:rFonts w:cs="Arial" w:ascii="Calibri" w:hAnsi="Calibri"/>
          <w:sz w:val="22"/>
          <w:szCs w:val="22"/>
        </w:rPr>
        <w:t>:</w:t>
      </w:r>
    </w:p>
    <w:p>
      <w:pPr>
        <w:pStyle w:val="Normal"/>
        <w:numPr>
          <w:ilvl w:val="0"/>
          <w:numId w:val="4"/>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 – Estudos Técnicos Preliminares;</w:t>
      </w:r>
    </w:p>
    <w:p>
      <w:pPr>
        <w:pStyle w:val="Normal"/>
        <w:numPr>
          <w:ilvl w:val="0"/>
          <w:numId w:val="4"/>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II – Memorial Descritivo e Especificações Técnicas;</w:t>
      </w:r>
    </w:p>
    <w:p>
      <w:pPr>
        <w:pStyle w:val="Normal"/>
        <w:numPr>
          <w:ilvl w:val="0"/>
          <w:numId w:val="4"/>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III – Planilha Orçamentária Sintética (Memória de cálculo e Composições Unitárias);</w:t>
      </w:r>
    </w:p>
    <w:p>
      <w:pPr>
        <w:pStyle w:val="Normal"/>
        <w:numPr>
          <w:ilvl w:val="0"/>
          <w:numId w:val="4"/>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IV – Planilha de Composição de BDI;</w:t>
      </w:r>
    </w:p>
    <w:p>
      <w:pPr>
        <w:pStyle w:val="Normal"/>
        <w:numPr>
          <w:ilvl w:val="0"/>
          <w:numId w:val="5"/>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V – Cronograma físico-financeiro;</w:t>
      </w:r>
    </w:p>
    <w:p>
      <w:pPr>
        <w:pStyle w:val="Normal"/>
        <w:numPr>
          <w:ilvl w:val="0"/>
          <w:numId w:val="5"/>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VI – Projetos (Projeto Arquitetônico, Projeto Hidrossanitário, Projeto Estrutural e Projeto Elétrico);</w:t>
      </w:r>
    </w:p>
    <w:p>
      <w:pPr>
        <w:pStyle w:val="Normal"/>
        <w:numPr>
          <w:ilvl w:val="0"/>
          <w:numId w:val="5"/>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VII – Documentos referentes à responsabilidade técnica (ART/RRT referentes à totalidade das peças técnicas produzidas por profissional habilitado).</w:t>
      </w:r>
    </w:p>
    <w:p>
      <w:pPr>
        <w:pStyle w:val="Normal"/>
        <w:numPr>
          <w:ilvl w:val="0"/>
          <w:numId w:val="0"/>
        </w:numPr>
        <w:suppressAutoHyphens w:val="true"/>
        <w:spacing w:lineRule="auto" w:line="276" w:before="0" w:after="0"/>
        <w:ind w:left="1800" w:right="-15" w:hanging="0"/>
        <w:jc w:val="both"/>
        <w:rPr>
          <w:rFonts w:ascii="Calibri" w:hAnsi="Calibri" w:eastAsia="Calibri" w:cs="Arial"/>
          <w:b w:val="false"/>
          <w:b w:val="false"/>
          <w:bCs w:val="false"/>
          <w:i w:val="false"/>
          <w:i w:val="false"/>
          <w:iCs w:val="false"/>
          <w:strike w:val="false"/>
          <w:dstrike w:val="false"/>
          <w:color w:val="000000"/>
          <w:sz w:val="22"/>
          <w:szCs w:val="22"/>
          <w:shd w:fill="auto" w:val="clear"/>
          <w:lang w:val="pt-BR" w:eastAsia="en-US"/>
        </w:rPr>
      </w:pPr>
      <w:r>
        <w:rPr>
          <w:rFonts w:eastAsia="Calibri" w:cs="Arial" w:ascii="Calibri" w:hAnsi="Calibri"/>
          <w:b w:val="false"/>
          <w:bCs w:val="false"/>
          <w:i w:val="false"/>
          <w:iCs w:val="false"/>
          <w:strike w:val="false"/>
          <w:dstrike w:val="false"/>
          <w:color w:val="000000"/>
          <w:sz w:val="22"/>
          <w:szCs w:val="22"/>
          <w:shd w:fill="auto" w:val="clear"/>
          <w:lang w:val="pt-BR" w:eastAsia="en-US"/>
        </w:rPr>
      </w:r>
    </w:p>
    <w:p>
      <w:pPr>
        <w:pStyle w:val="Normal"/>
        <w:suppressAutoHyphens w:val="true"/>
        <w:spacing w:lineRule="auto" w:line="276" w:before="0" w:after="120"/>
        <w:ind w:hanging="0"/>
        <w:rPr>
          <w:rFonts w:ascii="Calibri" w:hAnsi="Calibri" w:cs="Arial"/>
          <w:bCs/>
          <w:color w:val="000000"/>
          <w:shd w:fill="auto" w:val="clear"/>
          <w:lang w:val="pt-BR" w:eastAsia="zh-CN"/>
        </w:rPr>
      </w:pPr>
      <w:r>
        <w:rPr>
          <w:rFonts w:cs="Arial" w:ascii="Calibri" w:hAnsi="Calibri"/>
          <w:bCs/>
          <w:color w:val="000000"/>
          <w:shd w:fill="auto" w:val="clear"/>
          <w:lang w:val="pt-BR" w:eastAsia="zh-CN"/>
        </w:rPr>
      </w:r>
    </w:p>
    <w:p>
      <w:pPr>
        <w:pStyle w:val="Normal"/>
        <w:suppressAutoHyphens w:val="true"/>
        <w:spacing w:lineRule="auto" w:line="276" w:before="0" w:after="120"/>
        <w:ind w:hanging="0"/>
        <w:rPr>
          <w:rFonts w:ascii="Calibri" w:hAnsi="Calibri" w:cs="Arial"/>
          <w:bCs/>
          <w:color w:val="000000"/>
          <w:shd w:fill="auto" w:val="clear"/>
          <w:lang w:val="pt-BR" w:eastAsia="zh-CN"/>
        </w:rPr>
      </w:pPr>
      <w:r>
        <w:rPr>
          <w:rFonts w:cs="Arial" w:ascii="Calibri" w:hAnsi="Calibri"/>
          <w:bCs/>
          <w:color w:val="000000"/>
          <w:shd w:fill="auto" w:val="clear"/>
          <w:lang w:val="pt-BR" w:eastAsia="zh-CN"/>
        </w:rPr>
      </w:r>
    </w:p>
    <w:p>
      <w:pPr>
        <w:pStyle w:val="Normal"/>
        <w:suppressAutoHyphens w:val="true"/>
        <w:spacing w:lineRule="auto" w:line="276" w:before="0" w:after="120"/>
        <w:ind w:hanging="0"/>
        <w:rPr>
          <w:sz w:val="22"/>
          <w:szCs w:val="22"/>
        </w:rPr>
      </w:pPr>
      <w:r>
        <w:rPr>
          <w:rFonts w:cs="Arial" w:ascii="Calibri" w:hAnsi="Calibri"/>
          <w:bCs/>
          <w:color w:val="000000"/>
          <w:sz w:val="22"/>
          <w:szCs w:val="22"/>
          <w:shd w:fill="auto" w:val="clear"/>
          <w:lang w:val="pt-BR" w:eastAsia="zh-CN"/>
        </w:rPr>
        <w:t>Petrolina</w:t>
      </w:r>
      <w:r>
        <w:rPr>
          <w:rFonts w:cs="Arial" w:ascii="Calibri" w:hAnsi="Calibri"/>
          <w:color w:val="000000"/>
          <w:sz w:val="22"/>
          <w:szCs w:val="22"/>
          <w:shd w:fill="auto" w:val="clear"/>
          <w:lang w:val="pt-BR" w:eastAsia="zh-CN"/>
        </w:rPr>
        <w:t xml:space="preserve">, 17 de outubro de </w:t>
      </w:r>
      <w:bookmarkStart w:id="0" w:name="_GoBack"/>
      <w:bookmarkEnd w:id="0"/>
      <w:r>
        <w:rPr>
          <w:rFonts w:cs="Arial" w:ascii="Calibri" w:hAnsi="Calibri"/>
          <w:color w:val="000000"/>
          <w:sz w:val="22"/>
          <w:szCs w:val="22"/>
          <w:shd w:fill="auto" w:val="clear"/>
          <w:lang w:val="pt-BR" w:eastAsia="zh-CN"/>
        </w:rPr>
        <w:t>2022.</w:t>
      </w:r>
    </w:p>
    <w:p>
      <w:pPr>
        <w:pStyle w:val="Normal"/>
        <w:suppressAutoHyphens w:val="true"/>
        <w:spacing w:lineRule="auto" w:line="276" w:before="0" w:after="120"/>
        <w:ind w:left="360" w:hanging="0"/>
        <w:rPr>
          <w:rFonts w:ascii="Calibri" w:hAnsi="Calibri" w:cs="Arial"/>
          <w:sz w:val="22"/>
          <w:szCs w:val="22"/>
        </w:rPr>
      </w:pPr>
      <w:r>
        <w:rPr>
          <w:rFonts w:cs="Arial" w:ascii="Calibri" w:hAnsi="Calibri"/>
          <w:sz w:val="22"/>
          <w:szCs w:val="22"/>
        </w:rPr>
      </w:r>
    </w:p>
    <w:p>
      <w:pPr>
        <w:pStyle w:val="Normal"/>
        <w:suppressAutoHyphens w:val="true"/>
        <w:spacing w:lineRule="auto" w:line="276" w:before="0" w:after="120"/>
        <w:ind w:left="360" w:hanging="0"/>
        <w:rPr>
          <w:rFonts w:ascii="Calibri" w:hAnsi="Calibri" w:cs="Arial"/>
          <w:sz w:val="22"/>
          <w:szCs w:val="22"/>
        </w:rPr>
      </w:pPr>
      <w:r>
        <w:rPr>
          <w:rFonts w:cs="Arial" w:ascii="Calibri" w:hAnsi="Calibri"/>
          <w:sz w:val="22"/>
          <w:szCs w:val="22"/>
        </w:rPr>
      </w:r>
    </w:p>
    <w:p>
      <w:pPr>
        <w:pStyle w:val="Normal"/>
        <w:suppressAutoHyphens w:val="true"/>
        <w:spacing w:lineRule="auto" w:line="276" w:before="0" w:after="120"/>
        <w:ind w:left="360" w:hanging="0"/>
        <w:rPr>
          <w:rFonts w:ascii="Calibri" w:hAnsi="Calibri" w:cs="Arial"/>
          <w:sz w:val="22"/>
          <w:szCs w:val="22"/>
        </w:rPr>
      </w:pPr>
      <w:r>
        <w:rPr>
          <w:rFonts w:cs="Arial" w:ascii="Calibri" w:hAnsi="Calibri"/>
          <w:sz w:val="22"/>
          <w:szCs w:val="22"/>
        </w:rPr>
      </w:r>
    </w:p>
    <w:p>
      <w:pPr>
        <w:pStyle w:val="Normal"/>
        <w:suppressAutoHyphens w:val="true"/>
        <w:spacing w:lineRule="auto" w:line="276" w:before="0" w:after="120"/>
        <w:ind w:left="360" w:hanging="0"/>
        <w:jc w:val="center"/>
        <w:rPr>
          <w:sz w:val="22"/>
          <w:szCs w:val="22"/>
        </w:rPr>
      </w:pPr>
      <w:r>
        <w:rPr>
          <w:rFonts w:cs="Arial" w:ascii="Calibri" w:hAnsi="Calibri"/>
          <w:sz w:val="22"/>
          <w:szCs w:val="22"/>
        </w:rPr>
        <w:t>__________________________________</w:t>
      </w:r>
    </w:p>
    <w:p>
      <w:pPr>
        <w:pStyle w:val="Contedodatabela"/>
        <w:suppressAutoHyphens w:val="true"/>
        <w:snapToGrid w:val="false"/>
        <w:spacing w:before="0" w:after="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Layane Ribeiro Mascarenhas</w:t>
      </w:r>
    </w:p>
    <w:p>
      <w:pPr>
        <w:pStyle w:val="Contedodatabela"/>
        <w:suppressAutoHyphens w:val="true"/>
        <w:snapToGrid w:val="false"/>
        <w:spacing w:before="0" w:after="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Engenheira Civil</w:t>
      </w:r>
    </w:p>
    <w:p>
      <w:pPr>
        <w:pStyle w:val="Contedodatabela"/>
        <w:suppressAutoHyphens w:val="true"/>
        <w:snapToGrid w:val="false"/>
        <w:spacing w:lineRule="auto" w:line="240" w:before="0" w:after="0"/>
        <w:ind w:hanging="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SIAPE 3054335</w:t>
      </w:r>
    </w:p>
    <w:p>
      <w:pPr>
        <w:pStyle w:val="Normal"/>
        <w:suppressAutoHyphens w:val="true"/>
        <w:spacing w:lineRule="auto" w:line="276" w:before="0" w:after="120"/>
        <w:ind w:hanging="0"/>
        <w:rPr>
          <w:rFonts w:ascii="Calibri" w:hAnsi="Calibri"/>
          <w:sz w:val="22"/>
          <w:szCs w:val="22"/>
        </w:rPr>
      </w:pPr>
      <w:r>
        <w:rPr>
          <w:rFonts w:ascii="Calibri" w:hAnsi="Calibri"/>
          <w:sz w:val="22"/>
          <w:szCs w:val="22"/>
        </w:rPr>
      </w:r>
    </w:p>
    <w:p>
      <w:pPr>
        <w:pStyle w:val="Normal"/>
        <w:suppressAutoHyphens w:val="true"/>
        <w:spacing w:lineRule="auto" w:line="276" w:before="0" w:after="120"/>
        <w:ind w:hanging="0"/>
        <w:rPr>
          <w:rFonts w:ascii="Calibri" w:hAnsi="Calibri"/>
          <w:sz w:val="22"/>
          <w:szCs w:val="22"/>
        </w:rPr>
      </w:pPr>
      <w:r>
        <w:rPr>
          <w:rFonts w:ascii="Calibri" w:hAnsi="Calibri"/>
          <w:sz w:val="22"/>
          <w:szCs w:val="22"/>
        </w:rPr>
      </w:r>
    </w:p>
    <w:p>
      <w:pPr>
        <w:pStyle w:val="Normal"/>
        <w:suppressAutoHyphens w:val="true"/>
        <w:spacing w:lineRule="auto" w:line="276" w:before="0" w:after="120"/>
        <w:ind w:hanging="0"/>
        <w:rPr>
          <w:rFonts w:ascii="Calibri" w:hAnsi="Calibri"/>
          <w:sz w:val="22"/>
          <w:szCs w:val="22"/>
        </w:rPr>
      </w:pPr>
      <w:r>
        <w:rPr>
          <w:rFonts w:ascii="Calibri" w:hAnsi="Calibri"/>
          <w:sz w:val="22"/>
          <w:szCs w:val="22"/>
        </w:rPr>
      </w:r>
    </w:p>
    <w:p>
      <w:pPr>
        <w:pStyle w:val="Normal"/>
        <w:suppressAutoHyphens w:val="true"/>
        <w:spacing w:lineRule="auto" w:line="276" w:before="0" w:after="120"/>
        <w:ind w:hanging="0"/>
        <w:rPr>
          <w:sz w:val="22"/>
          <w:szCs w:val="22"/>
        </w:rPr>
      </w:pPr>
      <w:r>
        <w:rPr>
          <w:rFonts w:cs="Arial" w:ascii="Calibri" w:hAnsi="Calibri"/>
          <w:b/>
          <w:i w:val="false"/>
          <w:color w:val="000000"/>
          <w:sz w:val="22"/>
          <w:szCs w:val="22"/>
          <w:lang w:val="pt-BR" w:eastAsia="zh-CN"/>
        </w:rPr>
        <w:t>Aprovo:</w:t>
      </w:r>
    </w:p>
    <w:p>
      <w:pPr>
        <w:pStyle w:val="Normal"/>
        <w:suppressAutoHyphens w:val="true"/>
        <w:jc w:val="both"/>
        <w:rPr>
          <w:sz w:val="22"/>
          <w:szCs w:val="22"/>
        </w:rPr>
      </w:pPr>
      <w:r>
        <w:rPr>
          <w:rFonts w:cs="Arial" w:ascii="Calibri" w:hAnsi="Calibri"/>
          <w:b w:val="false"/>
          <w:i w:val="false"/>
          <w:color w:val="000000"/>
          <w:sz w:val="22"/>
          <w:szCs w:val="22"/>
          <w:lang w:val="pt-BR" w:eastAsia="zh-CN"/>
        </w:rPr>
        <w:t xml:space="preserve">O Presente Projeto Básico, de acordo com o § 5°, art. 8° da Lei de 12.462/2011, cuja finalidade é subsidiar os licitantes de todas as informações necessárias à </w:t>
      </w:r>
      <w:r>
        <w:rPr>
          <w:rFonts w:cs="Arial" w:ascii="Calibri" w:hAnsi="Calibri"/>
          <w:b/>
          <w:bCs/>
          <w:i w:val="false"/>
          <w:iCs w:val="false"/>
          <w:color w:val="000000"/>
          <w:sz w:val="22"/>
          <w:szCs w:val="22"/>
          <w:u w:val="none"/>
          <w:shd w:fill="auto" w:val="clear"/>
          <w:lang w:val="pt-BR" w:eastAsia="zh-CN"/>
        </w:rPr>
        <w:t xml:space="preserve">Construção de Galpão </w:t>
      </w:r>
      <w:r>
        <w:rPr>
          <w:rFonts w:eastAsia="SimSun" w:cs="Lucida Sans" w:ascii="Calibri" w:hAnsi="Calibri"/>
          <w:b/>
          <w:bCs/>
          <w:i w:val="false"/>
          <w:iCs w:val="false"/>
          <w:color w:val="000000"/>
          <w:kern w:val="2"/>
          <w:sz w:val="22"/>
          <w:szCs w:val="22"/>
          <w:u w:val="none"/>
          <w:shd w:fill="auto" w:val="clear"/>
          <w:lang w:val="pt-BR" w:eastAsia="zh-CN" w:bidi="hi-IN"/>
        </w:rPr>
        <w:t xml:space="preserve">de Almoxarifado e Patrimônio </w:t>
      </w:r>
      <w:r>
        <w:rPr>
          <w:rFonts w:cs="Arial" w:ascii="Calibri" w:hAnsi="Calibri"/>
          <w:b/>
          <w:bCs/>
          <w:i w:val="false"/>
          <w:iCs w:val="false"/>
          <w:color w:val="000000"/>
          <w:sz w:val="22"/>
          <w:szCs w:val="22"/>
          <w:u w:val="none"/>
          <w:shd w:fill="auto" w:val="clear"/>
          <w:lang w:val="pt-BR" w:eastAsia="zh-CN"/>
        </w:rPr>
        <w:t xml:space="preserve">nos </w:t>
      </w:r>
      <w:r>
        <w:rPr>
          <w:rFonts w:cs="Arial" w:ascii="Calibri" w:hAnsi="Calibri"/>
          <w:b/>
          <w:bCs/>
          <w:i/>
          <w:iCs/>
          <w:color w:val="000000"/>
          <w:sz w:val="22"/>
          <w:szCs w:val="22"/>
          <w:u w:val="none"/>
          <w:shd w:fill="auto" w:val="clear"/>
          <w:lang w:val="pt-BR" w:eastAsia="zh-CN"/>
        </w:rPr>
        <w:t>campi</w:t>
      </w:r>
      <w:r>
        <w:rPr>
          <w:rFonts w:cs="Arial" w:ascii="Calibri" w:hAnsi="Calibri"/>
          <w:b/>
          <w:bCs/>
          <w:i w:val="false"/>
          <w:iCs w:val="false"/>
          <w:color w:val="000000"/>
          <w:sz w:val="22"/>
          <w:szCs w:val="22"/>
          <w:u w:val="none"/>
          <w:shd w:fill="auto" w:val="clear"/>
          <w:lang w:val="pt-BR" w:eastAsia="zh-CN"/>
        </w:rPr>
        <w:t xml:space="preserve"> Petrolina e Ouricuri do IFSertãoPE</w:t>
      </w:r>
      <w:r>
        <w:rPr>
          <w:rFonts w:cs="Arial" w:ascii="Calibri" w:hAnsi="Calibri"/>
          <w:b w:val="false"/>
          <w:i w:val="false"/>
          <w:color w:val="000000"/>
          <w:sz w:val="22"/>
          <w:szCs w:val="22"/>
          <w:lang w:val="pt-BR" w:eastAsia="zh-CN"/>
        </w:rPr>
        <w:t xml:space="preserve"> a partir da assinatura do contrato, estando presente os elementos necessários a identificação do objeto, seus custos e todos os critérios para participação de forma clara e objetiva.</w:t>
      </w:r>
    </w:p>
    <w:p>
      <w:pPr>
        <w:pStyle w:val="Normal"/>
        <w:suppressAutoHyphens w:val="true"/>
        <w:rPr>
          <w:b w:val="false"/>
          <w:b w:val="false"/>
          <w:i w:val="false"/>
          <w:i w:val="false"/>
          <w:color w:val="000000"/>
          <w:sz w:val="22"/>
          <w:szCs w:val="22"/>
        </w:rPr>
      </w:pPr>
      <w:r>
        <w:rPr>
          <w:b w:val="false"/>
          <w:i w:val="false"/>
          <w:color w:val="000000"/>
          <w:sz w:val="22"/>
          <w:szCs w:val="22"/>
        </w:rPr>
      </w:r>
    </w:p>
    <w:p>
      <w:pPr>
        <w:pStyle w:val="Normal"/>
        <w:suppressAutoHyphens w:val="true"/>
        <w:rPr>
          <w:b w:val="false"/>
          <w:b w:val="false"/>
          <w:i w:val="false"/>
          <w:i w:val="false"/>
          <w:color w:val="000000"/>
          <w:sz w:val="22"/>
          <w:szCs w:val="22"/>
        </w:rPr>
      </w:pPr>
      <w:r>
        <w:rPr>
          <w:b w:val="false"/>
          <w:i w:val="false"/>
          <w:color w:val="000000"/>
          <w:sz w:val="22"/>
          <w:szCs w:val="22"/>
        </w:rPr>
      </w:r>
    </w:p>
    <w:p>
      <w:pPr>
        <w:pStyle w:val="Normal"/>
        <w:suppressAutoHyphens w:val="true"/>
        <w:spacing w:lineRule="auto" w:line="276" w:before="0" w:after="120"/>
        <w:ind w:hanging="0"/>
        <w:rPr>
          <w:sz w:val="22"/>
          <w:szCs w:val="22"/>
        </w:rPr>
      </w:pPr>
      <w:r>
        <w:rPr>
          <w:rFonts w:cs="Arial" w:ascii="Calibri" w:hAnsi="Calibri"/>
          <w:b w:val="false"/>
          <w:bCs/>
          <w:i w:val="false"/>
          <w:color w:val="000000"/>
          <w:sz w:val="22"/>
          <w:szCs w:val="22"/>
          <w:shd w:fill="auto" w:val="clear"/>
          <w:lang w:val="pt-BR" w:eastAsia="zh-CN"/>
        </w:rPr>
        <w:t>Petrolina</w:t>
      </w:r>
      <w:r>
        <w:rPr>
          <w:rFonts w:cs="Arial" w:ascii="Calibri" w:hAnsi="Calibri"/>
          <w:b w:val="false"/>
          <w:i w:val="false"/>
          <w:color w:val="000000"/>
          <w:sz w:val="22"/>
          <w:szCs w:val="22"/>
          <w:shd w:fill="auto" w:val="clear"/>
          <w:lang w:val="pt-BR" w:eastAsia="zh-CN"/>
        </w:rPr>
        <w:t xml:space="preserve">, 17 de outubro de </w:t>
      </w:r>
      <w:bookmarkStart w:id="1" w:name="_GoBack1"/>
      <w:bookmarkEnd w:id="1"/>
      <w:r>
        <w:rPr>
          <w:rFonts w:cs="Arial" w:ascii="Calibri" w:hAnsi="Calibri"/>
          <w:b w:val="false"/>
          <w:i w:val="false"/>
          <w:color w:val="000000"/>
          <w:sz w:val="22"/>
          <w:szCs w:val="22"/>
          <w:shd w:fill="auto" w:val="clear"/>
          <w:lang w:val="pt-BR" w:eastAsia="zh-CN"/>
        </w:rPr>
        <w:t>2022.</w:t>
      </w:r>
    </w:p>
    <w:p>
      <w:pPr>
        <w:pStyle w:val="Normal"/>
        <w:suppressAutoHyphens w:val="true"/>
        <w:spacing w:lineRule="auto" w:line="276" w:before="0" w:after="120"/>
        <w:ind w:hanging="0"/>
        <w:rPr>
          <w:b w:val="false"/>
          <w:b w:val="false"/>
          <w:i w:val="false"/>
          <w:i w:val="false"/>
          <w:color w:val="000000"/>
          <w:sz w:val="22"/>
          <w:szCs w:val="22"/>
        </w:rPr>
      </w:pPr>
      <w:r>
        <w:rPr>
          <w:b w:val="false"/>
          <w:i w:val="false"/>
          <w:color w:val="000000"/>
          <w:sz w:val="22"/>
          <w:szCs w:val="22"/>
        </w:rPr>
      </w:r>
    </w:p>
    <w:p>
      <w:pPr>
        <w:pStyle w:val="Normal"/>
        <w:suppressAutoHyphens w:val="true"/>
        <w:spacing w:lineRule="auto" w:line="276" w:before="0" w:after="120"/>
        <w:ind w:hanging="0"/>
        <w:rPr>
          <w:b w:val="false"/>
          <w:b w:val="false"/>
          <w:i w:val="false"/>
          <w:i w:val="false"/>
          <w:color w:val="000000"/>
          <w:sz w:val="22"/>
          <w:szCs w:val="22"/>
        </w:rPr>
      </w:pPr>
      <w:r>
        <w:rPr>
          <w:b w:val="false"/>
          <w:i w:val="false"/>
          <w:color w:val="000000"/>
          <w:sz w:val="22"/>
          <w:szCs w:val="22"/>
        </w:rPr>
      </w:r>
    </w:p>
    <w:p>
      <w:pPr>
        <w:pStyle w:val="Normal"/>
        <w:suppressAutoHyphens w:val="true"/>
        <w:spacing w:lineRule="auto" w:line="276" w:before="0" w:after="120"/>
        <w:ind w:hanging="0"/>
        <w:rPr>
          <w:b w:val="false"/>
          <w:b w:val="false"/>
          <w:i w:val="false"/>
          <w:i w:val="false"/>
          <w:color w:val="000000"/>
          <w:sz w:val="22"/>
          <w:szCs w:val="22"/>
        </w:rPr>
      </w:pPr>
      <w:r>
        <w:rPr>
          <w:b w:val="false"/>
          <w:i w:val="false"/>
          <w:color w:val="000000"/>
          <w:sz w:val="22"/>
          <w:szCs w:val="22"/>
        </w:rPr>
      </w:r>
    </w:p>
    <w:p>
      <w:pPr>
        <w:pStyle w:val="Normal"/>
        <w:suppressAutoHyphens w:val="true"/>
        <w:spacing w:lineRule="auto" w:line="276" w:before="0" w:after="120"/>
        <w:ind w:left="360" w:hanging="0"/>
        <w:jc w:val="center"/>
        <w:rPr>
          <w:sz w:val="22"/>
          <w:szCs w:val="22"/>
        </w:rPr>
      </w:pPr>
      <w:r>
        <w:rPr>
          <w:rFonts w:cs="Arial" w:ascii="Calibri" w:hAnsi="Calibri"/>
          <w:sz w:val="22"/>
          <w:szCs w:val="22"/>
        </w:rPr>
        <w:t>__________________________________</w:t>
      </w:r>
    </w:p>
    <w:p>
      <w:pPr>
        <w:pStyle w:val="Normal"/>
        <w:suppressAutoHyphens w:val="true"/>
        <w:spacing w:lineRule="auto" w:line="276" w:before="0" w:after="0"/>
        <w:ind w:left="360" w:hanging="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Maria Leopoldina Veras Camelo</w:t>
      </w:r>
    </w:p>
    <w:p>
      <w:pPr>
        <w:pStyle w:val="Normal"/>
        <w:suppressAutoHyphens w:val="true"/>
        <w:spacing w:lineRule="auto" w:line="276" w:before="0" w:after="0"/>
        <w:ind w:left="360" w:hanging="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Reitora</w:t>
      </w:r>
    </w:p>
    <w:p>
      <w:pPr>
        <w:pStyle w:val="Normal"/>
        <w:suppressAutoHyphens w:val="true"/>
        <w:spacing w:lineRule="auto" w:line="276" w:before="0" w:after="0"/>
        <w:ind w:left="360" w:hanging="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IFSertãoPE</w:t>
      </w:r>
    </w:p>
    <w:sectPr>
      <w:headerReference w:type="default" r:id="rId2"/>
      <w:footerReference w:type="default" r:id="rId3"/>
      <w:type w:val="nextPage"/>
      <w:pgSz w:w="11906" w:h="16838"/>
      <w:pgMar w:left="1694" w:right="1656" w:header="1418" w:top="3671" w:footer="1026"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Light">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sz w:val="15"/>
        <w:szCs w:val="15"/>
      </w:rPr>
    </w:pPr>
    <w:r>
      <w:rPr>
        <w:sz w:val="15"/>
      </w:rPr>
      <w:fldChar w:fldCharType="begin"/>
    </w:r>
    <w:r>
      <w:rPr>
        <w:sz w:val="15"/>
      </w:rPr>
      <w:instrText> PAGE </w:instrText>
    </w:r>
    <w:r>
      <w:rPr>
        <w:sz w:val="15"/>
      </w:rPr>
      <w:fldChar w:fldCharType="separate"/>
    </w:r>
    <w:r>
      <w:rPr>
        <w:sz w:val="15"/>
      </w:rPr>
      <w:t>33</w:t>
    </w:r>
    <w:r>
      <w:rPr>
        <w:sz w:val="15"/>
      </w:rPr>
      <w:fldChar w:fldCharType="end"/>
    </w:r>
  </w:p>
  <w:p>
    <w:pPr>
      <w:pStyle w:val="Rodap"/>
      <w:rPr>
        <w:rFonts w:ascii="Calibri" w:hAnsi="Calibri"/>
      </w:rPr>
    </w:pPr>
    <w:r>
      <w:rPr>
        <w:rFonts w:ascii="Calibri" w:hAnsi="Calibri"/>
        <w:sz w:val="15"/>
        <w:szCs w:val="15"/>
      </w:rPr>
      <w:t>________________________________________________________________________________________________________</w:t>
    </w:r>
  </w:p>
  <w:p>
    <w:pPr>
      <w:pStyle w:val="Rodap"/>
      <w:rPr>
        <w:rFonts w:ascii="Calibri" w:hAnsi="Calibri"/>
      </w:rPr>
    </w:pPr>
    <w:r>
      <w:rPr>
        <w:rFonts w:ascii="Calibri" w:hAnsi="Calibri"/>
        <w:sz w:val="15"/>
        <w:szCs w:val="15"/>
      </w:rPr>
      <w:t>Câmara Nacional de Modelos de Licitações e Contratos da Consultoria-Geral da União</w:t>
    </w:r>
  </w:p>
  <w:p>
    <w:pPr>
      <w:pStyle w:val="Rodap"/>
      <w:rPr>
        <w:rFonts w:ascii="Calibri" w:hAnsi="Calibri"/>
      </w:rPr>
    </w:pPr>
    <w:r>
      <w:rPr>
        <w:rFonts w:ascii="Calibri" w:hAnsi="Calibri"/>
        <w:sz w:val="15"/>
        <w:szCs w:val="15"/>
      </w:rPr>
      <w:t xml:space="preserve">Modelo de Projeto Básico – Obra - Regime Diferenciado de Contratações (RDC) </w:t>
    </w:r>
  </w:p>
  <w:p>
    <w:pPr>
      <w:pStyle w:val="Rodap"/>
      <w:rPr>
        <w:rFonts w:ascii="Calibri" w:hAnsi="Calibri"/>
      </w:rPr>
    </w:pPr>
    <w:r>
      <w:rPr>
        <w:rFonts w:ascii="Calibri" w:hAnsi="Calibri"/>
        <w:sz w:val="15"/>
        <w:szCs w:val="15"/>
      </w:rPr>
      <w:t>Atualização: Outubro/2020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0" allowOverlap="1" relativeHeight="34">
          <wp:simplePos x="0" y="0"/>
          <wp:positionH relativeFrom="column">
            <wp:posOffset>24130</wp:posOffset>
          </wp:positionH>
          <wp:positionV relativeFrom="paragraph">
            <wp:posOffset>-95885</wp:posOffset>
          </wp:positionV>
          <wp:extent cx="1440180" cy="374650"/>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1440180" cy="374650"/>
                  </a:xfrm>
                  <a:prstGeom prst="rect">
                    <a:avLst/>
                  </a:prstGeom>
                </pic:spPr>
              </pic:pic>
            </a:graphicData>
          </a:graphic>
        </wp:anchor>
      </w:drawing>
      <w:drawing>
        <wp:anchor behindDoc="1" distT="0" distB="0" distL="0" distR="0" simplePos="0" locked="0" layoutInCell="0" allowOverlap="1" relativeHeight="67">
          <wp:simplePos x="0" y="0"/>
          <wp:positionH relativeFrom="column">
            <wp:posOffset>2472690</wp:posOffset>
          </wp:positionH>
          <wp:positionV relativeFrom="paragraph">
            <wp:posOffset>-54610</wp:posOffset>
          </wp:positionV>
          <wp:extent cx="517525" cy="508000"/>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rcRect l="-239" t="-242" r="-239" b="-242"/>
                  <a:stretch>
                    <a:fillRect/>
                  </a:stretch>
                </pic:blipFill>
                <pic:spPr bwMode="auto">
                  <a:xfrm>
                    <a:off x="0" y="0"/>
                    <a:ext cx="517525" cy="508000"/>
                  </a:xfrm>
                  <a:prstGeom prst="rect">
                    <a:avLst/>
                  </a:prstGeom>
                </pic:spPr>
              </pic:pic>
            </a:graphicData>
          </a:graphic>
        </wp:anchor>
      </w:drawing>
    </w:r>
  </w:p>
  <w:p>
    <w:pPr>
      <w:pStyle w:val="Cabealho"/>
      <w:rPr>
        <w:rFonts w:ascii="Calibri" w:hAnsi="Calibri"/>
      </w:rPr>
    </w:pPr>
    <w:r>
      <w:rPr>
        <w:rFonts w:ascii="Calibri" w:hAnsi="Calibri"/>
      </w:rPr>
    </w:r>
  </w:p>
  <w:p>
    <w:pPr>
      <w:pStyle w:val="Cabealho"/>
      <w:rPr>
        <w:rFonts w:ascii="Calibri" w:hAnsi="Calibri"/>
      </w:rPr>
    </w:pPr>
    <w:r>
      <w:rPr>
        <w:rFonts w:ascii="Calibri" w:hAnsi="Calibri"/>
      </w:rPr>
    </w:r>
  </w:p>
  <w:p>
    <w:pPr>
      <w:pStyle w:val="Normal"/>
      <w:spacing w:before="0" w:after="0"/>
      <w:jc w:val="center"/>
      <w:rPr>
        <w:rFonts w:ascii="Calibri" w:hAnsi="Calibri"/>
      </w:rPr>
    </w:pPr>
    <w:r>
      <w:rPr>
        <w:rFonts w:eastAsia="Calibri" w:cs="Arial" w:ascii="Calibri" w:hAnsi="Calibri"/>
        <w:b/>
        <w:sz w:val="17"/>
      </w:rPr>
      <w:t>MINISTÉRIO DA EDUCAÇÃO</w:t>
    </w:r>
  </w:p>
  <w:p>
    <w:pPr>
      <w:pStyle w:val="Normal"/>
      <w:spacing w:before="0" w:after="0"/>
      <w:jc w:val="center"/>
      <w:rPr>
        <w:rFonts w:ascii="Calibri" w:hAnsi="Calibri"/>
      </w:rPr>
    </w:pPr>
    <w:r>
      <w:rPr>
        <w:rFonts w:eastAsia="Calibri" w:cs="Arial" w:ascii="Calibri" w:hAnsi="Calibri"/>
        <w:sz w:val="17"/>
      </w:rPr>
      <w:t>SECRETARIA DE EDUCAÇÃO PROFISSIONAL E TECNOLÓGICA</w:t>
    </w:r>
  </w:p>
  <w:p>
    <w:pPr>
      <w:pStyle w:val="Normal"/>
      <w:spacing w:before="0" w:after="0"/>
      <w:jc w:val="center"/>
      <w:rPr>
        <w:rFonts w:ascii="Calibri" w:hAnsi="Calibri"/>
      </w:rPr>
    </w:pPr>
    <w:r>
      <w:rPr>
        <w:rFonts w:eastAsia="Calibri" w:cs="Arial" w:ascii="Calibri" w:hAnsi="Calibri"/>
        <w:sz w:val="17"/>
      </w:rPr>
      <w:t>INSTITUTO FEDERAL DE EDUCAÇÃO, CIÊNCIA E TECNOLOGIA SERTÃO PERNAMBUCANO</w:t>
    </w:r>
  </w:p>
  <w:p>
    <w:pPr>
      <w:pStyle w:val="Normal"/>
      <w:spacing w:before="0" w:after="0"/>
      <w:jc w:val="center"/>
      <w:rPr>
        <w:rFonts w:ascii="Calibri" w:hAnsi="Calibri"/>
      </w:rPr>
    </w:pPr>
    <w:r>
      <w:rPr>
        <w:rFonts w:eastAsia="Calibri" w:cs="Arial" w:ascii="Calibri" w:hAnsi="Calibri"/>
        <w:sz w:val="17"/>
      </w:rPr>
      <w:t>REITORIA – DIRETORIA DE ENGENHARIA E INFRAESTRUTURA</w:t>
    </w:r>
  </w:p>
  <w:p>
    <w:pPr>
      <w:pStyle w:val="Normal"/>
      <w:spacing w:before="0" w:after="0"/>
      <w:jc w:val="center"/>
      <w:rPr>
        <w:rFonts w:eastAsia="Calibri" w:cs="Arial"/>
        <w:sz w:val="17"/>
      </w:rPr>
    </w:pPr>
    <w:r>
      <w:rPr>
        <w:rFonts w:eastAsia="Calibri" w:cs="Arial"/>
        <w:sz w:val="17"/>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
      <w:numFmt w:val="decimal"/>
      <w:lvlText w:val="%1."/>
      <w:lvlJc w:val="left"/>
      <w:pPr>
        <w:tabs>
          <w:tab w:val="num" w:pos="0"/>
        </w:tabs>
        <w:ind w:left="360" w:hanging="360"/>
      </w:pPr>
      <w:rPr>
        <w:sz w:val="22"/>
        <w:b/>
        <w:szCs w:val="22"/>
        <w:bCs/>
        <w:rFonts w:ascii="Calibri" w:hAnsi="Calibri"/>
      </w:rPr>
    </w:lvl>
    <w:lvl w:ilvl="1">
      <w:start w:val="1"/>
      <w:numFmt w:val="decimal"/>
      <w:lvlText w:val="%1.%2."/>
      <w:lvlJc w:val="left"/>
      <w:pPr>
        <w:tabs>
          <w:tab w:val="num" w:pos="0"/>
        </w:tabs>
        <w:ind w:left="432" w:hanging="432"/>
      </w:pPr>
      <w:rPr>
        <w:sz w:val="22"/>
        <w:i w:val="false"/>
        <w:b w:val="false"/>
        <w:szCs w:val="22"/>
        <w:rFonts w:ascii="Calibri" w:hAnsi="Calibri"/>
        <w:color w:val="auto"/>
      </w:rPr>
    </w:lvl>
    <w:lvl w:ilvl="2">
      <w:start w:val="1"/>
      <w:numFmt w:val="decimal"/>
      <w:lvlText w:val="%1.%2.%3."/>
      <w:lvlJc w:val="left"/>
      <w:pPr>
        <w:tabs>
          <w:tab w:val="num" w:pos="0"/>
        </w:tabs>
        <w:ind w:left="1224" w:hanging="504"/>
      </w:pPr>
      <w:rPr>
        <w:sz w:val="20"/>
        <w:b w:val="false"/>
        <w:szCs w:val="20"/>
        <w:rFonts w:ascii="Calibri" w:hAnsi="Calibri"/>
        <w:color w:val="auto"/>
      </w:rPr>
    </w:lvl>
    <w:lvl w:ilvl="3">
      <w:start w:val="1"/>
      <w:numFmt w:val="decimal"/>
      <w:lvlText w:val="%1.%2.%3.%4."/>
      <w:lvlJc w:val="left"/>
      <w:pPr>
        <w:tabs>
          <w:tab w:val="num" w:pos="0"/>
        </w:tabs>
        <w:ind w:left="1728" w:hanging="648"/>
      </w:pPr>
      <w:rPr>
        <w:sz w:val="20"/>
        <w:szCs w:val="20"/>
        <w:rFonts w:ascii="Calibri" w:hAnsi="Calibri"/>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720" w:hanging="360"/>
      </w:pPr>
      <w:rPr>
        <w:sz w:val="20"/>
        <w:b/>
        <w:szCs w:val="20"/>
        <w:bCs/>
        <w:rFonts w:ascii="Arial" w:hAnsi="Arial"/>
      </w:rPr>
    </w:lvl>
    <w:lvl w:ilvl="1">
      <w:start w:val="1"/>
      <w:numFmt w:val="decimal"/>
      <w:lvlText w:val="%1.%2."/>
      <w:lvlJc w:val="left"/>
      <w:pPr>
        <w:tabs>
          <w:tab w:val="num" w:pos="0"/>
        </w:tabs>
        <w:ind w:left="1080" w:hanging="720"/>
      </w:pPr>
      <w:rPr>
        <w:sz w:val="22"/>
        <w:b w:val="false"/>
        <w:szCs w:val="22"/>
        <w:rFonts w:ascii="Calibri" w:hAnsi="Calibri"/>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decimal"/>
      <w:lvlText w:val="%1."/>
      <w:lvlJc w:val="left"/>
      <w:pPr>
        <w:tabs>
          <w:tab w:val="num" w:pos="0"/>
        </w:tabs>
        <w:ind w:left="502" w:hanging="360"/>
      </w:pPr>
      <w:rPr>
        <w:dstrike w:val="false"/>
        <w:strike w:val="false"/>
        <w:i w:val="false"/>
        <w:u w:val="none"/>
        <w:b/>
        <w:effect w:val="none"/>
      </w:rPr>
    </w:lvl>
    <w:lvl w:ilvl="1">
      <w:start w:val="1"/>
      <w:numFmt w:val="decimal"/>
      <w:lvlText w:val="%1.%2."/>
      <w:lvlJc w:val="left"/>
      <w:pPr>
        <w:tabs>
          <w:tab w:val="num" w:pos="0"/>
        </w:tabs>
        <w:ind w:left="858" w:hanging="432"/>
      </w:pPr>
      <w:rPr>
        <w:dstrike w:val="false"/>
        <w:strike w:val="false"/>
        <w:u w:val="none"/>
        <w:b w:val="false"/>
        <w:effect w:val="none"/>
      </w:rPr>
    </w:lvl>
    <w:lvl w:ilvl="2">
      <w:start w:val="1"/>
      <w:numFmt w:val="decimal"/>
      <w:lvlText w:val="%1.%2.%3."/>
      <w:lvlJc w:val="left"/>
      <w:pPr>
        <w:tabs>
          <w:tab w:val="num" w:pos="0"/>
        </w:tabs>
        <w:ind w:left="1224" w:hanging="504"/>
      </w:pPr>
      <w:rPr>
        <w:dstrike w:val="false"/>
        <w:strike w:val="false"/>
        <w:i w:val="false"/>
        <w:u w:val="none"/>
        <w:effect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mirrorMargins/>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66fce"/>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zh-CN" w:bidi="ar-SA"/>
    </w:rPr>
  </w:style>
  <w:style w:type="paragraph" w:styleId="Ttulo1">
    <w:name w:val="Heading 1"/>
    <w:basedOn w:val="Normal"/>
    <w:next w:val="Normal"/>
    <w:link w:val="Ttulo1Char"/>
    <w:uiPriority w:val="9"/>
    <w:qFormat/>
    <w:rsid w:val="005c354c"/>
    <w:pPr>
      <w:keepNext w:val="true"/>
      <w:keepLines/>
      <w:spacing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Ttulo2">
    <w:name w:val="Heading 2"/>
    <w:basedOn w:val="Normal"/>
    <w:next w:val="Normal"/>
    <w:qFormat/>
    <w:pPr>
      <w:keepNext w:val="true"/>
      <w:numPr>
        <w:ilvl w:val="1"/>
        <w:numId w:val="1"/>
      </w:numPr>
      <w:tabs>
        <w:tab w:val="clear" w:pos="709"/>
        <w:tab w:val="left" w:pos="1701" w:leader="none"/>
      </w:tabs>
      <w:ind w:left="0" w:right="-1" w:hanging="0"/>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672b4"/>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character" w:styleId="DefaultParagraphFont" w:default="1">
    <w:name w:val="Default Paragraph Font"/>
    <w:uiPriority w:val="1"/>
    <w:semiHidden/>
    <w:unhideWhenUsed/>
    <w:qFormat/>
    <w:rPr/>
  </w:style>
  <w:style w:type="character" w:styleId="WW8Num3z0" w:customStyle="1">
    <w:name w:val="WW8Num3z0"/>
    <w:qFormat/>
    <w:rPr>
      <w:sz w:val="20"/>
      <w:szCs w:val="20"/>
    </w:rPr>
  </w:style>
  <w:style w:type="character" w:styleId="WW8Num3z1" w:customStyle="1">
    <w:name w:val="WW8Num3z1"/>
    <w:qFormat/>
    <w:rPr>
      <w:color w:val="auto"/>
    </w:rPr>
  </w:style>
  <w:style w:type="character" w:styleId="WW8Num4z0" w:customStyle="1">
    <w:name w:val="WW8Num4z0"/>
    <w:qFormat/>
    <w:rPr>
      <w:sz w:val="20"/>
      <w:szCs w:val="20"/>
    </w:rPr>
  </w:style>
  <w:style w:type="character" w:styleId="WW8Num4z1" w:customStyle="1">
    <w:name w:val="WW8Num4z1"/>
    <w:qFormat/>
    <w:rPr>
      <w:color w:val="auto"/>
    </w:rPr>
  </w:style>
  <w:style w:type="character" w:styleId="AbsatzStandardschriftart" w:customStyle="1">
    <w:name w:val="Absatz-Standardschriftart"/>
    <w:qFormat/>
    <w:rPr/>
  </w:style>
  <w:style w:type="character" w:styleId="WW8Num6z1" w:customStyle="1">
    <w:name w:val="WW8Num6z1"/>
    <w:qFormat/>
    <w:rPr>
      <w:i w:val="false"/>
    </w:rPr>
  </w:style>
  <w:style w:type="character" w:styleId="WW8Num7z0" w:customStyle="1">
    <w:name w:val="WW8Num7z0"/>
    <w:qFormat/>
    <w:rPr>
      <w:rFonts w:eastAsia="Arial Unicode MS"/>
    </w:rPr>
  </w:style>
  <w:style w:type="character" w:styleId="WW8Num7z1" w:customStyle="1">
    <w:name w:val="WW8Num7z1"/>
    <w:qFormat/>
    <w:rPr>
      <w:rFonts w:cs="Times New Roman"/>
      <w:b w:val="false"/>
      <w:i/>
      <w:color w:val="FF0000"/>
    </w:rPr>
  </w:style>
  <w:style w:type="character" w:styleId="Fontepargpadro2" w:customStyle="1">
    <w:name w:val="Fonte parág. padrão2"/>
    <w:qFormat/>
    <w:rPr/>
  </w:style>
  <w:style w:type="character" w:styleId="WW8Num2z1" w:customStyle="1">
    <w:name w:val="WW8Num2z1"/>
    <w:qFormat/>
    <w:rPr>
      <w:i w:val="false"/>
    </w:rPr>
  </w:style>
  <w:style w:type="character" w:styleId="WW8Num5z1" w:customStyle="1">
    <w:name w:val="WW8Num5z1"/>
    <w:qFormat/>
    <w:rPr>
      <w:i w:val="false"/>
    </w:rPr>
  </w:style>
  <w:style w:type="character" w:styleId="WWAbsatzStandardschriftart" w:customStyle="1">
    <w:name w:val="WW-Absatz-Standardschriftart"/>
    <w:qFormat/>
    <w:rPr/>
  </w:style>
  <w:style w:type="character" w:styleId="WW8Num1z0" w:customStyle="1">
    <w:name w:val="WW8Num1z0"/>
    <w:qFormat/>
    <w:rPr>
      <w:rFonts w:ascii="Symbol" w:hAnsi="Symbol" w:cs="Symbol"/>
    </w:rPr>
  </w:style>
  <w:style w:type="character" w:styleId="WW8Num1z2" w:customStyle="1">
    <w:name w:val="WW8Num1z2"/>
    <w:qFormat/>
    <w:rPr>
      <w:rFonts w:ascii="Courier New" w:hAnsi="Courier New" w:cs="Courier New"/>
    </w:rPr>
  </w:style>
  <w:style w:type="character" w:styleId="WW8Num1z3" w:customStyle="1">
    <w:name w:val="WW8Num1z3"/>
    <w:qFormat/>
    <w:rPr>
      <w:rFonts w:ascii="Wingdings" w:hAnsi="Wingdings" w:cs="Wingdings"/>
    </w:rPr>
  </w:style>
  <w:style w:type="character" w:styleId="WW8Num5z0" w:customStyle="1">
    <w:name w:val="WW8Num5z0"/>
    <w:qFormat/>
    <w:rPr>
      <w:b/>
      <w:i w:val="false"/>
    </w:rPr>
  </w:style>
  <w:style w:type="character" w:styleId="WW8Num8z1" w:customStyle="1">
    <w:name w:val="WW8Num8z1"/>
    <w:qFormat/>
    <w:rPr>
      <w:i w:val="false"/>
    </w:rPr>
  </w:style>
  <w:style w:type="character" w:styleId="WW8Num11z0" w:customStyle="1">
    <w:name w:val="WW8Num11z0"/>
    <w:qFormat/>
    <w:rPr>
      <w:rFonts w:cs="Tahoma"/>
    </w:rPr>
  </w:style>
  <w:style w:type="character" w:styleId="WW8Num12z1" w:customStyle="1">
    <w:name w:val="WW8Num12z1"/>
    <w:qFormat/>
    <w:rPr>
      <w:color w:val="auto"/>
    </w:rPr>
  </w:style>
  <w:style w:type="character" w:styleId="WW8Num13z0" w:customStyle="1">
    <w:name w:val="WW8Num13z0"/>
    <w:qFormat/>
    <w:rPr>
      <w:b/>
      <w:i w:val="false"/>
    </w:rPr>
  </w:style>
  <w:style w:type="character" w:styleId="WW8Num13z1" w:customStyle="1">
    <w:name w:val="WW8Num13z1"/>
    <w:qFormat/>
    <w:rPr>
      <w:b/>
      <w:i w:val="false"/>
      <w:color w:val="auto"/>
    </w:rPr>
  </w:style>
  <w:style w:type="character" w:styleId="WW8Num15z0" w:customStyle="1">
    <w:name w:val="WW8Num15z0"/>
    <w:qFormat/>
    <w:rPr>
      <w:color w:val="0000FF"/>
    </w:rPr>
  </w:style>
  <w:style w:type="character" w:styleId="WW8Num16z0" w:customStyle="1">
    <w:name w:val="WW8Num16z0"/>
    <w:qFormat/>
    <w:rPr>
      <w:b w:val="false"/>
    </w:rPr>
  </w:style>
  <w:style w:type="character" w:styleId="WW8Num18z0" w:customStyle="1">
    <w:name w:val="WW8Num18z0"/>
    <w:qFormat/>
    <w:rPr>
      <w:rFonts w:ascii="Ecofont_Spranq_eco_Sans" w:hAnsi="Ecofont_Spranq_eco_Sans" w:cs="Arial"/>
      <w:i/>
      <w:color w:val="FF0000"/>
    </w:rPr>
  </w:style>
  <w:style w:type="character" w:styleId="WW8Num20z0" w:customStyle="1">
    <w:name w:val="WW8Num20z0"/>
    <w:qFormat/>
    <w:rPr>
      <w:rFonts w:cs="Tahoma"/>
    </w:rPr>
  </w:style>
  <w:style w:type="character" w:styleId="WW8Num21z0" w:customStyle="1">
    <w:name w:val="WW8Num21z0"/>
    <w:qFormat/>
    <w:rPr>
      <w:b w:val="false"/>
    </w:rPr>
  </w:style>
  <w:style w:type="character" w:styleId="WW8Num24z0" w:customStyle="1">
    <w:name w:val="WW8Num24z0"/>
    <w:qFormat/>
    <w:rPr>
      <w:b/>
      <w:i w:val="false"/>
    </w:rPr>
  </w:style>
  <w:style w:type="character" w:styleId="WW8Num24z1" w:customStyle="1">
    <w:name w:val="WW8Num24z1"/>
    <w:qFormat/>
    <w:rPr>
      <w:b/>
      <w:i w:val="false"/>
      <w:color w:val="auto"/>
    </w:rPr>
  </w:style>
  <w:style w:type="character" w:styleId="Fontepargpadro1" w:customStyle="1">
    <w:name w:val="Fonte parág. padrão1"/>
    <w:qFormat/>
    <w:rPr/>
  </w:style>
  <w:style w:type="character" w:styleId="TextodebaloChar" w:customStyle="1">
    <w:name w:val="Texto de balão Char"/>
    <w:qFormat/>
    <w:rPr>
      <w:rFonts w:ascii="Tahoma" w:hAnsi="Tahoma" w:cs="Tahoma"/>
      <w:sz w:val="16"/>
      <w:szCs w:val="16"/>
    </w:rPr>
  </w:style>
  <w:style w:type="character" w:styleId="Ttulo2Char" w:customStyle="1">
    <w:name w:val="Título 2 Char"/>
    <w:qFormat/>
    <w:rPr>
      <w:b/>
      <w:color w:val="000000"/>
      <w:sz w:val="24"/>
    </w:rPr>
  </w:style>
  <w:style w:type="character" w:styleId="Normalchar1" w:customStyle="1">
    <w:name w:val="normal__char1"/>
    <w:qFormat/>
    <w:rPr>
      <w:rFonts w:ascii="Arial" w:hAnsi="Arial" w:cs="Arial"/>
      <w:strike w:val="false"/>
      <w:dstrike w:val="false"/>
      <w:sz w:val="24"/>
      <w:szCs w:val="24"/>
      <w:u w:val="none"/>
    </w:rPr>
  </w:style>
  <w:style w:type="character" w:styleId="Applestylespan" w:customStyle="1">
    <w:name w:val="apple-style-span"/>
    <w:basedOn w:val="Fontepargpadro1"/>
    <w:qFormat/>
    <w:rPr/>
  </w:style>
  <w:style w:type="character" w:styleId="LinkdaInternet">
    <w:name w:val="Link da Internet"/>
    <w:rPr>
      <w:color w:val="000080"/>
      <w:u w:val="single"/>
    </w:rPr>
  </w:style>
  <w:style w:type="character" w:styleId="Strong">
    <w:name w:val="Strong"/>
    <w:uiPriority w:val="22"/>
    <w:qFormat/>
    <w:rPr>
      <w:b/>
      <w:bCs/>
    </w:rPr>
  </w:style>
  <w:style w:type="character" w:styleId="Nfase">
    <w:name w:val="Ênfase"/>
    <w:uiPriority w:val="20"/>
    <w:qFormat/>
    <w:rPr>
      <w:i/>
      <w:iCs/>
    </w:rPr>
  </w:style>
  <w:style w:type="character" w:styleId="Citao2Char" w:customStyle="1">
    <w:name w:val="citação 2 Char"/>
    <w:qFormat/>
    <w:rPr>
      <w:rFonts w:ascii="Ecofont_Spranq_eco_Sans" w:hAnsi="Ecofont_Spranq_eco_Sans" w:eastAsia="Calibri" w:cs="Tahoma"/>
      <w:i/>
      <w:iCs/>
      <w:color w:val="000000"/>
      <w:lang w:val="pt-BR" w:bidi="ar-SA"/>
    </w:rPr>
  </w:style>
  <w:style w:type="character" w:styleId="CorpodetextoChar" w:customStyle="1">
    <w:name w:val="Corpo de texto Char"/>
    <w:qFormat/>
    <w:rPr>
      <w:sz w:val="24"/>
      <w:lang w:val="pt-BR" w:bidi="ar-SA"/>
    </w:rPr>
  </w:style>
  <w:style w:type="character" w:styleId="FootnoteCharacters" w:customStyle="1">
    <w:name w:val="Footnote Characters"/>
    <w:qFormat/>
    <w:rPr>
      <w:color w:val="FF0000"/>
      <w:vertAlign w:val="superscript"/>
    </w:rPr>
  </w:style>
  <w:style w:type="character" w:styleId="Appleconvertedspace" w:customStyle="1">
    <w:name w:val="apple-converted-space"/>
    <w:basedOn w:val="Fontepargpadro1"/>
    <w:qFormat/>
    <w:rPr/>
  </w:style>
  <w:style w:type="character" w:styleId="SombreamentoMdio1nfase3Char" w:customStyle="1">
    <w:name w:val="Sombreamento Médio 1 - Ênfase 3 Char"/>
    <w:qFormat/>
    <w:rPr>
      <w:rFonts w:ascii="Ecofont_Spranq_eco_Sans" w:hAnsi="Ecofont_Spranq_eco_Sans" w:eastAsia="Calibri" w:cs="Tahoma"/>
      <w:i/>
      <w:iCs/>
      <w:color w:val="000000"/>
      <w:szCs w:val="24"/>
      <w:lang w:val="pt-BR" w:bidi="ar-SA"/>
    </w:rPr>
  </w:style>
  <w:style w:type="character" w:styleId="TextodecomentrioChar" w:customStyle="1">
    <w:name w:val="Texto de comentário Char"/>
    <w:link w:val="Textodecomentrio"/>
    <w:uiPriority w:val="99"/>
    <w:qFormat/>
    <w:rPr>
      <w:rFonts w:ascii="Ecofont_Spranq_eco_Sans" w:hAnsi="Ecofont_Spranq_eco_Sans" w:cs="Tahoma"/>
    </w:rPr>
  </w:style>
  <w:style w:type="character" w:styleId="MediumGrid2Accent2Char" w:customStyle="1">
    <w:name w:val="Medium Grid 2 - Accent 2 Char"/>
    <w:link w:val="GradeMdia2-nfase21"/>
    <w:qFormat/>
    <w:rPr>
      <w:rFonts w:ascii="Ecofont_Spranq_eco_Sans" w:hAnsi="Ecofont_Spranq_eco_Sans" w:eastAsia="Calibri" w:cs="Ecofont_Spranq_eco_Sans"/>
      <w:i/>
      <w:iCs/>
      <w:color w:val="000000"/>
      <w:szCs w:val="24"/>
      <w:shd w:fill="FFFFCC" w:val="clear"/>
      <w:lang w:val="x-none"/>
    </w:rPr>
  </w:style>
  <w:style w:type="character" w:styleId="Refdecomentrio1" w:customStyle="1">
    <w:name w:val="Ref. de comentário1"/>
    <w:qFormat/>
    <w:rPr>
      <w:sz w:val="16"/>
      <w:szCs w:val="16"/>
    </w:rPr>
  </w:style>
  <w:style w:type="character" w:styleId="AssuntodocomentrioChar" w:customStyle="1">
    <w:name w:val="Assunto do comentário Char"/>
    <w:qFormat/>
    <w:rPr>
      <w:rFonts w:ascii="Ecofont_Spranq_eco_Sans" w:hAnsi="Ecofont_Spranq_eco_Sans" w:cs="Tahoma"/>
      <w:b/>
      <w:bCs/>
    </w:rPr>
  </w:style>
  <w:style w:type="character" w:styleId="Bullets" w:customStyle="1">
    <w:name w:val="Bullets"/>
    <w:qFormat/>
    <w:rPr>
      <w:rFonts w:ascii="OpenSymbol" w:hAnsi="OpenSymbol" w:eastAsia="OpenSymbol" w:cs="OpenSymbol"/>
    </w:rPr>
  </w:style>
  <w:style w:type="character" w:styleId="Refdecomentrio2" w:customStyle="1">
    <w:name w:val="Ref. de comentário2"/>
    <w:qFormat/>
    <w:rPr>
      <w:sz w:val="16"/>
      <w:szCs w:val="16"/>
    </w:rPr>
  </w:style>
  <w:style w:type="character" w:styleId="TextodecomentrioChar1" w:customStyle="1">
    <w:name w:val="Texto de comentário Char1"/>
    <w:qFormat/>
    <w:rPr>
      <w:rFonts w:ascii="Ecofont_Spranq_eco_Sans" w:hAnsi="Ecofont_Spranq_eco_Sans" w:cs="Tahoma"/>
      <w:lang w:eastAsia="zh-CN"/>
    </w:rPr>
  </w:style>
  <w:style w:type="character" w:styleId="CabealhoChar" w:customStyle="1">
    <w:name w:val="Cabeçalho Char"/>
    <w:qFormat/>
    <w:rPr>
      <w:rFonts w:ascii="Ecofont_Spranq_eco_Sans" w:hAnsi="Ecofont_Spranq_eco_Sans" w:cs="Tahoma"/>
      <w:sz w:val="24"/>
      <w:szCs w:val="24"/>
      <w:lang w:eastAsia="zh-CN"/>
    </w:rPr>
  </w:style>
  <w:style w:type="character" w:styleId="RodapChar" w:customStyle="1">
    <w:name w:val="Rodapé Char"/>
    <w:qFormat/>
    <w:rPr>
      <w:rFonts w:ascii="Ecofont_Spranq_eco_Sans" w:hAnsi="Ecofont_Spranq_eco_Sans" w:cs="Tahoma"/>
      <w:sz w:val="24"/>
      <w:szCs w:val="24"/>
      <w:lang w:eastAsia="zh-CN"/>
    </w:rPr>
  </w:style>
  <w:style w:type="character" w:styleId="TextodebaloChar1" w:customStyle="1">
    <w:name w:val="Texto de balão Char1"/>
    <w:link w:val="Textodebalo"/>
    <w:uiPriority w:val="99"/>
    <w:semiHidden/>
    <w:qFormat/>
    <w:rsid w:val="00b05d91"/>
    <w:rPr>
      <w:rFonts w:ascii="Segoe UI" w:hAnsi="Segoe UI" w:cs="Segoe UI"/>
      <w:sz w:val="18"/>
      <w:szCs w:val="18"/>
      <w:lang w:val="pt-BR" w:eastAsia="zh-CN"/>
    </w:rPr>
  </w:style>
  <w:style w:type="character" w:styleId="CitaoChar1" w:customStyle="1">
    <w:name w:val="Citação Char1"/>
    <w:uiPriority w:val="29"/>
    <w:qFormat/>
    <w:rsid w:val="008c1a93"/>
    <w:rPr>
      <w:rFonts w:ascii="Ecofont_Spranq_eco_Sans" w:hAnsi="Ecofont_Spranq_eco_Sans" w:cs="Tahoma"/>
      <w:i/>
      <w:iCs/>
      <w:color w:val="404040"/>
      <w:sz w:val="24"/>
      <w:szCs w:val="24"/>
      <w:lang w:eastAsia="zh-CN"/>
    </w:rPr>
  </w:style>
  <w:style w:type="character" w:styleId="Annotationreference">
    <w:name w:val="annotation reference"/>
    <w:uiPriority w:val="99"/>
    <w:unhideWhenUsed/>
    <w:qFormat/>
    <w:rsid w:val="008c1a93"/>
    <w:rPr>
      <w:sz w:val="16"/>
      <w:szCs w:val="16"/>
    </w:rPr>
  </w:style>
  <w:style w:type="character" w:styleId="TextodecomentrioChar2" w:customStyle="1">
    <w:name w:val="Texto de comentário Char2"/>
    <w:uiPriority w:val="99"/>
    <w:semiHidden/>
    <w:qFormat/>
    <w:rsid w:val="008c1a93"/>
    <w:rPr>
      <w:rFonts w:ascii="Ecofont_Spranq_eco_Sans" w:hAnsi="Ecofont_Spranq_eco_Sans" w:cs="Tahoma"/>
      <w:lang w:eastAsia="zh-CN"/>
    </w:rPr>
  </w:style>
  <w:style w:type="character" w:styleId="ColorfulGridAccent1Char" w:customStyle="1">
    <w:name w:val="Colorful Grid - Accent 1 Char"/>
    <w:link w:val="GradeColorida-nfase11"/>
    <w:uiPriority w:val="29"/>
    <w:qFormat/>
    <w:rsid w:val="00d04412"/>
    <w:rPr>
      <w:rFonts w:ascii="Ecofont_Spranq_eco_Sans" w:hAnsi="Ecofont_Spranq_eco_Sans" w:eastAsia="Calibri" w:cs="Tahoma"/>
      <w:i/>
      <w:iCs/>
      <w:color w:val="000000"/>
      <w:szCs w:val="24"/>
      <w:shd w:fill="FFFFCC" w:val="clear"/>
    </w:rPr>
  </w:style>
  <w:style w:type="character" w:styleId="AssuntodocomentrioChar1" w:customStyle="1">
    <w:name w:val="Assunto do comentário Char1"/>
    <w:link w:val="Assuntodocomentrio"/>
    <w:uiPriority w:val="99"/>
    <w:semiHidden/>
    <w:qFormat/>
    <w:rsid w:val="005a38b3"/>
    <w:rPr>
      <w:rFonts w:ascii="Ecofont_Spranq_eco_Sans" w:hAnsi="Ecofont_Spranq_eco_Sans" w:cs="Tahoma"/>
      <w:b/>
      <w:bCs/>
      <w:lang w:eastAsia="zh-CN"/>
    </w:rPr>
  </w:style>
  <w:style w:type="character" w:styleId="Ttulo3Char" w:customStyle="1">
    <w:name w:val="Título 3 Char"/>
    <w:basedOn w:val="DefaultParagraphFont"/>
    <w:link w:val="Ttulo3"/>
    <w:uiPriority w:val="9"/>
    <w:semiHidden/>
    <w:qFormat/>
    <w:rsid w:val="00c672b4"/>
    <w:rPr>
      <w:rFonts w:ascii="Calibri Light" w:hAnsi="Calibri Light" w:eastAsia="" w:cs="" w:asciiTheme="majorHAnsi" w:cstheme="majorBidi" w:eastAsiaTheme="majorEastAsia" w:hAnsiTheme="majorHAnsi"/>
      <w:color w:val="1F3763" w:themeColor="accent1" w:themeShade="7f"/>
      <w:sz w:val="24"/>
      <w:szCs w:val="24"/>
      <w:lang w:val="pt-BR" w:eastAsia="zh-CN"/>
    </w:rPr>
  </w:style>
  <w:style w:type="character" w:styleId="MenoPendente1" w:customStyle="1">
    <w:name w:val="Menção Pendente1"/>
    <w:basedOn w:val="DefaultParagraphFont"/>
    <w:uiPriority w:val="99"/>
    <w:semiHidden/>
    <w:unhideWhenUsed/>
    <w:qFormat/>
    <w:rsid w:val="00a70973"/>
    <w:rPr>
      <w:color w:val="808080"/>
      <w:shd w:fill="E6E6E6" w:val="clear"/>
    </w:rPr>
  </w:style>
  <w:style w:type="character" w:styleId="GradeColoridanfase1Char" w:customStyle="1">
    <w:name w:val="Grade Colorida - Ênfase 1 Char"/>
    <w:qFormat/>
    <w:rsid w:val="000a5cce"/>
    <w:rPr>
      <w:rFonts w:ascii="Ecofont_Spranq_eco_Sans" w:hAnsi="Ecofont_Spranq_eco_Sans" w:eastAsia="Calibri" w:cs="Ecofont_Spranq_eco_Sans"/>
      <w:i/>
      <w:iCs/>
      <w:color w:val="000000"/>
      <w:szCs w:val="24"/>
      <w:shd w:fill="FFFFCC" w:val="clear"/>
      <w:lang w:val="x-none"/>
    </w:rPr>
  </w:style>
  <w:style w:type="character" w:styleId="CitaoChar" w:customStyle="1">
    <w:name w:val="Citação Char"/>
    <w:basedOn w:val="DefaultParagraphFont"/>
    <w:link w:val="Citao"/>
    <w:uiPriority w:val="29"/>
    <w:qFormat/>
    <w:rsid w:val="00c40535"/>
    <w:rPr>
      <w:rFonts w:ascii="Arial" w:hAnsi="Arial" w:eastAsia="Calibri"/>
      <w:i/>
      <w:iCs/>
      <w:color w:val="000000"/>
      <w:szCs w:val="24"/>
      <w:shd w:fill="FFFFCC" w:val="clear"/>
      <w:lang w:val="x-none" w:eastAsia="en-US"/>
    </w:rPr>
  </w:style>
  <w:style w:type="character" w:styleId="Nivel1Char" w:customStyle="1">
    <w:name w:val="Nivel1 Char"/>
    <w:basedOn w:val="Ttulo1Char"/>
    <w:link w:val="Nivel1"/>
    <w:qFormat/>
    <w:rsid w:val="005c354c"/>
    <w:rPr>
      <w:rFonts w:ascii="Arial" w:hAnsi="Arial" w:eastAsia="" w:cs="" w:cstheme="majorBidi" w:eastAsiaTheme="majorEastAsia"/>
      <w:b/>
      <w:bCs w:val="false"/>
      <w:color w:val="000000"/>
      <w:sz w:val="28"/>
      <w:szCs w:val="28"/>
      <w:lang w:val="pt-BR" w:eastAsia="pt-BR"/>
    </w:rPr>
  </w:style>
  <w:style w:type="character" w:styleId="Ttulo1Char" w:customStyle="1">
    <w:name w:val="Título 1 Char"/>
    <w:basedOn w:val="DefaultParagraphFont"/>
    <w:link w:val="Ttulo1"/>
    <w:uiPriority w:val="9"/>
    <w:qFormat/>
    <w:rsid w:val="005c354c"/>
    <w:rPr>
      <w:rFonts w:ascii="Calibri Light" w:hAnsi="Calibri Light" w:eastAsia="" w:cs="" w:asciiTheme="majorHAnsi" w:cstheme="majorBidi" w:eastAsiaTheme="majorEastAsia" w:hAnsiTheme="majorHAnsi"/>
      <w:b/>
      <w:bCs/>
      <w:color w:val="2F5496" w:themeColor="accent1" w:themeShade="bf"/>
      <w:sz w:val="28"/>
      <w:szCs w:val="28"/>
      <w:lang w:val="pt-BR" w:eastAsia="zh-CN"/>
    </w:rPr>
  </w:style>
  <w:style w:type="character" w:styleId="QuoteChar" w:customStyle="1">
    <w:name w:val="Quote Char"/>
    <w:link w:val="Citao1"/>
    <w:qFormat/>
    <w:rsid w:val="00a825ec"/>
    <w:rPr>
      <w:rFonts w:ascii="Ecofont_Spranq_eco_Sans" w:hAnsi="Ecofont_Spranq_eco_Sans" w:eastAsia="Calibri"/>
      <w:i/>
      <w:iCs/>
      <w:color w:val="000000"/>
      <w:szCs w:val="24"/>
      <w:shd w:fill="FFFFCC" w:val="clear"/>
      <w:lang w:val="x-none" w:eastAsia="zh-CN"/>
    </w:rPr>
  </w:style>
  <w:style w:type="character" w:styleId="Nivel4Char" w:customStyle="1">
    <w:name w:val="Nivel 4 Char"/>
    <w:basedOn w:val="DefaultParagraphFont"/>
    <w:link w:val="Nivel4"/>
    <w:qFormat/>
    <w:locked/>
    <w:rsid w:val="002e6fd7"/>
    <w:rPr>
      <w:rFonts w:ascii="Ecofont_Spranq_eco_Sans" w:hAnsi="Ecofont_Spranq_eco_Sans" w:eastAsia="Arial Unicode MS" w:cs="Arial"/>
    </w:rPr>
  </w:style>
  <w:style w:type="character" w:styleId="Nivel5Char" w:customStyle="1">
    <w:name w:val="Nivel 5 Char"/>
    <w:basedOn w:val="Nivel4Char"/>
    <w:link w:val="Nivel5"/>
    <w:qFormat/>
    <w:locked/>
    <w:rsid w:val="002e6fd7"/>
    <w:rPr>
      <w:rFonts w:ascii="Ecofont_Spranq_eco_Sans" w:hAnsi="Ecofont_Spranq_eco_Sans" w:eastAsia="Arial Unicode MS" w:cs="Arial"/>
    </w:rPr>
  </w:style>
  <w:style w:type="character" w:styleId="Manoel" w:customStyle="1">
    <w:name w:val="Manoel"/>
    <w:qFormat/>
    <w:rsid w:val="002e6fd7"/>
    <w:rPr>
      <w:rFonts w:ascii="Arial" w:hAnsi="Arial" w:cs="Arial"/>
      <w:color w:val="7030A0"/>
      <w:sz w:val="20"/>
    </w:rPr>
  </w:style>
  <w:style w:type="character" w:styleId="Normaltextrun" w:customStyle="1">
    <w:name w:val="normaltextrun"/>
    <w:basedOn w:val="DefaultParagraphFont"/>
    <w:qFormat/>
    <w:rsid w:val="00476fed"/>
    <w:rPr/>
  </w:style>
  <w:style w:type="character" w:styleId="Eop" w:customStyle="1">
    <w:name w:val="eop"/>
    <w:basedOn w:val="DefaultParagraphFont"/>
    <w:qFormat/>
    <w:rsid w:val="00476fed"/>
    <w:rPr/>
  </w:style>
  <w:style w:type="character" w:styleId="Scxw225528099" w:customStyle="1">
    <w:name w:val="scxw225528099"/>
    <w:basedOn w:val="DefaultParagraphFont"/>
    <w:qFormat/>
    <w:rsid w:val="00476fed"/>
    <w:rPr/>
  </w:style>
  <w:style w:type="paragraph" w:styleId="Ttulo" w:customStyle="1">
    <w:name w:val="Título"/>
    <w:basedOn w:val="Normal"/>
    <w:next w:val="Corpodotexto"/>
    <w:qFormat/>
    <w:pPr>
      <w:keepNext w:val="true"/>
      <w:spacing w:before="240" w:after="120"/>
    </w:pPr>
    <w:rPr>
      <w:rFonts w:ascii="Liberation Sans" w:hAnsi="Liberation Sans" w:eastAsia="WenQuanYi Micro Hei" w:cs="Lohit Hindi"/>
      <w:sz w:val="28"/>
      <w:szCs w:val="28"/>
    </w:rPr>
  </w:style>
  <w:style w:type="paragraph" w:styleId="Corpodotexto">
    <w:name w:val="Body Text"/>
    <w:basedOn w:val="Normal"/>
    <w:pPr>
      <w:jc w:val="both"/>
    </w:pPr>
    <w:rPr>
      <w:rFonts w:ascii="Times New Roman" w:hAnsi="Times New Roman" w:cs="Times New Roman"/>
      <w:szCs w:val="20"/>
    </w:rPr>
  </w:style>
  <w:style w:type="paragraph" w:styleId="Lista">
    <w:name w:val="List"/>
    <w:basedOn w:val="Corpodotexto"/>
    <w:pPr/>
    <w:rPr>
      <w:rFonts w:cs="Lohit Hindi"/>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ohit Hindi"/>
    </w:rPr>
  </w:style>
  <w:style w:type="paragraph" w:styleId="Caption">
    <w:name w:val="caption"/>
    <w:basedOn w:val="Normal"/>
    <w:qFormat/>
    <w:pPr>
      <w:suppressLineNumbers/>
      <w:spacing w:before="120" w:after="120"/>
    </w:pPr>
    <w:rPr>
      <w:rFonts w:cs="Lohit Hindi"/>
      <w:i/>
      <w:iCs/>
    </w:rPr>
  </w:style>
  <w:style w:type="paragraph" w:styleId="Legenda1" w:customStyle="1">
    <w:name w:val="Legenda1"/>
    <w:basedOn w:val="Normal"/>
    <w:qFormat/>
    <w:pPr>
      <w:suppressLineNumbers/>
      <w:spacing w:before="120" w:after="120"/>
    </w:pPr>
    <w:rPr>
      <w:rFonts w:cs="Lohit Hindi"/>
      <w:i/>
      <w:iCs/>
    </w:rPr>
  </w:style>
  <w:style w:type="paragraph" w:styleId="GradeClaranfase31" w:customStyle="1">
    <w:name w:val="Grade Clara - Ênfase 31"/>
    <w:basedOn w:val="Normal"/>
    <w:qFormat/>
    <w:pPr>
      <w:ind w:left="720" w:hanging="0"/>
    </w:pPr>
    <w:rPr/>
  </w:style>
  <w:style w:type="paragraph" w:styleId="NormalWeb">
    <w:name w:val="Normal (Web)"/>
    <w:basedOn w:val="Normal"/>
    <w:uiPriority w:val="99"/>
    <w:qFormat/>
    <w:pPr>
      <w:spacing w:before="280" w:after="280"/>
    </w:pPr>
    <w:rPr>
      <w:rFonts w:ascii="Times New Roman" w:hAnsi="Times New Roman" w:cs="Times New Roman"/>
    </w:rPr>
  </w:style>
  <w:style w:type="paragraph" w:styleId="Textodebalo1" w:customStyle="1">
    <w:name w:val="Texto de balão1"/>
    <w:basedOn w:val="Normal"/>
    <w:qFormat/>
    <w:pPr/>
    <w:rPr>
      <w:rFonts w:ascii="Tahoma" w:hAnsi="Tahoma"/>
      <w:sz w:val="16"/>
      <w:szCs w:val="16"/>
    </w:rPr>
  </w:style>
  <w:style w:type="paragraph" w:styleId="Nvel2" w:customStyle="1">
    <w:name w:val="Nível 2"/>
    <w:basedOn w:val="Normal"/>
    <w:next w:val="Normal"/>
    <w:qFormat/>
    <w:pPr>
      <w:spacing w:before="0" w:after="120"/>
      <w:jc w:val="both"/>
    </w:pPr>
    <w:rPr>
      <w:rFonts w:ascii="Arial" w:hAnsi="Arial" w:cs="Times New Roman"/>
      <w:b/>
      <w:szCs w:val="20"/>
    </w:rPr>
  </w:style>
  <w:style w:type="paragraph" w:styleId="Citao2" w:customStyle="1">
    <w:name w:val="citação 2"/>
    <w:basedOn w:val="Normal"/>
    <w:qFormat/>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eastAsia="Calibri"/>
      <w:i/>
      <w:iCs/>
      <w:color w:val="000000"/>
      <w:sz w:val="20"/>
      <w:szCs w:val="20"/>
    </w:rPr>
  </w:style>
  <w:style w:type="paragraph" w:styleId="Ad" w:customStyle="1">
    <w:name w:val="ad"/>
    <w:basedOn w:val="Normal"/>
    <w:qFormat/>
    <w:pPr>
      <w:spacing w:lineRule="auto" w:line="360"/>
      <w:ind w:left="993" w:hanging="284"/>
      <w:jc w:val="both"/>
    </w:pPr>
    <w:rPr>
      <w:rFonts w:ascii="Times New Roman" w:hAnsi="Times New Roman" w:cs="Times New Roman"/>
      <w:color w:val="000000"/>
    </w:rPr>
  </w:style>
  <w:style w:type="paragraph" w:styleId="A6" w:customStyle="1">
    <w:name w:val="a6"/>
    <w:qFormat/>
    <w:pPr>
      <w:widowControl/>
      <w:suppressAutoHyphens w:val="true"/>
      <w:bidi w:val="0"/>
      <w:spacing w:before="0" w:after="120"/>
      <w:ind w:left="1134" w:hanging="0"/>
      <w:jc w:val="both"/>
    </w:pPr>
    <w:rPr>
      <w:rFonts w:ascii="Times New Roman" w:hAnsi="Times New Roman" w:eastAsia="Times New Roman" w:cs="Times New Roman"/>
      <w:bCs/>
      <w:iCs/>
      <w:color w:val="auto"/>
      <w:kern w:val="0"/>
      <w:sz w:val="20"/>
      <w:szCs w:val="20"/>
      <w:lang w:val="pt-BR" w:eastAsia="zh-CN" w:bidi="ar-SA"/>
    </w:rPr>
  </w:style>
  <w:style w:type="paragraph" w:styleId="Corpodotextorecuado">
    <w:name w:val="Body Text Indent"/>
    <w:basedOn w:val="Normal"/>
    <w:pPr>
      <w:spacing w:before="0" w:after="120"/>
      <w:ind w:left="283" w:hanging="0"/>
    </w:pPr>
    <w:rPr>
      <w:rFonts w:ascii="Times New Roman" w:hAnsi="Times New Roman" w:cs="Times New Roman"/>
      <w:szCs w:val="22"/>
    </w:rPr>
  </w:style>
  <w:style w:type="paragraph" w:styleId="Notaderodap">
    <w:name w:val="Footnote Text"/>
    <w:basedOn w:val="Normal"/>
    <w:pPr>
      <w:widowControl w:val="false"/>
      <w:suppressLineNumbers/>
      <w:ind w:left="283" w:hanging="283"/>
    </w:pPr>
    <w:rPr>
      <w:rFonts w:ascii="Times New Roman" w:hAnsi="Times New Roman" w:eastAsia="Arial Unicode MS" w:cs="Times New Roman"/>
      <w:sz w:val="20"/>
      <w:szCs w:val="20"/>
    </w:rPr>
  </w:style>
  <w:style w:type="paragraph" w:styleId="SombreamentoMdio1nfase31" w:customStyle="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eastAsia="Calibri"/>
      <w:i/>
      <w:iCs/>
      <w:color w:val="000000"/>
      <w:sz w:val="20"/>
    </w:rPr>
  </w:style>
  <w:style w:type="paragraph" w:styleId="Textodecomentrio1" w:customStyle="1">
    <w:name w:val="Texto de comentário1"/>
    <w:basedOn w:val="Normal"/>
    <w:qFormat/>
    <w:pPr/>
    <w:rPr>
      <w:sz w:val="20"/>
      <w:szCs w:val="20"/>
    </w:rPr>
  </w:style>
  <w:style w:type="paragraph" w:styleId="Citao1" w:customStyle="1">
    <w:name w:val="Citação1"/>
    <w:basedOn w:val="Normal"/>
    <w:next w:val="Normal"/>
    <w:link w:val="QuoteChar"/>
    <w:qFormat/>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eastAsia="Calibri" w:cs="Times New Roman"/>
      <w:i/>
      <w:iCs/>
      <w:color w:val="000000"/>
      <w:sz w:val="20"/>
      <w:lang w:val="x-none"/>
    </w:rPr>
  </w:style>
  <w:style w:type="paragraph" w:styleId="Assuntodocomentrio1" w:customStyle="1">
    <w:name w:val="Assunto do comentário1"/>
    <w:basedOn w:val="Textodecomentrio1"/>
    <w:next w:val="Textodecomentrio1"/>
    <w:qFormat/>
    <w:pPr/>
    <w:rPr>
      <w:b/>
      <w:bCs/>
    </w:rPr>
  </w:style>
  <w:style w:type="paragraph" w:styleId="PargrafodaLista1" w:customStyle="1">
    <w:name w:val="Parágrafo da Lista1"/>
    <w:basedOn w:val="Normal"/>
    <w:qFormat/>
    <w:pPr>
      <w:ind w:left="720" w:hanging="0"/>
    </w:pPr>
    <w:rPr/>
  </w:style>
  <w:style w:type="paragraph" w:styleId="Textodecomentrio2" w:customStyle="1">
    <w:name w:val="Texto de comentário2"/>
    <w:basedOn w:val="Normal"/>
    <w:qFormat/>
    <w:pPr/>
    <w:rPr>
      <w:sz w:val="20"/>
      <w:szCs w:val="20"/>
    </w:rPr>
  </w:style>
  <w:style w:type="paragraph" w:styleId="CabealhoeRodap">
    <w:name w:val="Cabeçalho e Rodapé"/>
    <w:basedOn w:val="Normal"/>
    <w:qFormat/>
    <w:pPr/>
    <w:rPr/>
  </w:style>
  <w:style w:type="paragraph" w:styleId="Cabealho">
    <w:name w:val="Header"/>
    <w:basedOn w:val="Normal"/>
    <w:pPr>
      <w:tabs>
        <w:tab w:val="clear" w:pos="709"/>
        <w:tab w:val="center" w:pos="4252" w:leader="none"/>
        <w:tab w:val="right" w:pos="8504" w:leader="none"/>
      </w:tabs>
    </w:pPr>
    <w:rPr/>
  </w:style>
  <w:style w:type="paragraph" w:styleId="Rodap">
    <w:name w:val="Footer"/>
    <w:basedOn w:val="Normal"/>
    <w:pPr>
      <w:tabs>
        <w:tab w:val="clear" w:pos="709"/>
        <w:tab w:val="center" w:pos="4252" w:leader="none"/>
        <w:tab w:val="right" w:pos="8504" w:leader="none"/>
      </w:tabs>
    </w:pPr>
    <w:rPr/>
  </w:style>
  <w:style w:type="paragraph" w:styleId="BalloonText">
    <w:name w:val="Balloon Text"/>
    <w:basedOn w:val="Normal"/>
    <w:link w:val="TextodebaloChar1"/>
    <w:uiPriority w:val="99"/>
    <w:semiHidden/>
    <w:unhideWhenUsed/>
    <w:qFormat/>
    <w:rsid w:val="00b05d91"/>
    <w:pPr/>
    <w:rPr>
      <w:rFonts w:ascii="Segoe UI" w:hAnsi="Segoe UI" w:cs="Segoe UI"/>
      <w:sz w:val="18"/>
      <w:szCs w:val="18"/>
    </w:rPr>
  </w:style>
  <w:style w:type="paragraph" w:styleId="GradeMdia1nfase21" w:customStyle="1">
    <w:name w:val="Grade Média 1 - Ênfase 21"/>
    <w:basedOn w:val="Normal"/>
    <w:uiPriority w:val="34"/>
    <w:qFormat/>
    <w:rsid w:val="008c1a93"/>
    <w:pPr>
      <w:widowControl w:val="false"/>
      <w:spacing w:before="0" w:after="0"/>
      <w:ind w:left="720" w:hanging="0"/>
      <w:contextualSpacing/>
    </w:pPr>
    <w:rPr>
      <w:rFonts w:ascii="Times New Roman" w:hAnsi="Times New Roman" w:eastAsia="Arial Unicode MS" w:cs="Times New Roman"/>
      <w:szCs w:val="20"/>
      <w:lang w:eastAsia="pt-BR"/>
    </w:rPr>
  </w:style>
  <w:style w:type="paragraph" w:styleId="GradeMdia2nfase21" w:customStyle="1">
    <w:name w:val="Grade Média 2 - Ênfase 21"/>
    <w:basedOn w:val="Normal"/>
    <w:next w:val="Normal"/>
    <w:link w:val="MediumGrid2-Accent2Char"/>
    <w:qFormat/>
    <w:rsid w:val="008c1a93"/>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eastAsia="Calibri" w:cs="Ecofont_Spranq_eco_Sans"/>
      <w:i/>
      <w:iCs/>
      <w:color w:val="000000"/>
      <w:sz w:val="20"/>
      <w:lang w:val="x-none" w:eastAsia="pt-BR"/>
    </w:rPr>
  </w:style>
  <w:style w:type="paragraph" w:styleId="Annotationtext">
    <w:name w:val="annotation text"/>
    <w:basedOn w:val="Normal"/>
    <w:link w:val="TextodecomentrioChar"/>
    <w:uiPriority w:val="99"/>
    <w:unhideWhenUsed/>
    <w:qFormat/>
    <w:rsid w:val="008c1a93"/>
    <w:pPr>
      <w:widowControl w:val="false"/>
    </w:pPr>
    <w:rPr>
      <w:sz w:val="20"/>
      <w:szCs w:val="20"/>
      <w:lang w:eastAsia="pt-BR"/>
    </w:rPr>
  </w:style>
  <w:style w:type="paragraph" w:styleId="GradeColoridanfase11" w:customStyle="1">
    <w:name w:val="Grade Colorida - Ênfase 11"/>
    <w:basedOn w:val="Normal"/>
    <w:next w:val="Normal"/>
    <w:link w:val="ColorfulGrid-Accent1Char"/>
    <w:uiPriority w:val="29"/>
    <w:qFormat/>
    <w:rsid w:val="00d04412"/>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eastAsia="Calibri"/>
      <w:i/>
      <w:iCs/>
      <w:color w:val="000000"/>
      <w:sz w:val="20"/>
      <w:lang w:eastAsia="en-US"/>
    </w:rPr>
  </w:style>
  <w:style w:type="paragraph" w:styleId="Annotationsubject">
    <w:name w:val="annotation subject"/>
    <w:basedOn w:val="Annotationtext"/>
    <w:next w:val="Annotationtext"/>
    <w:link w:val="AssuntodocomentrioChar1"/>
    <w:uiPriority w:val="99"/>
    <w:semiHidden/>
    <w:unhideWhenUsed/>
    <w:qFormat/>
    <w:rsid w:val="005a38b3"/>
    <w:pPr>
      <w:widowControl/>
    </w:pPr>
    <w:rPr>
      <w:b/>
      <w:bCs/>
      <w:lang w:eastAsia="zh-CN"/>
    </w:rPr>
  </w:style>
  <w:style w:type="paragraph" w:styleId="Quote">
    <w:name w:val="Quote"/>
    <w:basedOn w:val="Normal"/>
    <w:next w:val="Normal"/>
    <w:link w:val="CitaoChar"/>
    <w:uiPriority w:val="29"/>
    <w:qFormat/>
    <w:rsid w:val="00c40535"/>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ascii="Arial" w:hAnsi="Arial" w:eastAsia="Calibri" w:cs="Times New Roman"/>
      <w:i/>
      <w:iCs/>
      <w:color w:val="000000"/>
      <w:sz w:val="20"/>
      <w:lang w:val="x-none" w:eastAsia="en-US"/>
    </w:rPr>
  </w:style>
  <w:style w:type="paragraph" w:styleId="ListParagraph">
    <w:name w:val="List Paragraph"/>
    <w:basedOn w:val="Normal"/>
    <w:uiPriority w:val="34"/>
    <w:qFormat/>
    <w:rsid w:val="005c354c"/>
    <w:pPr>
      <w:suppressAutoHyphens w:val="false"/>
      <w:spacing w:before="0" w:after="0"/>
      <w:ind w:left="720" w:hanging="0"/>
      <w:contextualSpacing/>
    </w:pPr>
    <w:rPr>
      <w:rFonts w:ascii="Arial" w:hAnsi="Arial"/>
      <w:sz w:val="20"/>
      <w:lang w:eastAsia="pt-BR"/>
    </w:rPr>
  </w:style>
  <w:style w:type="paragraph" w:styleId="Nivel1" w:customStyle="1">
    <w:name w:val="Nivel1"/>
    <w:basedOn w:val="Ttulo1"/>
    <w:link w:val="Nivel1Char"/>
    <w:qFormat/>
    <w:rsid w:val="005c354c"/>
    <w:pPr>
      <w:suppressAutoHyphens w:val="false"/>
      <w:spacing w:lineRule="auto" w:line="276"/>
      <w:jc w:val="both"/>
    </w:pPr>
    <w:rPr>
      <w:rFonts w:ascii="Arial" w:hAnsi="Arial"/>
      <w:bCs w:val="false"/>
      <w:color w:val="000000"/>
      <w:lang w:eastAsia="pt-BR"/>
    </w:rPr>
  </w:style>
  <w:style w:type="paragraph" w:styleId="ListaColoridanfase11" w:customStyle="1">
    <w:name w:val="Lista Colorida - Ênfase 11"/>
    <w:basedOn w:val="Normal"/>
    <w:uiPriority w:val="34"/>
    <w:qFormat/>
    <w:rsid w:val="00943edb"/>
    <w:pPr>
      <w:widowControl w:val="false"/>
      <w:spacing w:before="0" w:after="0"/>
      <w:ind w:left="720" w:hanging="0"/>
      <w:contextualSpacing/>
    </w:pPr>
    <w:rPr>
      <w:rFonts w:ascii="Times New Roman" w:hAnsi="Times New Roman" w:eastAsia="Arial Unicode MS" w:cs="Times New Roman"/>
      <w:szCs w:val="20"/>
      <w:lang w:eastAsia="pt-BR"/>
    </w:rPr>
  </w:style>
  <w:style w:type="paragraph" w:styleId="PargrafodaLista2" w:customStyle="1">
    <w:name w:val="Parágrafo da Lista2"/>
    <w:basedOn w:val="Normal"/>
    <w:qFormat/>
    <w:rsid w:val="00943edb"/>
    <w:pPr>
      <w:suppressAutoHyphens w:val="false"/>
      <w:ind w:left="720" w:hanging="0"/>
    </w:pPr>
    <w:rPr>
      <w:lang w:eastAsia="pt-BR"/>
    </w:rPr>
  </w:style>
  <w:style w:type="paragraph" w:styleId="GradeColoridanfase110" w:customStyle="1">
    <w:name w:val="Grade Colorida - Ênfase 110"/>
    <w:basedOn w:val="Normal"/>
    <w:next w:val="Normal"/>
    <w:qFormat/>
    <w:rsid w:val="00943edb"/>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i/>
      <w:color w:val="000000"/>
      <w:lang w:eastAsia="en-US"/>
    </w:rPr>
  </w:style>
  <w:style w:type="paragraph" w:styleId="Nivel2" w:customStyle="1">
    <w:name w:val="Nivel 2"/>
    <w:qFormat/>
    <w:rsid w:val="002e6fd7"/>
    <w:pPr>
      <w:widowControl/>
      <w:numPr>
        <w:ilvl w:val="0"/>
        <w:numId w:val="6"/>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2e6fd7"/>
    <w:pPr/>
    <w:rPr>
      <w:rFonts w:cs="Arial"/>
      <w:b/>
    </w:rPr>
  </w:style>
  <w:style w:type="paragraph" w:styleId="Nivel3" w:customStyle="1">
    <w:name w:val="Nivel 3"/>
    <w:basedOn w:val="Nivel2"/>
    <w:qFormat/>
    <w:rsid w:val="002e6fd7"/>
    <w:pPr/>
    <w:rPr>
      <w:rFonts w:cs="Arial"/>
      <w:color w:val="000000"/>
    </w:rPr>
  </w:style>
  <w:style w:type="paragraph" w:styleId="Nivel4" w:customStyle="1">
    <w:name w:val="Nivel 4"/>
    <w:basedOn w:val="Nivel3"/>
    <w:link w:val="Nivel4Char"/>
    <w:qFormat/>
    <w:rsid w:val="002e6fd7"/>
    <w:pPr/>
    <w:rPr>
      <w:color w:val="auto"/>
      <w:lang w:val="en-GB" w:eastAsia="en-GB"/>
    </w:rPr>
  </w:style>
  <w:style w:type="paragraph" w:styleId="Nivel5" w:customStyle="1">
    <w:name w:val="Nivel 5"/>
    <w:basedOn w:val="Nivel4"/>
    <w:link w:val="Nivel5Char"/>
    <w:qFormat/>
    <w:rsid w:val="002e6fd7"/>
    <w:pPr/>
    <w:rPr/>
  </w:style>
  <w:style w:type="paragraph" w:styleId="PADRO" w:customStyle="1">
    <w:name w:val="PADRÃO"/>
    <w:qFormat/>
    <w:rsid w:val="002e6fd7"/>
    <w:pPr>
      <w:keepNext w:val="true"/>
      <w:widowControl w:val="false"/>
      <w:shd w:val="clear" w:color="auto" w:fill="FFFFFF"/>
      <w:suppressAutoHyphens w:val="true"/>
      <w:bidi w:val="0"/>
      <w:spacing w:lineRule="auto" w:line="276" w:before="119" w:after="119"/>
      <w:ind w:firstLine="567"/>
      <w:jc w:val="both"/>
    </w:pPr>
    <w:rPr>
      <w:rFonts w:ascii="Ecofont_Spranq_eco_Sans" w:hAnsi="Ecofont_Spranq_eco_Sans" w:eastAsia="WenQuanYi Micro Hei" w:cs="Lohit Hindi"/>
      <w:color w:val="auto"/>
      <w:kern w:val="0"/>
      <w:sz w:val="20"/>
      <w:szCs w:val="24"/>
      <w:lang w:val="pt-BR" w:eastAsia="zh-CN" w:bidi="hi-IN"/>
    </w:rPr>
  </w:style>
  <w:style w:type="paragraph" w:styleId="Paragraph" w:customStyle="1">
    <w:name w:val="paragraph"/>
    <w:basedOn w:val="Normal"/>
    <w:qFormat/>
    <w:rsid w:val="00476fed"/>
    <w:pPr>
      <w:suppressAutoHyphens w:val="false"/>
      <w:spacing w:beforeAutospacing="1" w:afterAutospacing="1"/>
    </w:pPr>
    <w:rPr>
      <w:rFonts w:ascii="Times New Roman" w:hAnsi="Times New Roman" w:cs="Times New Roman"/>
      <w:lang w:eastAsia="pt-BR"/>
    </w:rPr>
  </w:style>
  <w:style w:type="paragraph" w:styleId="Contedodatabela">
    <w:name w:val="Conteúdo da tabela"/>
    <w:basedOn w:val="Normal"/>
    <w:qFormat/>
    <w:pPr>
      <w:widowControl w:val="false"/>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3d6cb0"/>
    <w:rPr>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A795-8C94-41ED-B5F1-4FAFA2EB1E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DB49B0-7E0B-4465-8E2D-94C0A7E06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4304C-1E26-4978-98DC-88DCEE734CD8}">
  <ds:schemaRefs>
    <ds:schemaRef ds:uri="http://schemas.microsoft.com/sharepoint/v3/contenttype/forms"/>
  </ds:schemaRefs>
</ds:datastoreItem>
</file>

<file path=customXml/itemProps4.xml><?xml version="1.0" encoding="utf-8"?>
<ds:datastoreItem xmlns:ds="http://schemas.openxmlformats.org/officeDocument/2006/customXml" ds:itemID="{4D9720FC-7FC6-4436-BB83-78FFDBA0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6609</TotalTime>
  <Application>LibreOffice/7.1.7.2$Windows_X86_64 LibreOffice_project/c6a4e3954236145e2acb0b65f68614365aeee33f</Application>
  <AppVersion>15.0000</AppVersion>
  <Pages>33</Pages>
  <Words>9846</Words>
  <Characters>56879</Characters>
  <CharactersWithSpaces>66086</CharactersWithSpaces>
  <Paragraphs>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2020-11-16T22:44:00Z</dcterms:created>
  <dc:creator>EDUARDO DOTTI</dc:creator>
  <dc:description/>
  <dc:language>pt-BR</dc:language>
  <cp:lastModifiedBy/>
  <cp:lastPrinted>2021-09-29T21:36:00Z</cp:lastPrinted>
  <dcterms:modified xsi:type="dcterms:W3CDTF">2022-10-24T09:42:54Z</dcterms:modified>
  <cp:revision>472</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