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76" w:before="0" w:after="0"/>
        <w:jc w:val="center"/>
        <w:rPr/>
      </w:pPr>
      <w:r>
        <w:rPr>
          <w:rFonts w:ascii="Arial-BoldMT" w:hAnsi="Arial-BoldMT"/>
          <w:b/>
          <w:color w:val="000000"/>
          <w:sz w:val="24"/>
        </w:rPr>
        <w:t>TERMO DE JUSTIFICATIVA DE INEXIGIBILIDADE DE LICITAÇÃO</w:t>
      </w:r>
    </w:p>
    <w:p>
      <w:pPr>
        <w:pStyle w:val="Normal"/>
        <w:spacing w:lineRule="auto" w:line="276"/>
        <w:jc w:val="left"/>
        <w:rPr>
          <w:rFonts w:ascii="Arial-BoldMT" w:hAnsi="Arial-BoldMT"/>
          <w:b/>
          <w:b/>
          <w:color w:val="000000"/>
          <w:sz w:val="24"/>
        </w:rPr>
      </w:pPr>
      <w:r>
        <w:rPr>
          <w:rFonts w:ascii="Arial-BoldMT" w:hAnsi="Arial-BoldMT"/>
          <w:b/>
          <w:color w:val="000000"/>
          <w:sz w:val="24"/>
        </w:rPr>
      </w:r>
    </w:p>
    <w:p>
      <w:pPr>
        <w:pStyle w:val="Normal"/>
        <w:spacing w:lineRule="auto" w:line="276"/>
        <w:jc w:val="left"/>
        <w:rPr/>
      </w:pPr>
      <w:r>
        <w:rPr>
          <w:rFonts w:ascii="Arial-BoldMT" w:hAnsi="Arial-BoldMT"/>
          <w:b/>
          <w:color w:val="000000"/>
          <w:sz w:val="24"/>
        </w:rPr>
        <w:t xml:space="preserve">FUNDAMENTAÇÃO LEGAL: </w:t>
      </w:r>
      <w:r>
        <w:rPr>
          <w:rFonts w:ascii="ArialMT" w:hAnsi="ArialMT"/>
          <w:color w:val="000000"/>
          <w:sz w:val="24"/>
        </w:rPr>
        <w:t>Art. 25,</w:t>
      </w:r>
      <w:r>
        <w:rPr>
          <w:rFonts w:ascii="Arial-ItalicMT" w:hAnsi="Arial-ItalicMT"/>
          <w:i/>
          <w:color w:val="000000"/>
          <w:sz w:val="24"/>
        </w:rPr>
        <w:t xml:space="preserve">caput, </w:t>
      </w:r>
      <w:r>
        <w:rPr>
          <w:rFonts w:ascii="ArialMT" w:hAnsi="ArialMT"/>
          <w:color w:val="000000"/>
          <w:sz w:val="24"/>
        </w:rPr>
        <w:t>Lei nº 8.666, de 21 de junho de 1993.</w:t>
      </w:r>
    </w:p>
    <w:p>
      <w:pPr>
        <w:pStyle w:val="Normal"/>
        <w:spacing w:lineRule="auto" w:line="276"/>
        <w:jc w:val="left"/>
        <w:rPr/>
      </w:pPr>
      <w:r>
        <w:rPr>
          <w:rFonts w:ascii="Arial-BoldMT" w:hAnsi="Arial-BoldMT"/>
          <w:b/>
          <w:color w:val="000000"/>
          <w:sz w:val="24"/>
        </w:rPr>
        <w:t>Processo nº 23302.000234.2021-91</w:t>
      </w:r>
    </w:p>
    <w:p>
      <w:pPr>
        <w:pStyle w:val="Normal"/>
        <w:spacing w:lineRule="auto" w:line="276"/>
        <w:jc w:val="left"/>
        <w:rPr/>
      </w:pPr>
      <w:r>
        <w:rPr>
          <w:rFonts w:ascii="Arial-BoldMT" w:hAnsi="Arial-BoldMT"/>
          <w:b/>
          <w:color w:val="000000"/>
          <w:sz w:val="24"/>
        </w:rPr>
        <w:t xml:space="preserve">Objeto: </w:t>
      </w:r>
      <w:r>
        <w:rPr>
          <w:rFonts w:ascii="ArialMT" w:hAnsi="ArialMT"/>
          <w:color w:val="000000"/>
          <w:sz w:val="24"/>
        </w:rPr>
        <w:t>Contratação dos serviços postais e malotes para a Reitoria.</w:t>
      </w:r>
    </w:p>
    <w:p>
      <w:pPr>
        <w:pStyle w:val="Normal"/>
        <w:spacing w:lineRule="auto" w:line="276"/>
        <w:jc w:val="left"/>
        <w:rPr/>
      </w:pPr>
      <w:r>
        <w:rPr/>
      </w:r>
    </w:p>
    <w:p>
      <w:pPr>
        <w:pStyle w:val="Normal"/>
        <w:spacing w:lineRule="auto" w:line="276"/>
        <w:jc w:val="both"/>
        <w:rPr/>
      </w:pPr>
      <w:r>
        <w:rPr>
          <w:rFonts w:ascii="Arial-BoldMT" w:hAnsi="Arial-BoldMT"/>
          <w:b/>
          <w:color w:val="000000"/>
          <w:sz w:val="24"/>
        </w:rPr>
        <w:t>JUSTIFICATIVA DA ESCOLHA DO PROCEDIMENTO: INEXIGIBILIDADE</w:t>
      </w:r>
    </w:p>
    <w:p>
      <w:pPr>
        <w:pStyle w:val="Normal"/>
        <w:spacing w:lineRule="auto" w:line="276"/>
        <w:jc w:val="both"/>
        <w:rPr/>
      </w:pPr>
      <w:r>
        <w:rPr>
          <w:rFonts w:ascii="ArialMT" w:hAnsi="ArialMT"/>
          <w:color w:val="000000"/>
          <w:sz w:val="24"/>
        </w:rPr>
        <w:t>Visando o cumprimento do disposto no art. 26 da Lei nº 8.666/93, apresentamos a presente justificativa ao processo para contratação da Empresa Brasileira de Correios e Telégrafos para prestação de serviços de atividades postais para coleta, transporte e entrega de documentos.</w:t>
      </w:r>
    </w:p>
    <w:p>
      <w:pPr>
        <w:pStyle w:val="Normal"/>
        <w:spacing w:lineRule="auto" w:line="276"/>
        <w:jc w:val="both"/>
        <w:rPr/>
      </w:pPr>
      <w:r>
        <w:rPr>
          <w:rFonts w:ascii="ArialMT" w:hAnsi="ArialMT"/>
          <w:color w:val="000000"/>
          <w:sz w:val="24"/>
        </w:rPr>
        <w:t xml:space="preserve">A Reitoria do IF Sertão PE pretende contratar a Empresa Brasileira de Correios e Telégrafos - ECT para prestar os serviços postais, especificamente, </w:t>
      </w:r>
      <w:r>
        <w:rPr>
          <w:rFonts w:ascii="ArialMT" w:hAnsi="ArialMT"/>
          <w:color w:val="00000A"/>
          <w:sz w:val="24"/>
        </w:rPr>
        <w:t xml:space="preserve">Carta simples, Carta Registrada, Malote e Caixa Postal </w:t>
      </w:r>
      <w:r>
        <w:rPr>
          <w:rFonts w:ascii="ArialMT" w:hAnsi="ArialMT"/>
          <w:color w:val="000000"/>
          <w:sz w:val="24"/>
        </w:rPr>
        <w:t>com vistas ao atendimento das suas necessidades.</w:t>
      </w:r>
    </w:p>
    <w:p>
      <w:pPr>
        <w:pStyle w:val="Normal"/>
        <w:spacing w:lineRule="auto" w:line="276"/>
        <w:jc w:val="both"/>
        <w:rPr/>
      </w:pPr>
      <w:r>
        <w:rPr>
          <w:rFonts w:ascii="ArialMT" w:hAnsi="ArialMT"/>
          <w:color w:val="000000"/>
          <w:sz w:val="24"/>
        </w:rPr>
        <w:t>A prestação dos serviços postais é constitucionalmente assegurada como monopólio da União, como abaixo transcrito:</w:t>
      </w:r>
    </w:p>
    <w:p>
      <w:pPr>
        <w:pStyle w:val="Normal"/>
        <w:spacing w:lineRule="auto" w:line="276"/>
        <w:ind w:left="2160" w:hanging="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color w:val="000000"/>
          <w:sz w:val="20"/>
          <w:szCs w:val="20"/>
        </w:rPr>
        <w:t>Art. 21. Compete a União:</w:t>
      </w:r>
    </w:p>
    <w:p>
      <w:pPr>
        <w:pStyle w:val="Normal"/>
        <w:spacing w:lineRule="auto" w:line="276"/>
        <w:ind w:left="2160" w:hanging="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color w:val="000000"/>
          <w:sz w:val="20"/>
          <w:szCs w:val="20"/>
        </w:rPr>
        <w:t>(...)</w:t>
      </w:r>
    </w:p>
    <w:p>
      <w:pPr>
        <w:pStyle w:val="Normal"/>
        <w:spacing w:lineRule="auto" w:line="276"/>
        <w:ind w:left="2160" w:hanging="0"/>
        <w:jc w:val="both"/>
        <w:rPr>
          <w:rFonts w:ascii="Arial" w:hAnsi="Arial"/>
          <w:sz w:val="20"/>
          <w:szCs w:val="20"/>
          <w:highlight w:val="none"/>
          <w:shd w:fill="D3D3D3" w:val="clear"/>
        </w:rPr>
      </w:pPr>
      <w:r>
        <w:rPr>
          <w:rFonts w:ascii="Arial" w:hAnsi="Arial"/>
          <w:color w:val="000000"/>
          <w:sz w:val="20"/>
          <w:szCs w:val="20"/>
          <w:shd w:fill="D3D3D3" w:val="clear"/>
        </w:rPr>
        <w:t>X- manter o serviço postal e o correio aéreo nacional.</w:t>
      </w:r>
    </w:p>
    <w:p>
      <w:pPr>
        <w:pStyle w:val="Normal"/>
        <w:spacing w:lineRule="auto" w:line="276"/>
        <w:ind w:left="2160" w:hanging="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color w:val="000000"/>
          <w:sz w:val="20"/>
          <w:szCs w:val="20"/>
        </w:rPr>
        <w:t>Acerca da exclusividade na prestação dos serviços, a Lei nº 6.538/1978 e o Decreto nº</w:t>
      </w:r>
    </w:p>
    <w:p>
      <w:pPr>
        <w:pStyle w:val="Normal"/>
        <w:spacing w:lineRule="auto" w:line="276"/>
        <w:ind w:left="2160" w:hanging="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color w:val="000000"/>
          <w:sz w:val="20"/>
          <w:szCs w:val="20"/>
        </w:rPr>
        <w:t>8.016/2013 preconizam:</w:t>
      </w:r>
    </w:p>
    <w:p>
      <w:pPr>
        <w:pStyle w:val="Normal"/>
        <w:spacing w:lineRule="auto" w:line="276"/>
        <w:ind w:left="2160" w:hanging="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color w:val="000000"/>
          <w:sz w:val="20"/>
          <w:szCs w:val="20"/>
        </w:rPr>
        <w:t>Decreto nº 8.016/2013</w:t>
      </w:r>
    </w:p>
    <w:p>
      <w:pPr>
        <w:pStyle w:val="Normal"/>
        <w:spacing w:lineRule="auto" w:line="276"/>
        <w:ind w:left="2160" w:hanging="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color w:val="000000"/>
          <w:sz w:val="20"/>
          <w:szCs w:val="20"/>
        </w:rPr>
        <w:t>Art. 4º A ECT tem por objeto social, nos termos da lei:</w:t>
      </w:r>
    </w:p>
    <w:p>
      <w:pPr>
        <w:pStyle w:val="Normal"/>
        <w:spacing w:lineRule="auto" w:line="276"/>
        <w:ind w:left="2160" w:hanging="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color w:val="000000"/>
          <w:sz w:val="20"/>
          <w:szCs w:val="20"/>
        </w:rPr>
        <w:t>I - planejar, implantar e explorar o serviço postal e o serviço de telegrama;</w:t>
      </w:r>
    </w:p>
    <w:p>
      <w:pPr>
        <w:pStyle w:val="Normal"/>
        <w:spacing w:lineRule="auto" w:line="276"/>
        <w:ind w:left="2160" w:hanging="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color w:val="000000"/>
          <w:sz w:val="20"/>
          <w:szCs w:val="20"/>
        </w:rPr>
        <w:t>II - explorar os serviços postais de logística integrada, financeiros e eletrônicos;</w:t>
      </w:r>
    </w:p>
    <w:p>
      <w:pPr>
        <w:pStyle w:val="Normal"/>
        <w:spacing w:lineRule="auto" w:line="276"/>
        <w:ind w:left="2160" w:hanging="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color w:val="000000"/>
          <w:sz w:val="20"/>
          <w:szCs w:val="20"/>
        </w:rPr>
        <w:t>III - explorar atividades correlatas; e</w:t>
      </w:r>
    </w:p>
    <w:p>
      <w:pPr>
        <w:pStyle w:val="Normal"/>
        <w:spacing w:lineRule="auto" w:line="276"/>
        <w:ind w:left="2160" w:hanging="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color w:val="000000"/>
          <w:sz w:val="20"/>
          <w:szCs w:val="20"/>
        </w:rPr>
        <w:t>IV - exercer outras atividades afins, autorizadas pelo Ministério das Comunicações.</w:t>
      </w:r>
    </w:p>
    <w:p>
      <w:pPr>
        <w:pStyle w:val="Normal"/>
        <w:spacing w:lineRule="auto" w:line="276"/>
        <w:ind w:left="2160" w:hanging="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color w:val="000000"/>
          <w:sz w:val="20"/>
          <w:szCs w:val="20"/>
        </w:rPr>
        <w:t>§ 1o A ECT terá exclusividade na exploração dos serviços de que tratam os incisos I a III</w:t>
      </w:r>
    </w:p>
    <w:p>
      <w:pPr>
        <w:pStyle w:val="Normal"/>
        <w:spacing w:lineRule="auto" w:line="276"/>
        <w:ind w:left="2160" w:hanging="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color w:val="000000"/>
          <w:sz w:val="20"/>
          <w:szCs w:val="20"/>
        </w:rPr>
        <w:t>do caput do art. 9º da Lei nº 6.538, de 22 de junho de 1978, conforme inciso X do caput do</w:t>
      </w:r>
    </w:p>
    <w:p>
      <w:pPr>
        <w:pStyle w:val="Normal"/>
        <w:spacing w:lineRule="auto" w:line="276"/>
        <w:ind w:left="2160" w:hanging="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color w:val="000000"/>
          <w:sz w:val="20"/>
          <w:szCs w:val="20"/>
        </w:rPr>
        <w:t>art. 21 da Constituição.</w:t>
      </w:r>
    </w:p>
    <w:p>
      <w:pPr>
        <w:pStyle w:val="Normal"/>
        <w:spacing w:lineRule="auto" w:line="276"/>
        <w:ind w:left="2160" w:hanging="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color w:val="000000"/>
          <w:sz w:val="20"/>
          <w:szCs w:val="20"/>
        </w:rPr>
        <w:t>Lei nº 6.538/1978</w:t>
      </w:r>
    </w:p>
    <w:p>
      <w:pPr>
        <w:pStyle w:val="Normal"/>
        <w:spacing w:lineRule="auto" w:line="276"/>
        <w:ind w:left="2160" w:hanging="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color w:val="000000"/>
          <w:sz w:val="20"/>
          <w:szCs w:val="20"/>
        </w:rPr>
        <w:t>Art. 9º São exploradas pela União, em regime de monopólio, as seguintes atividades postais:</w:t>
      </w:r>
    </w:p>
    <w:p>
      <w:pPr>
        <w:pStyle w:val="Normal"/>
        <w:spacing w:lineRule="auto" w:line="276"/>
        <w:ind w:left="2160" w:hanging="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color w:val="000000"/>
          <w:sz w:val="20"/>
          <w:szCs w:val="20"/>
        </w:rPr>
        <w:t>I – recebimento, transporte e entrega, no território nacional, e a expedição, para o exterior, de carta e cartão-postal;</w:t>
      </w:r>
    </w:p>
    <w:p>
      <w:pPr>
        <w:pStyle w:val="Normal"/>
        <w:spacing w:lineRule="auto" w:line="276"/>
        <w:ind w:left="2160" w:hanging="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color w:val="000000"/>
          <w:sz w:val="20"/>
          <w:szCs w:val="20"/>
        </w:rPr>
        <w:t>II – recebimento, transporte e entrega, no território nacional, e a expedição, para o exterior, de correspondência agrupada:</w:t>
      </w:r>
    </w:p>
    <w:p>
      <w:pPr>
        <w:pStyle w:val="Normal"/>
        <w:spacing w:lineRule="auto" w:line="276"/>
        <w:ind w:left="2160" w:hanging="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color w:val="000000"/>
          <w:sz w:val="20"/>
          <w:szCs w:val="20"/>
        </w:rPr>
        <w:t>III – fabricação, emissão de selos e de outras fórmulas de franqueamento postal.</w:t>
      </w:r>
    </w:p>
    <w:p>
      <w:pPr>
        <w:pStyle w:val="Normal"/>
        <w:spacing w:lineRule="auto" w:line="276"/>
        <w:ind w:left="2160" w:hanging="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color w:val="000000"/>
          <w:sz w:val="20"/>
          <w:szCs w:val="20"/>
        </w:rPr>
        <w:t>Tribunal Federal nos autos da ADPF nº 46 que</w:t>
      </w:r>
      <w:r>
        <w:rPr>
          <w:rFonts w:ascii="Arial" w:hAnsi="Arial"/>
          <w:b/>
          <w:sz w:val="20"/>
          <w:szCs w:val="20"/>
        </w:rPr>
        <w:t>:</w:t>
      </w:r>
    </w:p>
    <w:p>
      <w:pPr>
        <w:pStyle w:val="Normal"/>
        <w:spacing w:lineRule="auto" w:line="276"/>
        <w:ind w:left="2160" w:hanging="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1.O serviço postal – conjunto de atividades que torna possível o envio de correspondência, ou objeto postal, de um remetente para endereço final e determinado – não consubstancia atividade econômica em sentido estrito. Serviço postal é serviço público.</w:t>
      </w:r>
    </w:p>
    <w:p>
      <w:pPr>
        <w:pStyle w:val="Normal"/>
        <w:spacing w:lineRule="auto" w:line="276"/>
        <w:ind w:left="2160" w:hanging="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[...]</w:t>
      </w:r>
    </w:p>
    <w:p>
      <w:pPr>
        <w:pStyle w:val="Normal"/>
        <w:spacing w:lineRule="auto" w:line="276"/>
        <w:ind w:left="2160" w:hanging="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3. A Constituição Federal confere à União, em caráter exclusivo, a exploração do serviço postal e o correio aéreo nacional [art. 20, inciso X).</w:t>
      </w:r>
    </w:p>
    <w:p>
      <w:pPr>
        <w:pStyle w:val="Normal"/>
        <w:spacing w:lineRule="auto" w:line="276"/>
        <w:ind w:left="2160" w:hanging="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4. O serviço postal é prestado pela Empresa Brasileira de Correios e Telégrafos – ECT, empresa pública, entidade da Administração Indireta da União, criada pelo decreto-lei n. 509, de 10 de março de 1969.</w:t>
      </w:r>
    </w:p>
    <w:p>
      <w:pPr>
        <w:pStyle w:val="Normal"/>
        <w:spacing w:lineRule="auto" w:line="276"/>
        <w:jc w:val="both"/>
        <w:rPr/>
      </w:pPr>
      <w:r>
        <w:rPr>
          <w:rFonts w:ascii="ArialMT" w:hAnsi="ArialMT"/>
          <w:sz w:val="24"/>
        </w:rPr>
        <w:t>Tais atividades compreendem a prestação de serviços de telegrama e serviços postais exclusivos (art. 9º e art. 27), serviços postais não exclusivos e atividades correlatas, tais como o recebimento, expedição, transporte e entrega de valores e encomendas (Sedex e PAC), distribuição de impressos, periódicos (jornais e revistas), boletos bancários e faturas de água, gás, telefone e energia elétrica, venda de selos, etc., além de outras atividades afins que poderão ser prestadas, desde que autorizadas pelo Ministério das Comunicações.</w:t>
      </w:r>
    </w:p>
    <w:p>
      <w:pPr>
        <w:pStyle w:val="Normal"/>
        <w:spacing w:lineRule="auto" w:line="276"/>
        <w:jc w:val="both"/>
        <w:rPr/>
      </w:pPr>
      <w:r>
        <w:rPr>
          <w:rFonts w:ascii="ArialMT" w:hAnsi="ArialMT"/>
          <w:sz w:val="24"/>
        </w:rPr>
        <w:t>Assim, reconhecido o monopólio da União na prestação dos serviços postais definidos nos artigos 9º e 27 da Lei nº 6.538/78, resta, com relação a eles, inviabilizada a competição, pressuposto fático para a configuração de hipótese de inexigibilidade de licitação. Portanto, para esses serviços é plenamente adequada a contratação direta da ECT por inexigibilidade de licitação, com fundamento no art. 25, caput, da Lei nº 8.666/93.</w:t>
      </w:r>
    </w:p>
    <w:p>
      <w:pPr>
        <w:pStyle w:val="Normal"/>
        <w:spacing w:lineRule="auto" w:line="276"/>
        <w:jc w:val="both"/>
        <w:rPr/>
      </w:pPr>
      <w:r>
        <w:rPr>
          <w:rFonts w:ascii="ArialMT" w:hAnsi="ArialMT"/>
          <w:sz w:val="24"/>
        </w:rPr>
        <w:t>Com relação aos serviços não compreendidos no monopólio da ECT – aquelas não descritas no art. 9º e 27 da Lei nº 6.538/78, embora sejam exercidas por outras empresas no mercado, não constituem atividade econômica em sentido estrito, tendo sido expressamente reconhecida sua natureza pública no já citado julgamento da Suprema Corte.</w:t>
      </w:r>
    </w:p>
    <w:p>
      <w:pPr>
        <w:pStyle w:val="Normal"/>
        <w:spacing w:lineRule="auto" w:line="276"/>
        <w:jc w:val="both"/>
        <w:rPr/>
      </w:pPr>
      <w:r>
        <w:rPr>
          <w:rFonts w:ascii="ArialMT" w:hAnsi="ArialMT"/>
          <w:sz w:val="24"/>
        </w:rPr>
        <w:t>Com a emissão do Parecer nº 19/2011/CGU/AGU/JCBM, aprovado pelo Advogado-Geral da União, foi reconhecida a possibilidade de todos os serviços postais prestados pela ECT que não se enquadrem na definição de carta, cartão-postal e correspondência agrupada ser objeto de contratação por dispensa de licitação, com fulcro no art. 24, VIII, da Lei nº 8.666/93.19.</w:t>
      </w:r>
    </w:p>
    <w:p>
      <w:pPr>
        <w:pStyle w:val="Normal"/>
        <w:spacing w:lineRule="auto" w:line="276"/>
        <w:jc w:val="both"/>
        <w:rPr/>
      </w:pPr>
      <w:r>
        <w:rPr>
          <w:rFonts w:ascii="ArialMT" w:hAnsi="ArialMT"/>
          <w:sz w:val="24"/>
        </w:rPr>
        <w:t>Os serviços de SEDEX, por exemplo, por não ser exclusivo da ECT, ou seja, não monopolizado é recomendado, conforme entendimento no Parecer supracitado a contratação proceda mediante dispensa do procedimento licitatório, com fundamento no art. 24, inc. VIII, da Lei nº 8.666/93, que assim prevê:</w:t>
      </w:r>
    </w:p>
    <w:p>
      <w:pPr>
        <w:pStyle w:val="Normal"/>
        <w:spacing w:lineRule="auto" w:line="276"/>
        <w:ind w:left="2160" w:hanging="0"/>
        <w:jc w:val="both"/>
        <w:rPr/>
      </w:pPr>
      <w:r>
        <w:rPr>
          <w:rFonts w:ascii="ArialMT" w:hAnsi="ArialMT"/>
          <w:sz w:val="21"/>
        </w:rPr>
        <w:t>Art. 24. É dispensável a licitação:</w:t>
      </w:r>
    </w:p>
    <w:p>
      <w:pPr>
        <w:pStyle w:val="Normal"/>
        <w:spacing w:lineRule="auto" w:line="276"/>
        <w:ind w:left="2160" w:hanging="0"/>
        <w:jc w:val="both"/>
        <w:rPr/>
      </w:pPr>
      <w:r>
        <w:rPr>
          <w:rFonts w:ascii="ArialMT" w:hAnsi="ArialMT"/>
          <w:sz w:val="21"/>
        </w:rPr>
        <w:t>(…)</w:t>
      </w:r>
    </w:p>
    <w:p>
      <w:pPr>
        <w:pStyle w:val="Normal"/>
        <w:spacing w:lineRule="auto" w:line="276"/>
        <w:ind w:left="2160" w:hanging="0"/>
        <w:jc w:val="both"/>
        <w:rPr/>
      </w:pPr>
      <w:r>
        <w:rPr>
          <w:rFonts w:ascii="ArialMT" w:hAnsi="ArialMT"/>
          <w:sz w:val="21"/>
        </w:rPr>
        <w:t>VIII – para a aquisição, por pessoa jurídica de direito público interno, de bens produzidos ou serviços prestados por órgão ou entidade que integre a Administração Pública e que tenha sido criado para esse fim específico em data anterior à vigência desta Lei, desde que o preço contratado seja compatível como praticado no mercado;</w:t>
      </w:r>
    </w:p>
    <w:p>
      <w:pPr>
        <w:pStyle w:val="Normal"/>
        <w:spacing w:lineRule="auto" w:line="276"/>
        <w:jc w:val="both"/>
        <w:rPr>
          <w:rFonts w:ascii="ArialMT" w:hAnsi="ArialMT"/>
          <w:sz w:val="24"/>
        </w:rPr>
      </w:pPr>
      <w:r>
        <w:rPr>
          <w:rFonts w:ascii="ArialMT" w:hAnsi="ArialMT"/>
          <w:sz w:val="24"/>
        </w:rPr>
      </w:r>
    </w:p>
    <w:p>
      <w:pPr>
        <w:pStyle w:val="Normal"/>
        <w:spacing w:lineRule="auto" w:line="276"/>
        <w:jc w:val="both"/>
        <w:rPr/>
      </w:pPr>
      <w:r>
        <w:rPr>
          <w:rFonts w:ascii="ArialMT" w:hAnsi="ArialMT"/>
          <w:sz w:val="24"/>
        </w:rPr>
        <w:t>Assim, é possível concluir que para operacionalizar de forma mais célere o processo e gerenciar melhor a contratação, sem correr o risco de prejuízos para a Administração, o caminho mais viável é através da contratação direta por inexigibilidade com fundamento no art. 25, caput da Lei 8666/93 de todos os serviços, considerando os serviços exclusivos, já que estes não são ofertados por empresas concorrentes da ECT.</w:t>
      </w:r>
    </w:p>
    <w:p>
      <w:pPr>
        <w:pStyle w:val="Normal"/>
        <w:spacing w:lineRule="auto" w:line="276"/>
        <w:jc w:val="both"/>
        <w:rPr>
          <w:rFonts w:ascii="Arial-BoldMT" w:hAnsi="Arial-BoldMT"/>
          <w:b/>
          <w:b/>
          <w:sz w:val="24"/>
        </w:rPr>
      </w:pPr>
      <w:r>
        <w:rPr>
          <w:rFonts w:ascii="Arial-BoldMT" w:hAnsi="Arial-BoldMT"/>
          <w:b/>
          <w:sz w:val="24"/>
        </w:rPr>
      </w:r>
    </w:p>
    <w:p>
      <w:pPr>
        <w:pStyle w:val="Normal"/>
        <w:spacing w:lineRule="auto" w:line="276"/>
        <w:jc w:val="both"/>
        <w:rPr/>
      </w:pPr>
      <w:r>
        <w:rPr>
          <w:rFonts w:ascii="Arial-BoldMT" w:hAnsi="Arial-BoldMT"/>
          <w:b/>
          <w:sz w:val="24"/>
        </w:rPr>
        <w:t>PRAZO DE EXECUÇÃO</w:t>
      </w:r>
    </w:p>
    <w:p>
      <w:pPr>
        <w:pStyle w:val="Normal"/>
        <w:spacing w:lineRule="auto" w:line="276"/>
        <w:jc w:val="both"/>
        <w:rPr/>
      </w:pPr>
      <w:r>
        <w:rPr>
          <w:rFonts w:ascii="ArialMT" w:hAnsi="ArialMT"/>
          <w:sz w:val="24"/>
        </w:rPr>
        <w:t>O objeto será executado pelo prazo de 5(cinco) anos, sem prorrogação e  podendo haver rescisão contratual conforme Lei Federal nº 8.666/93.</w:t>
      </w:r>
    </w:p>
    <w:p>
      <w:pPr>
        <w:pStyle w:val="Normal"/>
        <w:spacing w:lineRule="auto" w:line="276"/>
        <w:jc w:val="both"/>
        <w:rPr>
          <w:rFonts w:ascii="Arial-BoldMT" w:hAnsi="Arial-BoldMT"/>
          <w:b/>
          <w:b/>
          <w:sz w:val="24"/>
        </w:rPr>
      </w:pPr>
      <w:r>
        <w:rPr>
          <w:rFonts w:ascii="Arial-BoldMT" w:hAnsi="Arial-BoldMT"/>
          <w:b/>
          <w:sz w:val="24"/>
        </w:rPr>
      </w:r>
    </w:p>
    <w:p>
      <w:pPr>
        <w:pStyle w:val="Normal"/>
        <w:spacing w:lineRule="auto" w:line="276"/>
        <w:jc w:val="both"/>
        <w:rPr/>
      </w:pPr>
      <w:r>
        <w:rPr>
          <w:rFonts w:ascii="Arial-BoldMT" w:hAnsi="Arial-BoldMT"/>
          <w:b/>
          <w:sz w:val="24"/>
        </w:rPr>
        <w:t>PROJETO BÁSICO/TERMO DE REFERÊNCIA</w:t>
      </w:r>
    </w:p>
    <w:p>
      <w:pPr>
        <w:pStyle w:val="Normal"/>
        <w:spacing w:lineRule="auto" w:line="276"/>
        <w:jc w:val="both"/>
        <w:rPr/>
      </w:pPr>
      <w:r>
        <w:rPr>
          <w:rFonts w:ascii="ArialMT" w:hAnsi="ArialMT"/>
          <w:sz w:val="24"/>
        </w:rPr>
        <w:t xml:space="preserve">Os art. 6º, IX c/c art. 7º, I, § 9º, e art. 12, todos da Lei nº 8.666, de 1993, determinam que as obras e serviços somente poderão ser licitados quando houver projeto básico aprovado pela autoridade competente e disponível para o exame dos interessados em participar do certame, o que é aplicável também em casos de dispensa e </w:t>
      </w:r>
      <w:r>
        <w:rPr>
          <w:rFonts w:ascii="Arial-BoldMT" w:hAnsi="Arial-BoldMT"/>
          <w:b/>
          <w:sz w:val="24"/>
        </w:rPr>
        <w:t xml:space="preserve">inexigibilidade </w:t>
      </w:r>
      <w:r>
        <w:rPr>
          <w:rFonts w:ascii="ArialMT" w:hAnsi="ArialMT"/>
          <w:sz w:val="24"/>
        </w:rPr>
        <w:t>do procedimento licitatório, nos termos do § 9º do citado art. 7º.</w:t>
      </w:r>
    </w:p>
    <w:p>
      <w:pPr>
        <w:pStyle w:val="Normal"/>
        <w:spacing w:lineRule="auto" w:line="276"/>
        <w:jc w:val="both"/>
        <w:rPr/>
      </w:pPr>
      <w:r>
        <w:rPr>
          <w:rFonts w:ascii="ArialMT" w:hAnsi="ArialMT"/>
          <w:sz w:val="24"/>
        </w:rPr>
        <w:t>Conforme a IN SEGES 05/2017, arts. 28 e 29, o Projeto Básico ou Termo de Referência, deverá ser elaborado a partir dos Estudos Preliminares, do Gerenciamento de Risco e conforme as diretrizes constantes do Anexo V, devendo ser encaminhado ao setor de licitações. Devem ser utilizados os modelos de minutas padronizados de Termos de Referência e Projetos Básicos da Advocacia-Geral União, observadas as diretrizes d</w:t>
      </w:r>
      <w:r>
        <w:rPr>
          <w:rFonts w:ascii="ArialMT" w:hAnsi="ArialMT"/>
          <w:sz w:val="24"/>
          <w:shd w:fill="auto" w:val="clear"/>
        </w:rPr>
        <w:t>ispostas no Anexo V. Entretanto não ha minutas elaboradas pela AGU para contratações por</w:t>
      </w:r>
      <w:r>
        <w:rPr>
          <w:rFonts w:ascii="ArialMT" w:hAnsi="ArialMT"/>
          <w:color w:val="000000"/>
          <w:sz w:val="21"/>
          <w:shd w:fill="auto" w:val="clear"/>
        </w:rPr>
        <w:t xml:space="preserve"> </w:t>
      </w:r>
      <w:r>
        <w:rPr>
          <w:rFonts w:ascii="ArialMT" w:hAnsi="ArialMT"/>
          <w:color w:val="000000"/>
          <w:sz w:val="24"/>
          <w:shd w:fill="auto" w:val="clear"/>
        </w:rPr>
        <w:t>inexigibilidade ou dispensa de lic</w:t>
      </w:r>
      <w:r>
        <w:rPr>
          <w:rFonts w:ascii="ArialMT" w:hAnsi="ArialMT"/>
          <w:color w:val="000000"/>
          <w:sz w:val="24"/>
        </w:rPr>
        <w:t xml:space="preserve">itação que levou a administração a criar sus próprias </w:t>
      </w:r>
      <w:r>
        <w:rPr>
          <w:rFonts w:ascii="ArialMT" w:hAnsi="ArialMT"/>
          <w:sz w:val="24"/>
        </w:rPr>
        <w:t xml:space="preserve">minutas, com é o caso do termo de referência utilizado para esta contratação. No caso dos autos, o Termo de Referência consta às </w:t>
      </w:r>
      <w:r>
        <w:rPr>
          <w:rFonts w:ascii="Arial-BoldMT" w:hAnsi="Arial-BoldMT"/>
          <w:b/>
          <w:sz w:val="24"/>
        </w:rPr>
        <w:t>fls. 158 a 167-V.</w:t>
      </w:r>
    </w:p>
    <w:p>
      <w:pPr>
        <w:pStyle w:val="Normal"/>
        <w:spacing w:lineRule="auto" w:line="276"/>
        <w:jc w:val="both"/>
        <w:rPr/>
      </w:pPr>
      <w:r>
        <w:rPr/>
      </w:r>
    </w:p>
    <w:p>
      <w:pPr>
        <w:pStyle w:val="Normal"/>
        <w:spacing w:lineRule="auto" w:line="276"/>
        <w:jc w:val="both"/>
        <w:rPr/>
      </w:pPr>
      <w:r>
        <w:rPr>
          <w:rFonts w:ascii="Arial-BoldMT" w:hAnsi="Arial-BoldMT"/>
          <w:b/>
          <w:sz w:val="24"/>
        </w:rPr>
        <w:t>PREVISÃO DE RECURSOS ORÇAMENTÁRIOS</w:t>
      </w:r>
    </w:p>
    <w:p>
      <w:pPr>
        <w:pStyle w:val="Normal"/>
        <w:spacing w:lineRule="auto" w:line="276"/>
        <w:jc w:val="both"/>
        <w:rPr/>
      </w:pPr>
      <w:r>
        <w:rPr>
          <w:rFonts w:ascii="ArialMT" w:hAnsi="ArialMT"/>
          <w:sz w:val="24"/>
        </w:rPr>
        <w:t xml:space="preserve">No documento de </w:t>
      </w:r>
      <w:r>
        <w:rPr>
          <w:rFonts w:ascii="ArialMT" w:hAnsi="ArialMT"/>
          <w:b/>
          <w:bCs/>
          <w:sz w:val="24"/>
        </w:rPr>
        <w:t>fls.173 A 174</w:t>
      </w:r>
      <w:r>
        <w:rPr>
          <w:rFonts w:ascii="ArialMT" w:hAnsi="ArialMT"/>
          <w:sz w:val="24"/>
        </w:rPr>
        <w:t>, apresentamos a declaração de disponibilidade orçamentária e financeira, nos termos dos art. 7º, § 2º, III, art. 14, e o caput do art. 38 da Lei nº 8.666/93, bem como a do art. 16, da Lei Complementar n.º 101/2000.</w:t>
      </w:r>
    </w:p>
    <w:p>
      <w:pPr>
        <w:pStyle w:val="Normal"/>
        <w:spacing w:lineRule="auto" w:line="276"/>
        <w:jc w:val="both"/>
        <w:rPr>
          <w:rFonts w:ascii="Arial-BoldMT" w:hAnsi="Arial-BoldMT"/>
          <w:b/>
          <w:b/>
          <w:sz w:val="24"/>
        </w:rPr>
      </w:pPr>
      <w:r>
        <w:rPr>
          <w:rFonts w:ascii="Arial-BoldMT" w:hAnsi="Arial-BoldMT"/>
          <w:b/>
          <w:sz w:val="24"/>
        </w:rPr>
      </w:r>
    </w:p>
    <w:p>
      <w:pPr>
        <w:pStyle w:val="Normal"/>
        <w:spacing w:lineRule="auto" w:line="276"/>
        <w:jc w:val="both"/>
        <w:rPr/>
      </w:pPr>
      <w:r>
        <w:rPr>
          <w:rFonts w:ascii="Arial-BoldMT" w:hAnsi="Arial-BoldMT"/>
          <w:b/>
          <w:sz w:val="24"/>
        </w:rPr>
        <w:t>REGULARIDADE FISCAL E TRABALHISTA DA CONTRATADA</w:t>
      </w:r>
    </w:p>
    <w:p>
      <w:pPr>
        <w:pStyle w:val="Normal"/>
        <w:spacing w:lineRule="auto" w:line="276"/>
        <w:jc w:val="both"/>
        <w:rPr/>
      </w:pPr>
      <w:r>
        <w:rPr>
          <w:rFonts w:ascii="ArialMT" w:hAnsi="ArialMT"/>
          <w:sz w:val="24"/>
        </w:rPr>
        <w:t>Conforme entendimento majoritário, mesmo nas dispensas ou inexigibilidades de licitação, a comprovação da habilitação do contratado deve ser exigida com relação aos aspectos essenciais à regularidade da contratação (art. 55, XIII c/c arts. 27 a 33, da Lei nº 8.666/93).</w:t>
      </w:r>
    </w:p>
    <w:p>
      <w:pPr>
        <w:pStyle w:val="Normal"/>
        <w:spacing w:lineRule="auto" w:line="276"/>
        <w:jc w:val="both"/>
        <w:rPr/>
      </w:pPr>
      <w:r>
        <w:rPr>
          <w:rFonts w:ascii="ArialMT" w:hAnsi="ArialMT"/>
          <w:sz w:val="24"/>
        </w:rPr>
        <w:t>No que tange à regularidade fiscal, tanto a doutrina como a jurisprudência do TCU são uníssonos no sentido de que, mesmo nos casos de contratação direta, devem ser exigidas a comprovação de regularidade junto à Fazenda e a Dívida Ativa da União, o INSS e o FGTS.</w:t>
      </w:r>
    </w:p>
    <w:p>
      <w:pPr>
        <w:pStyle w:val="Normal"/>
        <w:spacing w:lineRule="auto" w:line="276"/>
        <w:jc w:val="both"/>
        <w:rPr/>
      </w:pPr>
      <w:r>
        <w:rPr>
          <w:rFonts w:ascii="ArialMT" w:hAnsi="ArialMT"/>
          <w:sz w:val="24"/>
        </w:rPr>
        <w:t>Além disso, com o advento da Lei nº 12.440, de 2011, sobreveio também a necessidade de comprovação de regularidade trabalhista, mediante a apresentação de Certidão Negativa de Débitos Trabalhistas – CNDT. Cabe ao administrador, pois, zelar pela efetiva validade dessas certidões na ocasião da contratação.</w:t>
      </w:r>
    </w:p>
    <w:p>
      <w:pPr>
        <w:pStyle w:val="Normal"/>
        <w:spacing w:lineRule="auto" w:line="276"/>
        <w:jc w:val="both"/>
        <w:rPr/>
      </w:pPr>
      <w:r>
        <w:rPr>
          <w:rFonts w:ascii="ArialMT" w:hAnsi="ArialMT"/>
          <w:sz w:val="24"/>
        </w:rPr>
        <w:t xml:space="preserve">Pois bem, </w:t>
      </w:r>
      <w:r>
        <w:rPr>
          <w:rFonts w:ascii="ArialMT" w:hAnsi="ArialMT"/>
          <w:b/>
          <w:bCs/>
          <w:sz w:val="24"/>
        </w:rPr>
        <w:t>às fls. 178 a 183</w:t>
      </w:r>
      <w:r>
        <w:rPr>
          <w:rFonts w:ascii="ArialMT" w:hAnsi="ArialMT"/>
          <w:sz w:val="24"/>
        </w:rPr>
        <w:t xml:space="preserve"> foram juntados os documentos que comprovam a regularidade fiscal e trabalhista da contratada.</w:t>
      </w:r>
    </w:p>
    <w:p>
      <w:pPr>
        <w:pStyle w:val="Normal"/>
        <w:spacing w:lineRule="auto" w:line="276"/>
        <w:jc w:val="both"/>
        <w:rPr>
          <w:rFonts w:ascii="Arial-BoldMT" w:hAnsi="Arial-BoldMT"/>
          <w:b/>
          <w:b/>
          <w:sz w:val="24"/>
        </w:rPr>
      </w:pPr>
      <w:r>
        <w:rPr>
          <w:rFonts w:ascii="Arial-BoldMT" w:hAnsi="Arial-BoldMT"/>
          <w:b/>
          <w:sz w:val="24"/>
        </w:rPr>
      </w:r>
    </w:p>
    <w:p>
      <w:pPr>
        <w:pStyle w:val="Normal"/>
        <w:spacing w:lineRule="auto" w:line="276"/>
        <w:jc w:val="both"/>
        <w:rPr/>
      </w:pPr>
      <w:r>
        <w:rPr>
          <w:rFonts w:ascii="Arial-BoldMT" w:hAnsi="Arial-BoldMT"/>
          <w:b/>
          <w:sz w:val="24"/>
        </w:rPr>
        <w:t>MINUTA DO TERMO DO CONTRATO</w:t>
      </w:r>
    </w:p>
    <w:p>
      <w:pPr>
        <w:pStyle w:val="Normal"/>
        <w:spacing w:lineRule="auto" w:line="276"/>
        <w:jc w:val="both"/>
        <w:rPr/>
      </w:pPr>
      <w:r>
        <w:rPr>
          <w:rFonts w:ascii="ArialMT" w:hAnsi="ArialMT"/>
          <w:sz w:val="24"/>
        </w:rPr>
        <w:t>Quanto à formalização da avença, que se dará mediante Contrato de Adesão, insta considerar que, em tais ajustes, a Administração Pública não age com prerrogativas típicas de Poder Público, colocando-se na posição de qualquer outro consumidor do serviço.</w:t>
      </w:r>
    </w:p>
    <w:p>
      <w:pPr>
        <w:pStyle w:val="Normal"/>
        <w:spacing w:lineRule="auto" w:line="276"/>
        <w:jc w:val="both"/>
        <w:rPr/>
      </w:pPr>
      <w:r>
        <w:rPr>
          <w:rFonts w:ascii="ArialMT" w:hAnsi="ArialMT"/>
          <w:sz w:val="24"/>
        </w:rPr>
        <w:t>Porém, cabe registrar que, especificamente no caso da ECT, foram acordadas algumas alterações no contrato de adesão padrão fornecido pela empresa, resultado da conciliação travada na Câmara de Conciliação e Arbitragem da Administração Federal – CCAF, e que originou o Termo de Conciliação CCAF/CGU/AGU nº 21/2010-APS-PBB.</w:t>
      </w:r>
    </w:p>
    <w:p>
      <w:pPr>
        <w:pStyle w:val="Normal"/>
        <w:spacing w:lineRule="auto" w:line="276"/>
        <w:jc w:val="both"/>
        <w:rPr/>
      </w:pPr>
      <w:r>
        <w:rPr>
          <w:rFonts w:ascii="ArialMT" w:hAnsi="ArialMT"/>
          <w:sz w:val="24"/>
        </w:rPr>
        <w:t>No caso dos autos, a minuta contratual anexada às</w:t>
      </w:r>
      <w:r>
        <w:rPr>
          <w:rFonts w:ascii="ArialMT" w:hAnsi="ArialMT"/>
          <w:b/>
          <w:bCs/>
          <w:sz w:val="24"/>
        </w:rPr>
        <w:t xml:space="preserve"> fls.57 A 82</w:t>
      </w:r>
      <w:r>
        <w:rPr>
          <w:rFonts w:ascii="ArialMT" w:hAnsi="ArialMT"/>
          <w:sz w:val="24"/>
        </w:rPr>
        <w:t xml:space="preserve"> está adaptada às diretrizes firmadas no citado Termo, contendo as alterações específicas acordadas.</w:t>
      </w:r>
    </w:p>
    <w:p>
      <w:pPr>
        <w:pStyle w:val="Normal"/>
        <w:spacing w:lineRule="auto" w:line="276"/>
        <w:jc w:val="both"/>
        <w:rPr>
          <w:rFonts w:ascii="Arial-BoldMT" w:hAnsi="Arial-BoldMT"/>
          <w:b/>
          <w:b/>
          <w:sz w:val="24"/>
        </w:rPr>
      </w:pPr>
      <w:r>
        <w:rPr>
          <w:rFonts w:ascii="Arial-BoldMT" w:hAnsi="Arial-BoldMT"/>
          <w:b/>
          <w:sz w:val="24"/>
        </w:rPr>
      </w:r>
    </w:p>
    <w:p>
      <w:pPr>
        <w:pStyle w:val="Normal"/>
        <w:spacing w:lineRule="auto" w:line="276"/>
        <w:jc w:val="both"/>
        <w:rPr/>
      </w:pPr>
      <w:r>
        <w:rPr>
          <w:rFonts w:ascii="Arial-BoldMT" w:hAnsi="Arial-BoldMT"/>
          <w:b/>
          <w:sz w:val="24"/>
        </w:rPr>
        <w:t>NATUREZA CONTÍNUA DOS SERVIÇOS</w:t>
      </w:r>
    </w:p>
    <w:p>
      <w:pPr>
        <w:pStyle w:val="Normal"/>
        <w:spacing w:lineRule="auto" w:line="276"/>
        <w:jc w:val="both"/>
        <w:rPr/>
      </w:pPr>
      <w:r>
        <w:rPr>
          <w:rFonts w:ascii="ArialMT" w:hAnsi="ArialMT"/>
          <w:sz w:val="24"/>
        </w:rPr>
        <w:t>Quanto à natureza contínua dos serviços, colhe-se o entendimento do Tribunal de Contas da União:</w:t>
      </w:r>
    </w:p>
    <w:p>
      <w:pPr>
        <w:pStyle w:val="Normal"/>
        <w:spacing w:lineRule="auto" w:line="276"/>
        <w:ind w:left="2160" w:hanging="0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"A Administração deve definir em processo próprio quais são seus serviços contínuos, pois o que é contínuo para determinado órgão ou entidade pode não ser para outros. São exemplos de serviços de natureza contínua: vigilância, limpeza e conservação, manutenção elétrica e manutenção de elevadores. O</w:t>
      </w:r>
      <w:r>
        <w:rPr>
          <w:rFonts w:ascii="Arial" w:hAnsi="Arial"/>
          <w:b/>
          <w:sz w:val="20"/>
          <w:szCs w:val="20"/>
        </w:rPr>
        <w:t xml:space="preserve"> para um determinado período e prorrogado, por iguais e sucessivos períodos, a </w:t>
      </w:r>
      <w:r>
        <w:rPr>
          <w:rFonts w:ascii="Arial" w:hAnsi="Arial"/>
          <w:sz w:val="20"/>
          <w:szCs w:val="20"/>
        </w:rPr>
        <w:t>fim de obter preços e condições mais vantajosos para a Administração, até o limite de sessenta meses ( ... ) ”.(TCU. Decisão 1098/2001 – Plenário. Dou 24/01/2002)"</w:t>
      </w:r>
    </w:p>
    <w:p>
      <w:pPr>
        <w:pStyle w:val="Normal"/>
        <w:spacing w:lineRule="auto" w:line="276"/>
        <w:jc w:val="both"/>
        <w:rPr/>
      </w:pPr>
      <w:r>
        <w:rPr>
          <w:rFonts w:ascii="ArialMT" w:hAnsi="ArialMT"/>
          <w:sz w:val="24"/>
        </w:rPr>
        <w:t>Os serviços ora contratados são dotados, sem sombra de dúvidas, do caráter de continuados, na medida em que são destinados a atender necessidades públicas permanentes e cuja paralisação acarretará prejuízos ao andamento das atividades do órgão.</w:t>
      </w:r>
    </w:p>
    <w:p>
      <w:pPr>
        <w:pStyle w:val="Normal"/>
        <w:spacing w:lineRule="auto" w:line="276"/>
        <w:jc w:val="both"/>
        <w:rPr/>
      </w:pPr>
      <w:r>
        <w:rPr>
          <w:rFonts w:ascii="ArialMT" w:hAnsi="ArialMT"/>
          <w:sz w:val="24"/>
        </w:rPr>
        <w:t>A Lei nº 8.666, de 1993 deu contornos distintos aos contratos em que a Administração Pública é contratante e em que é mera usuária de serviço público. Nessa hipótese, as regras pertinentes são ditadas pela contratada, nesse caso, Empresa Pública, sob regime de monopólio. Não pode aqui utilizar-se de seu poder de império. Fica, pois, sujeita às mesmas condições contratuais, previstas para o usuário comum. É nesse sentido o comando do art.</w:t>
      </w:r>
    </w:p>
    <w:p>
      <w:pPr>
        <w:pStyle w:val="Normal"/>
        <w:spacing w:lineRule="auto" w:line="276"/>
        <w:jc w:val="both"/>
        <w:rPr/>
      </w:pPr>
      <w:r>
        <w:rPr>
          <w:rFonts w:ascii="ArialMT" w:hAnsi="ArialMT"/>
          <w:sz w:val="24"/>
        </w:rPr>
        <w:t>62, § 3º, da lei nº 8.666, de 1993, in verbis:</w:t>
      </w:r>
    </w:p>
    <w:p>
      <w:pPr>
        <w:pStyle w:val="Normal"/>
        <w:spacing w:lineRule="auto" w:line="276"/>
        <w:jc w:val="both"/>
        <w:rPr/>
      </w:pPr>
      <w:r>
        <w:rPr>
          <w:rFonts w:ascii="ArialMT" w:hAnsi="ArialMT"/>
          <w:sz w:val="21"/>
        </w:rPr>
        <w:t>"Art.62. (...)</w:t>
      </w:r>
    </w:p>
    <w:p>
      <w:pPr>
        <w:pStyle w:val="Normal"/>
        <w:spacing w:lineRule="auto" w:line="276"/>
        <w:jc w:val="both"/>
        <w:rPr/>
      </w:pPr>
      <w:r>
        <w:rPr>
          <w:rFonts w:ascii="ArialMT" w:hAnsi="ArialMT"/>
          <w:sz w:val="21"/>
        </w:rPr>
        <w:t>§ 3º Aplica-se o disposto nos arts. 55 e 58 a 61 desta Lei e demais normas gerais, no que couber:</w:t>
      </w:r>
    </w:p>
    <w:p>
      <w:pPr>
        <w:pStyle w:val="Normal"/>
        <w:spacing w:lineRule="auto" w:line="276"/>
        <w:jc w:val="both"/>
        <w:rPr/>
      </w:pPr>
      <w:r>
        <w:rPr>
          <w:rFonts w:ascii="ArialMT" w:hAnsi="ArialMT"/>
          <w:sz w:val="21"/>
        </w:rPr>
        <w:t>I - aos contratos de seguro, de financiamento, de locação em que o Poder Público seja locatário, e aos demais cujo conteúdo seja regido, predominantemente, por normas de direito privado;</w:t>
      </w:r>
    </w:p>
    <w:p>
      <w:pPr>
        <w:pStyle w:val="Normal"/>
        <w:spacing w:lineRule="auto" w:line="276"/>
        <w:jc w:val="both"/>
        <w:rPr/>
      </w:pPr>
      <w:r>
        <w:rPr>
          <w:rFonts w:ascii="ArialMT" w:hAnsi="ArialMT"/>
          <w:sz w:val="21"/>
        </w:rPr>
        <w:t>II - aos contratos em que a Administração for parte como usuária de serviço, público.</w:t>
      </w:r>
    </w:p>
    <w:p>
      <w:pPr>
        <w:pStyle w:val="Normal"/>
        <w:spacing w:lineRule="auto" w:line="276"/>
        <w:jc w:val="both"/>
        <w:rPr>
          <w:rFonts w:ascii="Arial-BoldMT" w:hAnsi="Arial-BoldMT"/>
          <w:b/>
          <w:b/>
          <w:sz w:val="24"/>
        </w:rPr>
      </w:pPr>
      <w:r>
        <w:rPr>
          <w:rFonts w:ascii="Arial-BoldMT" w:hAnsi="Arial-BoldMT"/>
          <w:b/>
          <w:sz w:val="24"/>
        </w:rPr>
      </w:r>
    </w:p>
    <w:p>
      <w:pPr>
        <w:pStyle w:val="Normal"/>
        <w:spacing w:lineRule="auto" w:line="276"/>
        <w:jc w:val="both"/>
        <w:rPr/>
      </w:pPr>
      <w:r>
        <w:rPr>
          <w:rFonts w:ascii="Arial-BoldMT" w:hAnsi="Arial-BoldMT"/>
          <w:b/>
          <w:sz w:val="24"/>
        </w:rPr>
        <w:t>DA JUSTIFICATIVA DO VALOR</w:t>
      </w:r>
    </w:p>
    <w:p>
      <w:pPr>
        <w:pStyle w:val="Normal"/>
        <w:spacing w:lineRule="auto" w:line="276"/>
        <w:jc w:val="both"/>
        <w:rPr/>
      </w:pPr>
      <w:r>
        <w:rPr>
          <w:rFonts w:ascii="ArialMT" w:hAnsi="ArialMT"/>
          <w:sz w:val="24"/>
        </w:rPr>
        <w:t xml:space="preserve">Para cumprimento do requisito da justificativa de preços, insta destacar que os serviços prestados pela ECT são cobrados mediante tarifa ou preço público, aprovados pelo Ministério das Comunicações, conforme dispõe o art. 32 da Lei nº 6.538/78. Aplicável, ainda, o art. 70, I, da Lei nº 9.069/95, que determina a fixação de tais tarifas e preços conforme os parâmetros impostos pelo Ministério da Fazenda, que, no caso específico da ECT, estão estabelecidos na Portaria MF nº 244, de 25/03/10, bem como na Portaria MF nº 61, de 16/2/2011, que traz em seu anexo os limites dos reajustes das tarifas de serviços prestados com exclusividade pela empresa. Com os preços e tarifas regulados pela Administração Pública Federal, presume-se a isonomia na cobrança de tais valores, e, por conseguinte, a adequação aos ditames da Orientação Normativa nº 17/2009, com as alterações conferidas pela Portaria AGU nº 572, de 13/12/201. Diante do exposto, entendemos desnecessária qualquer tentativa no sentido da comprovação da sua compatibilidade com os de mercado na medida em que se trata, do mesmo modo, de </w:t>
      </w:r>
      <w:r>
        <w:rPr>
          <w:rFonts w:ascii="Arial-BoldMT" w:hAnsi="Arial-BoldMT"/>
          <w:b/>
          <w:sz w:val="24"/>
        </w:rPr>
        <w:t>tarifas preestabelecidas que são cobradas de todos os usuários dos serviços</w:t>
      </w:r>
      <w:r>
        <w:rPr>
          <w:rFonts w:ascii="ArialMT" w:hAnsi="ArialMT"/>
          <w:sz w:val="24"/>
        </w:rPr>
        <w:t>. Portanto, várias exigências que deveriam constar deste procedimento de contratação direta são dispensados, em razão da própria natureza do serviço contratado, tais como o termo de contrato, tendo em vista a impossibilidade de negociação de suas cláusulas, assim como o projeto básico ou termo de referência e a cotação de preços.</w:t>
      </w:r>
    </w:p>
    <w:p>
      <w:pPr>
        <w:pStyle w:val="Normal"/>
        <w:spacing w:lineRule="auto" w:line="276"/>
        <w:jc w:val="both"/>
        <w:rPr/>
      </w:pPr>
      <w:r>
        <w:rPr>
          <w:rFonts w:ascii="ArialMT" w:hAnsi="ArialMT"/>
          <w:sz w:val="24"/>
        </w:rPr>
        <w:t>Todavia justificamos o preço contratado juntando aos autos as fls. 170 A 172 a tabela dos Correios com o valor das tarifas cobradas dos serviços que eventualmente serão prestados.</w:t>
      </w:r>
    </w:p>
    <w:p>
      <w:pPr>
        <w:pStyle w:val="Normal"/>
        <w:spacing w:lineRule="auto" w:line="276"/>
        <w:jc w:val="both"/>
        <w:rPr/>
      </w:pPr>
      <w:r>
        <w:rPr>
          <w:rFonts w:ascii="ArialMT" w:hAnsi="ArialMT"/>
          <w:sz w:val="24"/>
        </w:rPr>
        <w:t>Para referida contratação, o valor anual estimado locado no Planejamento da Reitoria em 2021 para as despesas do serviço é de</w:t>
      </w:r>
      <w:r>
        <w:rPr>
          <w:rFonts w:eastAsia="Calibri" w:cs="Calibri" w:ascii="ArialMT" w:hAnsi="ArialMT"/>
          <w:color w:val="auto"/>
          <w:kern w:val="0"/>
          <w:sz w:val="24"/>
          <w:szCs w:val="22"/>
          <w:lang w:val="pt-BR" w:eastAsia="pt-BR" w:bidi="ar-SA"/>
        </w:rPr>
        <w:t xml:space="preserve"> </w:t>
      </w:r>
      <w:r>
        <w:rPr>
          <w:rFonts w:eastAsia="Calibri" w:cs="Calibri" w:ascii="ArialMT" w:hAnsi="ArialMT"/>
          <w:b/>
          <w:bCs/>
          <w:color w:val="auto"/>
          <w:kern w:val="0"/>
          <w:sz w:val="24"/>
          <w:szCs w:val="22"/>
          <w:lang w:val="pt-BR" w:eastAsia="pt-BR" w:bidi="ar-SA"/>
        </w:rPr>
        <w:t>R$ 22.455,36(vinte e dois mil, quatrocentos e cinquenta e cinco reais e trinta e seis centavos)</w:t>
      </w:r>
      <w:r>
        <w:rPr>
          <w:rFonts w:eastAsia="Calibri" w:cs="Calibri" w:ascii="ArialMT" w:hAnsi="ArialMT"/>
          <w:color w:val="auto"/>
          <w:kern w:val="0"/>
          <w:sz w:val="24"/>
          <w:szCs w:val="22"/>
          <w:lang w:val="pt-BR" w:eastAsia="pt-BR" w:bidi="ar-SA"/>
        </w:rPr>
        <w:t xml:space="preserve"> anual, conforme Declaração Orçamentária anexa as fls. 174.</w:t>
      </w:r>
      <w:r>
        <w:rPr>
          <w:rFonts w:eastAsia="Calibri" w:cs="Calibri" w:ascii="ArialMT" w:hAnsi="ArialMT"/>
          <w:b/>
          <w:color w:val="auto"/>
          <w:kern w:val="0"/>
          <w:sz w:val="24"/>
          <w:szCs w:val="22"/>
          <w:lang w:val="pt-BR" w:eastAsia="pt-BR" w:bidi="ar-SA"/>
        </w:rPr>
        <w:t xml:space="preserve"> </w:t>
      </w:r>
    </w:p>
    <w:p>
      <w:pPr>
        <w:pStyle w:val="Normal"/>
        <w:spacing w:lineRule="auto" w:line="276"/>
        <w:jc w:val="both"/>
        <w:rPr>
          <w:rFonts w:ascii="Arial-BoldMT" w:hAnsi="Arial-BoldMT"/>
          <w:b/>
          <w:b/>
          <w:sz w:val="24"/>
        </w:rPr>
      </w:pPr>
      <w:r>
        <w:rPr>
          <w:rFonts w:ascii="Arial-BoldMT" w:hAnsi="Arial-BoldMT"/>
          <w:b/>
          <w:sz w:val="24"/>
        </w:rPr>
      </w:r>
    </w:p>
    <w:p>
      <w:pPr>
        <w:pStyle w:val="Normal"/>
        <w:spacing w:lineRule="auto" w:line="276"/>
        <w:jc w:val="both"/>
        <w:rPr/>
      </w:pPr>
      <w:r>
        <w:rPr>
          <w:rFonts w:ascii="Arial-BoldMT" w:hAnsi="Arial-BoldMT"/>
          <w:b/>
          <w:sz w:val="24"/>
        </w:rPr>
        <w:t>CONCLUSÃO</w:t>
      </w:r>
    </w:p>
    <w:p>
      <w:pPr>
        <w:pStyle w:val="Normal"/>
        <w:spacing w:lineRule="auto" w:line="276"/>
        <w:jc w:val="both"/>
        <w:rPr/>
      </w:pPr>
      <w:r>
        <w:rPr>
          <w:rFonts w:ascii="ArialMT" w:hAnsi="ArialMT"/>
          <w:sz w:val="24"/>
        </w:rPr>
        <w:t>Considerando-se que Empresa Brasileira de Correios e Telégrafos - ECT, prestadora de serviços de atividades postais para coleta, transporte e entrega de documentos, é a única empresa pública fornecedora do referido serviço, cujo preço a ser pago é o de tabela cobrado de todos os usuários, sugerimos que a contratação seja feita por inexigibilidade de licitação com fulcro no caput do Artigo 25, da Lei 8.666/93.</w:t>
      </w:r>
    </w:p>
    <w:p>
      <w:pPr>
        <w:pStyle w:val="Normal"/>
        <w:spacing w:lineRule="auto" w:line="276"/>
        <w:jc w:val="both"/>
        <w:rPr/>
      </w:pPr>
      <w:r>
        <w:rPr>
          <w:rFonts w:ascii="ArialMT" w:hAnsi="ArialMT"/>
          <w:sz w:val="24"/>
        </w:rPr>
        <w:t>Assim sendo, atendendo de pleno o disposto no caput do art. 25, caput, da Lei nº 8.666/93, e de forma a cumprir o disposto, apresentamos a presente justificativa para análise e parecer jurídico quanto à possibilidade da execução do objeto em questão.</w:t>
      </w:r>
    </w:p>
    <w:p>
      <w:pPr>
        <w:pStyle w:val="Normal"/>
        <w:spacing w:lineRule="auto" w:line="276"/>
        <w:jc w:val="both"/>
        <w:rPr>
          <w:rFonts w:ascii="ArialMT" w:hAnsi="ArialMT"/>
          <w:sz w:val="24"/>
        </w:rPr>
      </w:pPr>
      <w:r>
        <w:rPr>
          <w:rFonts w:ascii="ArialMT" w:hAnsi="ArialMT"/>
          <w:sz w:val="24"/>
        </w:rPr>
      </w:r>
    </w:p>
    <w:p>
      <w:pPr>
        <w:pStyle w:val="Normal"/>
        <w:spacing w:lineRule="auto" w:line="276"/>
        <w:jc w:val="center"/>
        <w:rPr/>
      </w:pPr>
      <w:r>
        <w:rPr>
          <w:rFonts w:ascii="ArialMT" w:hAnsi="ArialMT"/>
          <w:sz w:val="24"/>
        </w:rPr>
        <w:t>Petrolina-PE, 13 de março de 2023</w:t>
      </w:r>
    </w:p>
    <w:p>
      <w:pPr>
        <w:pStyle w:val="Normal"/>
        <w:spacing w:lineRule="auto" w:line="276"/>
        <w:jc w:val="both"/>
        <w:rPr>
          <w:rFonts w:ascii="ArialMT" w:hAnsi="ArialMT"/>
          <w:sz w:val="24"/>
        </w:rPr>
      </w:pPr>
      <w:r>
        <w:rPr>
          <w:rFonts w:ascii="ArialMT" w:hAnsi="ArialMT"/>
          <w:sz w:val="24"/>
        </w:rPr>
      </w:r>
    </w:p>
    <w:p>
      <w:pPr>
        <w:pStyle w:val="Normal"/>
        <w:spacing w:lineRule="auto" w:line="276"/>
        <w:jc w:val="both"/>
        <w:rPr>
          <w:rFonts w:ascii="ArialMT" w:hAnsi="ArialMT"/>
          <w:sz w:val="24"/>
        </w:rPr>
      </w:pPr>
      <w:r>
        <w:rPr>
          <w:rFonts w:ascii="ArialMT" w:hAnsi="ArialMT"/>
          <w:sz w:val="24"/>
        </w:rPr>
      </w:r>
    </w:p>
    <w:p>
      <w:pPr>
        <w:pStyle w:val="Normal"/>
        <w:spacing w:lineRule="auto" w:line="276"/>
        <w:jc w:val="center"/>
        <w:rPr>
          <w:rFonts w:ascii="ArialMT" w:hAnsi="ArialMT"/>
          <w:b/>
          <w:b/>
          <w:sz w:val="24"/>
        </w:rPr>
      </w:pPr>
      <w:r>
        <w:rPr>
          <w:rFonts w:ascii="ArialMT" w:hAnsi="ArialMT"/>
          <w:b/>
          <w:sz w:val="24"/>
        </w:rPr>
      </w:r>
    </w:p>
    <w:p>
      <w:pPr>
        <w:pStyle w:val="Normal"/>
        <w:spacing w:lineRule="auto" w:line="276"/>
        <w:jc w:val="center"/>
        <w:rPr>
          <w:rFonts w:ascii="ArialMT" w:hAnsi="ArialMT"/>
          <w:b/>
          <w:b/>
          <w:sz w:val="24"/>
        </w:rPr>
      </w:pPr>
      <w:r>
        <w:rPr>
          <w:rFonts w:ascii="ArialMT" w:hAnsi="ArialMT"/>
          <w:b/>
          <w:sz w:val="24"/>
        </w:rPr>
      </w:r>
    </w:p>
    <w:p>
      <w:pPr>
        <w:pStyle w:val="Normal"/>
        <w:spacing w:lineRule="auto" w:line="276"/>
        <w:jc w:val="center"/>
        <w:rPr>
          <w:rFonts w:ascii="ArialMT" w:hAnsi="ArialMT"/>
          <w:b/>
          <w:b/>
          <w:sz w:val="24"/>
        </w:rPr>
      </w:pPr>
      <w:r>
        <w:rPr>
          <w:rFonts w:ascii="ArialMT" w:hAnsi="ArialMT"/>
          <w:b/>
          <w:sz w:val="24"/>
        </w:rPr>
      </w:r>
    </w:p>
    <w:p>
      <w:pPr>
        <w:pStyle w:val="Normal"/>
        <w:spacing w:lineRule="auto" w:line="276"/>
        <w:jc w:val="center"/>
        <w:rPr>
          <w:rFonts w:ascii="ArialMT" w:hAnsi="ArialMT"/>
          <w:b/>
          <w:b/>
          <w:sz w:val="24"/>
        </w:rPr>
      </w:pPr>
      <w:r>
        <w:rPr>
          <w:rFonts w:ascii="ArialMT" w:hAnsi="ArialMT"/>
          <w:b/>
          <w:sz w:val="24"/>
        </w:rPr>
      </w:r>
    </w:p>
    <w:p>
      <w:pPr>
        <w:pStyle w:val="Normal"/>
        <w:spacing w:lineRule="auto" w:line="360" w:before="0" w:after="0"/>
        <w:jc w:val="center"/>
        <w:rPr>
          <w:b w:val="false"/>
          <w:b w:val="false"/>
          <w:bCs w:val="false"/>
        </w:rPr>
      </w:pPr>
      <w:r>
        <w:rPr>
          <w:rFonts w:ascii="Arial" w:hAnsi="Arial"/>
          <w:b w:val="false"/>
          <w:bCs w:val="false"/>
          <w:color w:val="00000A"/>
          <w:sz w:val="22"/>
          <w:szCs w:val="22"/>
        </w:rPr>
        <w:t>Gerson de Alencar Lima</w:t>
      </w:r>
    </w:p>
    <w:p>
      <w:pPr>
        <w:pStyle w:val="Normal"/>
        <w:spacing w:lineRule="auto" w:line="360" w:before="0" w:after="0"/>
        <w:jc w:val="center"/>
        <w:rPr>
          <w:b w:val="false"/>
          <w:b w:val="false"/>
          <w:bCs w:val="false"/>
        </w:rPr>
      </w:pPr>
      <w:r>
        <w:rPr>
          <w:rFonts w:ascii="Arial" w:hAnsi="Arial"/>
          <w:b w:val="false"/>
          <w:bCs w:val="false"/>
          <w:color w:val="00000A"/>
          <w:sz w:val="22"/>
          <w:szCs w:val="22"/>
        </w:rPr>
        <w:t>Diretor de Licitações</w:t>
      </w:r>
    </w:p>
    <w:p>
      <w:pPr>
        <w:pStyle w:val="Normal"/>
        <w:spacing w:lineRule="auto" w:line="360" w:before="0" w:after="0"/>
        <w:jc w:val="center"/>
        <w:rPr>
          <w:b w:val="false"/>
          <w:b w:val="false"/>
          <w:bCs w:val="false"/>
        </w:rPr>
      </w:pPr>
      <w:r>
        <w:rPr>
          <w:rFonts w:ascii="Arial" w:hAnsi="Arial"/>
          <w:b/>
          <w:bCs w:val="false"/>
          <w:color w:val="00000A"/>
          <w:sz w:val="22"/>
          <w:szCs w:val="22"/>
        </w:rPr>
        <w:t>IFSertãoPE/Reitoria</w:t>
      </w:r>
    </w:p>
    <w:sectPr>
      <w:headerReference w:type="default" r:id="rId2"/>
      <w:footerReference w:type="default" r:id="rId3"/>
      <w:type w:val="nextPage"/>
      <w:pgSz w:w="11906" w:h="16838"/>
      <w:pgMar w:left="1134" w:right="1134" w:gutter="0" w:header="709" w:top="1134" w:footer="709" w:bottom="1134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Georgia">
    <w:charset w:val="00"/>
    <w:family w:val="roman"/>
    <w:pitch w:val="variable"/>
  </w:font>
  <w:font w:name="Arial-BoldMT">
    <w:charset w:val="00"/>
    <w:family w:val="roman"/>
    <w:pitch w:val="variable"/>
  </w:font>
  <w:font w:name="ArialMT">
    <w:charset w:val="00"/>
    <w:family w:val="roman"/>
    <w:pitch w:val="variable"/>
  </w:font>
  <w:font w:name="Arial-ItalicMT">
    <w:charset w:val="00"/>
    <w:family w:val="roman"/>
    <w:pitch w:val="variable"/>
  </w:font>
  <w:font w:name="Arial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clear" w:pos="720"/>
        <w:tab w:val="center" w:pos="4252" w:leader="none"/>
        <w:tab w:val="right" w:pos="8504" w:leader="none"/>
      </w:tabs>
      <w:spacing w:lineRule="auto" w:line="240" w:before="0" w:after="0"/>
      <w:rPr>
        <w:color w:val="000000"/>
      </w:rPr>
    </w:pPr>
    <w:r>
      <w:rPr>
        <w:color w:val="000000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widowControl w:val="false"/>
      <w:spacing w:lineRule="auto" w:line="276" w:before="0" w:after="200"/>
      <w:rPr>
        <w:b/>
        <w:b/>
      </w:rPr>
    </w:pPr>
    <w:r>
      <w:rPr>
        <w:b/>
      </w:rPr>
      <w:drawing>
        <wp:anchor behindDoc="1" distT="0" distB="0" distL="0" distR="0" simplePos="0" locked="0" layoutInCell="0" allowOverlap="1" relativeHeight="8">
          <wp:simplePos x="0" y="0"/>
          <wp:positionH relativeFrom="column">
            <wp:posOffset>2562225</wp:posOffset>
          </wp:positionH>
          <wp:positionV relativeFrom="paragraph">
            <wp:posOffset>-85725</wp:posOffset>
          </wp:positionV>
          <wp:extent cx="906780" cy="911225"/>
          <wp:effectExtent l="0" t="0" r="0" b="0"/>
          <wp:wrapSquare wrapText="bothSides"/>
          <wp:docPr id="1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06780" cy="911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Normal"/>
      <w:widowControl w:val="false"/>
      <w:spacing w:lineRule="auto" w:line="276" w:before="0" w:after="200"/>
      <w:jc w:val="center"/>
      <w:rPr>
        <w:b/>
        <w:b/>
      </w:rPr>
    </w:pPr>
    <w:r>
      <w:rPr>
        <w:b/>
      </w:rPr>
    </w:r>
  </w:p>
  <w:p>
    <w:pPr>
      <w:pStyle w:val="Normal"/>
      <w:widowControl w:val="false"/>
      <w:spacing w:lineRule="auto" w:line="288" w:before="0" w:after="0"/>
      <w:jc w:val="center"/>
      <w:rPr>
        <w:rFonts w:ascii="Times New Roman" w:hAnsi="Times New Roman" w:eastAsia="Times New Roman" w:cs="Times New Roman"/>
        <w:b/>
        <w:b/>
        <w:sz w:val="24"/>
        <w:szCs w:val="24"/>
      </w:rPr>
    </w:pPr>
    <w:r>
      <w:rPr>
        <w:rFonts w:eastAsia="Times New Roman" w:cs="Times New Roman" w:ascii="Times New Roman" w:hAnsi="Times New Roman"/>
        <w:b/>
        <w:sz w:val="24"/>
        <w:szCs w:val="24"/>
      </w:rPr>
    </w:r>
  </w:p>
  <w:p>
    <w:pPr>
      <w:pStyle w:val="Normal"/>
      <w:widowControl w:val="false"/>
      <w:spacing w:lineRule="auto" w:line="240" w:before="0" w:after="0"/>
      <w:jc w:val="center"/>
      <w:rPr>
        <w:rFonts w:ascii="Times New Roman" w:hAnsi="Times New Roman" w:eastAsia="Times New Roman" w:cs="Times New Roman"/>
        <w:b/>
        <w:b/>
        <w:color w:val="00000A"/>
        <w:sz w:val="20"/>
        <w:szCs w:val="20"/>
      </w:rPr>
    </w:pPr>
    <w:r>
      <w:rPr>
        <w:rFonts w:eastAsia="Times New Roman" w:cs="Times New Roman" w:ascii="Times New Roman" w:hAnsi="Times New Roman"/>
        <w:b/>
        <w:color w:val="00000A"/>
        <w:sz w:val="20"/>
        <w:szCs w:val="20"/>
      </w:rPr>
      <w:t>MINISTÉRIO DA EDUCAÇÃO</w:t>
    </w:r>
  </w:p>
  <w:p>
    <w:pPr>
      <w:pStyle w:val="Normal"/>
      <w:widowControl w:val="false"/>
      <w:spacing w:lineRule="auto" w:line="240" w:before="0" w:after="0"/>
      <w:jc w:val="center"/>
      <w:rPr>
        <w:rFonts w:ascii="Times New Roman" w:hAnsi="Times New Roman" w:eastAsia="Times New Roman" w:cs="Times New Roman"/>
        <w:b/>
        <w:b/>
        <w:color w:val="00000A"/>
        <w:sz w:val="14"/>
        <w:szCs w:val="14"/>
      </w:rPr>
    </w:pPr>
    <w:r>
      <w:rPr>
        <w:rFonts w:eastAsia="Times New Roman" w:cs="Times New Roman" w:ascii="Times New Roman" w:hAnsi="Times New Roman"/>
        <w:b/>
        <w:color w:val="00000A"/>
        <w:sz w:val="14"/>
        <w:szCs w:val="14"/>
      </w:rPr>
      <w:t>SECRETARIA DE EDUCAÇÃO PROFISSIONAL E TECNOLÓGICA</w:t>
    </w:r>
  </w:p>
  <w:p>
    <w:pPr>
      <w:pStyle w:val="Normal"/>
      <w:widowControl w:val="false"/>
      <w:spacing w:lineRule="auto" w:line="240" w:before="0" w:after="0"/>
      <w:jc w:val="center"/>
      <w:rPr>
        <w:rFonts w:ascii="Times New Roman" w:hAnsi="Times New Roman" w:eastAsia="Times New Roman" w:cs="Times New Roman"/>
        <w:b/>
        <w:b/>
        <w:sz w:val="24"/>
        <w:szCs w:val="24"/>
      </w:rPr>
    </w:pPr>
    <w:r>
      <w:rPr>
        <w:rFonts w:eastAsia="Times New Roman" w:cs="Times New Roman" w:ascii="Times New Roman" w:hAnsi="Times New Roman"/>
        <w:b/>
        <w:color w:val="00000A"/>
        <w:sz w:val="14"/>
        <w:szCs w:val="14"/>
      </w:rPr>
      <w:t>INSTITUTO FEDERAL DE EDUCAÇÃO, CIÊNCIA E TECNOLOGIA DO SERTÃO PERNAMBUCANO</w:t>
    </w:r>
  </w:p>
  <w:p>
    <w:pPr>
      <w:pStyle w:val="Normal"/>
      <w:widowControl w:val="false"/>
      <w:spacing w:lineRule="auto" w:line="288" w:before="0" w:after="0"/>
      <w:jc w:val="center"/>
      <w:rPr>
        <w:color w:val="000000"/>
      </w:rPr>
    </w:pPr>
    <w:r>
      <w:rPr>
        <w:rFonts w:eastAsia="Times New Roman" w:cs="Times New Roman" w:ascii="Times New Roman" w:hAnsi="Times New Roman"/>
        <w:b/>
        <w:color w:val="000000"/>
        <w:sz w:val="14"/>
        <w:szCs w:val="14"/>
      </w:rPr>
      <w:t xml:space="preserve">REITORIA </w:t>
    </w:r>
  </w:p>
  <w:p>
    <w:pPr>
      <w:pStyle w:val="Normal"/>
      <w:widowControl w:val="false"/>
      <w:spacing w:lineRule="auto" w:line="240" w:before="0" w:after="0"/>
      <w:rPr>
        <w:rFonts w:ascii="Times New Roman" w:hAnsi="Times New Roman" w:eastAsia="Times New Roman" w:cs="Times New Roman"/>
        <w:b/>
        <w:b/>
        <w:color w:val="00000A"/>
        <w:sz w:val="14"/>
        <w:szCs w:val="14"/>
      </w:rPr>
    </w:pPr>
    <w:r>
      <w:rPr>
        <w:rFonts w:eastAsia="Times New Roman" w:cs="Times New Roman" w:ascii="Times New Roman" w:hAnsi="Times New Roman"/>
        <w:b/>
        <w:color w:val="00000A"/>
        <w:sz w:val="14"/>
        <w:szCs w:val="14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pt-BR" w:eastAsia="pt-BR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Calibri"/>
      <w:color w:val="auto"/>
      <w:kern w:val="0"/>
      <w:sz w:val="22"/>
      <w:szCs w:val="22"/>
      <w:lang w:val="pt-BR" w:eastAsia="pt-BR" w:bidi="ar-SA"/>
    </w:rPr>
  </w:style>
  <w:style w:type="paragraph" w:styleId="Ttulo1">
    <w:name w:val="Heading 1"/>
    <w:basedOn w:val="Normal"/>
    <w:next w:val="Normal"/>
    <w:uiPriority w:val="9"/>
    <w:qFormat/>
    <w:pPr>
      <w:keepNext w:val="true"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 w:val="true"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 w:val="true"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 w:val="true"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 w:val="true"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 w:val="true"/>
      <w:keepLines/>
      <w:spacing w:before="200" w:after="40"/>
      <w:outlineLvl w:val="5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pargrafoParecerChar" w:customStyle="1">
    <w:name w:val="L_parágrafo_Parecer Char"/>
    <w:basedOn w:val="CabealhoChar"/>
    <w:link w:val="LpargrafoParecer"/>
    <w:qFormat/>
    <w:rsid w:val="00b533f5"/>
    <w:rPr>
      <w:sz w:val="24"/>
      <w:szCs w:val="24"/>
    </w:rPr>
  </w:style>
  <w:style w:type="character" w:styleId="CabealhoChar" w:customStyle="1">
    <w:name w:val="Cabeçalho Char"/>
    <w:basedOn w:val="DefaultParagraphFont"/>
    <w:link w:val="Cabealho"/>
    <w:uiPriority w:val="99"/>
    <w:qFormat/>
    <w:rsid w:val="00b533f5"/>
    <w:rPr/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2c2ccc"/>
    <w:rPr>
      <w:sz w:val="16"/>
      <w:szCs w:val="16"/>
    </w:rPr>
  </w:style>
  <w:style w:type="character" w:styleId="TextodecomentrioChar" w:customStyle="1">
    <w:name w:val="Texto de comentário Char"/>
    <w:basedOn w:val="DefaultParagraphFont"/>
    <w:link w:val="Textodecomentrio"/>
    <w:uiPriority w:val="99"/>
    <w:qFormat/>
    <w:rsid w:val="002c2ccc"/>
    <w:rPr>
      <w:sz w:val="20"/>
      <w:szCs w:val="20"/>
    </w:rPr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/>
    <w:qFormat/>
    <w:rsid w:val="002c2ccc"/>
    <w:rPr>
      <w:b/>
      <w:bCs/>
      <w:sz w:val="20"/>
      <w:szCs w:val="20"/>
    </w:rPr>
  </w:style>
  <w:style w:type="character" w:styleId="TextodebaloChar" w:customStyle="1">
    <w:name w:val="Texto de balão Char"/>
    <w:basedOn w:val="DefaultParagraphFont"/>
    <w:link w:val="Textodebalo"/>
    <w:uiPriority w:val="99"/>
    <w:semiHidden/>
    <w:qFormat/>
    <w:rsid w:val="002c2ccc"/>
    <w:rPr>
      <w:rFonts w:ascii="Segoe UI" w:hAnsi="Segoe UI" w:cs="Segoe UI"/>
      <w:sz w:val="18"/>
      <w:szCs w:val="18"/>
    </w:rPr>
  </w:style>
  <w:style w:type="character" w:styleId="LinkdaInternet">
    <w:name w:val="Link da Internet"/>
    <w:uiPriority w:val="99"/>
    <w:unhideWhenUsed/>
    <w:rsid w:val="00fe2a42"/>
    <w:rPr>
      <w:color w:val="0000FF"/>
      <w:u w:val="single"/>
    </w:rPr>
  </w:style>
  <w:style w:type="character" w:styleId="Normaltextrun" w:customStyle="1">
    <w:name w:val="normaltextrun"/>
    <w:basedOn w:val="DefaultParagraphFont"/>
    <w:qFormat/>
    <w:rsid w:val="003833d5"/>
    <w:rPr/>
  </w:style>
  <w:style w:type="character" w:styleId="Eop" w:customStyle="1">
    <w:name w:val="eop"/>
    <w:basedOn w:val="DefaultParagraphFont"/>
    <w:qFormat/>
    <w:rsid w:val="003f3978"/>
    <w:rPr/>
  </w:style>
  <w:style w:type="character" w:styleId="Linkdainternetvisitado">
    <w:name w:val="Link da internet visitado"/>
    <w:basedOn w:val="DefaultParagraphFont"/>
    <w:uiPriority w:val="99"/>
    <w:semiHidden/>
    <w:unhideWhenUsed/>
    <w:rsid w:val="009d0901"/>
    <w:rPr>
      <w:color w:val="954F72" w:themeColor="followedHyperlink"/>
      <w:u w:val="single"/>
    </w:rPr>
  </w:style>
  <w:style w:type="character" w:styleId="RodapChar" w:customStyle="1">
    <w:name w:val="Rodapé Char"/>
    <w:basedOn w:val="DefaultParagraphFont"/>
    <w:link w:val="Rodap"/>
    <w:uiPriority w:val="99"/>
    <w:qFormat/>
    <w:rsid w:val="00614319"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  <w:lang w:val="zxx" w:eastAsia="zxx" w:bidi="zxx"/>
    </w:rPr>
  </w:style>
  <w:style w:type="paragraph" w:styleId="Ttulododocumento">
    <w:name w:val="Title"/>
    <w:basedOn w:val="Normal"/>
    <w:next w:val="Normal"/>
    <w:uiPriority w:val="10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LpargrafoParecer" w:customStyle="1">
    <w:name w:val="L_parágrafo_Parecer"/>
    <w:basedOn w:val="Cabealho"/>
    <w:link w:val="LpargrafoParecerChar"/>
    <w:autoRedefine/>
    <w:qFormat/>
    <w:rsid w:val="00b533f5"/>
    <w:pPr>
      <w:numPr>
        <w:ilvl w:val="0"/>
        <w:numId w:val="1"/>
      </w:numPr>
      <w:tabs>
        <w:tab w:val="clear" w:pos="4252"/>
        <w:tab w:val="clear" w:pos="8504"/>
        <w:tab w:val="left" w:pos="1418" w:leader="none"/>
      </w:tabs>
      <w:spacing w:before="0" w:after="240"/>
      <w:ind w:left="0" w:hanging="0"/>
      <w:jc w:val="both"/>
    </w:pPr>
    <w:rPr>
      <w:sz w:val="24"/>
      <w:szCs w:val="24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unhideWhenUsed/>
    <w:rsid w:val="00b533f5"/>
    <w:pPr>
      <w:tabs>
        <w:tab w:val="clear" w:pos="720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Annotationtext">
    <w:name w:val="annotation text"/>
    <w:basedOn w:val="Normal"/>
    <w:link w:val="TextodecomentrioChar"/>
    <w:uiPriority w:val="99"/>
    <w:unhideWhenUsed/>
    <w:qFormat/>
    <w:rsid w:val="002c2ccc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AssuntodocomentrioChar"/>
    <w:uiPriority w:val="99"/>
    <w:semiHidden/>
    <w:unhideWhenUsed/>
    <w:qFormat/>
    <w:rsid w:val="002c2ccc"/>
    <w:pPr/>
    <w:rPr>
      <w:b/>
      <w:bCs/>
    </w:r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2c2ccc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e7457"/>
    <w:pPr>
      <w:spacing w:before="0" w:after="160"/>
      <w:ind w:left="720" w:hanging="0"/>
      <w:contextualSpacing/>
    </w:pPr>
    <w:rPr/>
  </w:style>
  <w:style w:type="paragraph" w:styleId="Paragraph" w:customStyle="1">
    <w:name w:val="paragraph"/>
    <w:basedOn w:val="Normal"/>
    <w:qFormat/>
    <w:rsid w:val="003833d5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</w:rPr>
  </w:style>
  <w:style w:type="paragraph" w:styleId="NoSpacing">
    <w:name w:val="No Spacing"/>
    <w:uiPriority w:val="1"/>
    <w:qFormat/>
    <w:rsid w:val="00a8060a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Calibri"/>
      <w:color w:val="auto"/>
      <w:kern w:val="0"/>
      <w:sz w:val="22"/>
      <w:szCs w:val="22"/>
      <w:lang w:val="pt-BR" w:eastAsia="pt-BR" w:bidi="ar-SA"/>
    </w:rPr>
  </w:style>
  <w:style w:type="paragraph" w:styleId="LONormal" w:customStyle="1">
    <w:name w:val="LO-Normal"/>
    <w:qFormat/>
    <w:rsid w:val="005e4e8e"/>
    <w:pPr>
      <w:keepNext w:val="true"/>
      <w:widowControl w:val="false"/>
      <w:shd w:val="clear" w:color="auto" w:fill="FFFFFF"/>
      <w:suppressAutoHyphens w:val="true"/>
      <w:bidi w:val="0"/>
      <w:spacing w:lineRule="auto" w:line="240" w:before="0" w:after="0"/>
      <w:jc w:val="left"/>
      <w:textAlignment w:val="baseline"/>
    </w:pPr>
    <w:rPr>
      <w:rFonts w:ascii="Times New Roman" w:hAnsi="Times New Roman" w:eastAsia="Droid Sans Fallback" w:cs="Lohit Hindi"/>
      <w:color w:val="auto"/>
      <w:kern w:val="0"/>
      <w:sz w:val="24"/>
      <w:szCs w:val="24"/>
      <w:lang w:val="pt-BR" w:eastAsia="zh-CN" w:bidi="hi-IN"/>
    </w:rPr>
  </w:style>
  <w:style w:type="paragraph" w:styleId="Revision">
    <w:name w:val="Revision"/>
    <w:uiPriority w:val="99"/>
    <w:semiHidden/>
    <w:qFormat/>
    <w:rsid w:val="00d3315f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Calibri"/>
      <w:color w:val="auto"/>
      <w:kern w:val="0"/>
      <w:sz w:val="22"/>
      <w:szCs w:val="22"/>
      <w:lang w:val="pt-BR" w:eastAsia="pt-BR" w:bidi="ar-SA"/>
    </w:rPr>
  </w:style>
  <w:style w:type="paragraph" w:styleId="Rodap">
    <w:name w:val="Footer"/>
    <w:basedOn w:val="Normal"/>
    <w:link w:val="RodapChar"/>
    <w:unhideWhenUsed/>
    <w:rsid w:val="00614319"/>
    <w:pPr>
      <w:tabs>
        <w:tab w:val="clear" w:pos="720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Subttulo">
    <w:name w:val="Subtitle"/>
    <w:basedOn w:val="Normal"/>
    <w:next w:val="Normal"/>
    <w:uiPriority w:val="11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Default">
    <w:name w:val="Default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Calibri" w:cs="Calibri"/>
      <w:color w:val="000000"/>
      <w:kern w:val="0"/>
      <w:sz w:val="24"/>
      <w:szCs w:val="22"/>
      <w:lang w:val="pt-BR" w:eastAsia="pt-BR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comgrade">
    <w:name w:val="Table Grid"/>
    <w:basedOn w:val="Tabelanormal"/>
    <w:uiPriority w:val="39"/>
    <w:rsid w:val="00ac1021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g8VbaWDNYq0SFPO7vGAo0VeJXM7w==">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Application>LibreOffice/7.2.5.2$Windows_X86_64 LibreOffice_project/499f9727c189e6ef3471021d6132d4c694f357e5</Application>
  <AppVersion>15.0000</AppVersion>
  <Pages>7</Pages>
  <Words>2138</Words>
  <Characters>11493</Characters>
  <CharactersWithSpaces>13563</CharactersWithSpaces>
  <Paragraphs>82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2023-03-10T17:01:00Z</dcterms:created>
  <dc:creator>Marcelia Moura</dc:creator>
  <dc:description/>
  <dc:language>pt-BR</dc:language>
  <cp:lastModifiedBy/>
  <dcterms:modified xsi:type="dcterms:W3CDTF">2023-03-13T14:59:40Z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Ids_UIVersion_1024">
    <vt:lpwstr>48</vt:lpwstr>
  </property>
  <property fmtid="{D5CDD505-2E9C-101B-9397-08002B2CF9AE}" pid="3" name="AuthorIds_UIVersion_512">
    <vt:lpwstr>44</vt:lpwstr>
  </property>
  <property fmtid="{D5CDD505-2E9C-101B-9397-08002B2CF9AE}" pid="4" name="ContentTypeId">
    <vt:lpwstr>0x01010012A2765E7DFD38469B2E626874CD0041</vt:lpwstr>
  </property>
</Properties>
</file>