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color="auto" w:fill="F2F2F2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normal"/>
        <w:shd w:val="clear" w:color="auto" w:fill="F2F2F2"/>
        <w:spacing w:before="0" w:after="120"/>
        <w:jc w:val="center"/>
        <w:rPr>
          <w:rFonts w:eastAsia="Times New Roman" w:cs="Times New Roman"/>
          <w:i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Art. 14 da Portaria PGF n º 931/2018</w:t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515" w:type="dxa"/>
        <w:jc w:val="left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515"/>
      </w:tblGrid>
      <w:tr>
        <w:trPr>
          <w:trHeight w:val="411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ind w:left="37" w:hang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IDENTIFICAÇÃO PROCESSUAL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Processo n</w:t>
            </w:r>
            <w:r>
              <w:rPr>
                <w:rFonts w:cs="Arial" w:ascii="Arial" w:hAnsi="Arial"/>
                <w:b/>
                <w:color w:val="000000"/>
              </w:rPr>
              <w:t xml:space="preserve">.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Volume (s):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Há processo (s) apensado (s)?  ( X )</w:t>
            </w:r>
            <w:r>
              <w:rPr>
                <w:rFonts w:cs="Arial" w:ascii="Arial" w:hAnsi="Arial"/>
              </w:rPr>
              <w:t xml:space="preserve"> Não (   ) Sim  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</w:rPr>
              <w:t xml:space="preserve">Caso sim, identificá-lo (s):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Processo n. </w:t>
            </w:r>
          </w:p>
          <w:p>
            <w:pPr>
              <w:pStyle w:val="LOnormal"/>
              <w:widowControl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Interessado (s): </w:t>
            </w:r>
            <w:r>
              <w:rPr>
                <w:rFonts w:cs="Arial" w:ascii="Arial" w:hAnsi="Arial"/>
                <w:color w:val="000000"/>
              </w:rPr>
              <w:t>Instituto Federal do Sertão Pernambucano/IFSertão-PE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CARACTERIZAÇÃO LICITATÓRIA</w:t>
            </w:r>
          </w:p>
        </w:tc>
      </w:tr>
      <w:tr>
        <w:trPr>
          <w:trHeight w:val="3010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</w:rPr>
              <w:t xml:space="preserve">) </w:t>
            </w:r>
            <w:r>
              <w:rPr>
                <w:rFonts w:cs="Arial" w:ascii="Arial" w:hAnsi="Arial"/>
                <w:b/>
              </w:rPr>
              <w:t xml:space="preserve">Aquisição </w:t>
            </w:r>
            <w:r>
              <w:rPr>
                <w:rFonts w:cs="Arial" w:ascii="Arial" w:hAnsi="Arial"/>
              </w:rPr>
              <w:t xml:space="preserve">Solicitação </w:t>
            </w:r>
            <w:r>
              <w:rPr>
                <w:rFonts w:cs="Arial" w:ascii="Arial" w:hAnsi="Arial"/>
                <w:i/>
              </w:rPr>
              <w:t xml:space="preserve">nº:  </w:t>
            </w:r>
            <w:r>
              <w:rPr>
                <w:rFonts w:cs="Arial" w:ascii="Arial" w:hAnsi="Arial"/>
                <w:b/>
                <w:i/>
              </w:rPr>
              <w:t xml:space="preserve">Não há número na Solicitação </w:t>
            </w:r>
            <w:r>
              <w:rPr>
                <w:rFonts w:cs="Arial" w:ascii="Arial" w:hAnsi="Arial"/>
                <w:i/>
              </w:rPr>
              <w:t>( às fls.    ) (SEI        )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</w:t>
            </w:r>
            <w:r>
              <w:rPr>
                <w:rFonts w:cs="Arial" w:ascii="Arial" w:hAnsi="Arial"/>
                <w:b/>
                <w:bCs/>
              </w:rPr>
              <w:t>X</w:t>
            </w:r>
            <w:r>
              <w:rPr>
                <w:rFonts w:cs="Arial" w:ascii="Arial" w:hAnsi="Arial"/>
              </w:rPr>
              <w:t xml:space="preserve"> ) </w:t>
            </w:r>
            <w:r>
              <w:rPr>
                <w:rFonts w:cs="Arial" w:ascii="Arial" w:hAnsi="Arial"/>
                <w:b/>
              </w:rPr>
              <w:t xml:space="preserve">Serviços </w:t>
            </w:r>
            <w:r>
              <w:rPr>
                <w:rFonts w:cs="Arial" w:ascii="Arial" w:hAnsi="Arial"/>
              </w:rPr>
              <w:t>Solicitação</w:t>
            </w:r>
            <w:r>
              <w:rPr>
                <w:rFonts w:cs="Arial" w:ascii="Arial" w:hAnsi="Arial"/>
                <w:i/>
              </w:rPr>
              <w:t xml:space="preserve"> nº:                </w:t>
            </w:r>
            <w:r>
              <w:rPr>
                <w:rFonts w:cs="Arial" w:ascii="Arial" w:hAnsi="Arial"/>
                <w:b/>
                <w:i/>
              </w:rPr>
              <w:t xml:space="preserve"> </w:t>
            </w:r>
            <w:r>
              <w:rPr>
                <w:rFonts w:cs="Arial" w:ascii="Arial" w:hAnsi="Arial"/>
                <w:i/>
              </w:rPr>
              <w:t>( às fls.    ) (SEI           )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MODALIDADE:  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 Adesão SRP       (    ) Aditivo      (   ) Concorrência      (   ) Concurso     (   ) Consulta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 Convite</w:t>
            </w:r>
            <w:r>
              <w:rPr>
                <w:rFonts w:cs="Arial" w:ascii="Arial" w:hAnsi="Arial"/>
                <w:b/>
              </w:rPr>
              <w:t xml:space="preserve">    </w:t>
            </w:r>
            <w:r>
              <w:rPr>
                <w:rFonts w:cs="Arial" w:ascii="Arial" w:hAnsi="Arial"/>
              </w:rPr>
              <w:t xml:space="preserve">(   ) Leilão      (    ) Pregão     ( </w:t>
            </w:r>
            <w:r>
              <w:rPr>
                <w:rFonts w:cs="Arial" w:ascii="Arial" w:hAnsi="Arial"/>
                <w:b/>
              </w:rPr>
              <w:t xml:space="preserve">X </w:t>
            </w:r>
            <w:r>
              <w:rPr>
                <w:rFonts w:cs="Arial" w:ascii="Arial" w:hAnsi="Arial"/>
              </w:rPr>
              <w:t xml:space="preserve">) Pregão com SRP                 (   ) RDC     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(   ) Tomada de Preços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i/>
              </w:rPr>
              <w:t>CONTRATAÇÃO DIRETA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) Dispensa     (   ) Inexigibilidade </w:t>
            </w:r>
          </w:p>
        </w:tc>
      </w:tr>
      <w:tr>
        <w:trPr>
          <w:trHeight w:val="3656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TIPO: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X  ) Menor Preço:  (  </w:t>
            </w:r>
            <w:r>
              <w:rPr>
                <w:rFonts w:cs="Arial" w:ascii="Arial" w:hAnsi="Arial"/>
                <w:b/>
                <w:bCs/>
              </w:rPr>
              <w:t xml:space="preserve">X </w:t>
            </w:r>
            <w:r>
              <w:rPr>
                <w:rFonts w:cs="Arial" w:ascii="Arial" w:hAnsi="Arial"/>
              </w:rPr>
              <w:t xml:space="preserve"> ) por item     (   ) por grupo    ( 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</w:rPr>
              <w:t xml:space="preserve"> ) por item e grupo   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Melhor Técnica    (    ) Técnica e Preço  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Descrição do objeto: </w:t>
            </w:r>
            <w:r>
              <w:rPr>
                <w:rStyle w:val="Fontepargpadro"/>
                <w:rFonts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</w:rPr>
              <w:t>Contratação de empresa terceirizada para prestação de serviços postais e de logística integrada para atender demanda do IF Sertão-PE</w:t>
            </w:r>
            <w:r>
              <w:rPr>
                <w:rStyle w:val="Fontepargpadro"/>
                <w:rFonts w:cs="Arial" w:ascii="Arial" w:hAnsi="Arial"/>
                <w:b w:val="false"/>
                <w:bCs/>
                <w:i w:val="false"/>
                <w:color w:val="00000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Valor Estimado da contratação/aquisição: 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1"/>
                <w:numId w:val="2"/>
              </w:numPr>
              <w:suppressAutoHyphens w:val="false"/>
              <w:spacing w:lineRule="auto" w:line="276" w:before="120" w:after="120"/>
              <w:ind w:left="360" w:right="-3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 xml:space="preserve">O custo estimado da contratação </w:t>
            </w:r>
            <w:r>
              <w:rPr>
                <w:rFonts w:cs="Arial" w:ascii="Arial" w:hAnsi="Arial"/>
                <w:bCs/>
                <w:shd w:fill="auto" w:val="clear"/>
              </w:rPr>
              <w:t>é de</w:t>
            </w:r>
            <w:r>
              <w:rPr>
                <w:rFonts w:cs="Arial" w:ascii="Arial" w:hAnsi="Arial"/>
                <w:shd w:fill="auto" w:val="clear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shd w:fill="auto" w:val="clear"/>
                <w:lang w:val="pt-BR" w:eastAsia="pt-BR" w:bidi="ar-SA"/>
              </w:rPr>
              <w:t>R$ 22.455,36(vinte e dois mil, quatrocentos e cinquenta e cinco reais e trinta e seis centavos)</w:t>
            </w:r>
            <w:r>
              <w:rPr>
                <w:rFonts w:eastAsia="NSimSu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shd w:fill="auto" w:val="clear"/>
                <w:lang w:val="pt-BR" w:eastAsia="zh-CN" w:bidi="hi-IN"/>
              </w:rPr>
              <w:t>.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LO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LOnormal"/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LOnormal"/>
        <w:spacing w:lineRule="auto" w:line="360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CERTIFICO:</w:t>
      </w:r>
    </w:p>
    <w:p>
      <w:pPr>
        <w:pStyle w:val="LOnormal"/>
        <w:numPr>
          <w:ilvl w:val="0"/>
          <w:numId w:val="1"/>
        </w:numPr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>Que as minutas integrantes do presente processo foram extraídas do sítio eletrônico da Advocacia-Geral da União – AGU (Modelos de Licitações e Contratos) no endereço</w:t>
      </w:r>
      <w:r>
        <w:rPr>
          <w:rFonts w:eastAsia="Times New Roman" w:cs="Arial" w:ascii="Arial" w:hAnsi="Arial"/>
          <w:i/>
          <w:color w:val="000000"/>
        </w:rPr>
        <w:t xml:space="preserve"> </w:t>
      </w:r>
      <w:r>
        <w:rPr>
          <w:rFonts w:eastAsia="Times New Roman" w:cs="Arial" w:ascii="Arial" w:hAnsi="Arial"/>
          <w:i/>
          <w:color w:val="000000"/>
          <w:shd w:fill="auto" w:val="clear"/>
        </w:rPr>
        <w:t>https://www.gov.br/agu/pt-br/composicao/cgu/cgu/modelos/licitacoesecontratos/servicos-continuados-sem-mao-de-obra-exclusiva-pregao</w:t>
      </w:r>
      <w:r>
        <w:rPr>
          <w:rFonts w:eastAsia="Times New Roman" w:cs="Arial" w:ascii="Arial" w:hAnsi="Arial"/>
          <w:color w:val="000000"/>
          <w:shd w:fill="auto" w:val="clear"/>
        </w:rPr>
        <w:t>; te</w:t>
      </w:r>
      <w:r>
        <w:rPr>
          <w:rFonts w:eastAsia="Times New Roman" w:cs="Arial" w:ascii="Arial" w:hAnsi="Arial"/>
          <w:color w:val="000000"/>
        </w:rPr>
        <w:t xml:space="preserve">ndo sido adotada a versão de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 xml:space="preserve">Termo de Referência – Modelo para Pregão Eletrônico: Serviços  Continuados. </w:t>
      </w: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>Atualização: Julho/2021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kern w:val="0"/>
          <w:sz w:val="20"/>
          <w:szCs w:val="20"/>
          <w:lang w:val="pt-BR" w:eastAsia="zh-CN" w:bidi="hi-IN"/>
        </w:rPr>
        <w:t>.</w:t>
      </w:r>
    </w:p>
    <w:p>
      <w:pPr>
        <w:pStyle w:val="LOnormal"/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normal"/>
        <w:numPr>
          <w:ilvl w:val="0"/>
          <w:numId w:val="1"/>
        </w:numPr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 xml:space="preserve">Que conferi tratar-se de modelos de minutas atualizados, nos termos do art. 14, da Portaria PGF nº 931/2018; e </w:t>
      </w:r>
    </w:p>
    <w:p>
      <w:pPr>
        <w:pStyle w:val="LOnormal"/>
        <w:numPr>
          <w:ilvl w:val="0"/>
          <w:numId w:val="1"/>
        </w:numPr>
        <w:spacing w:lineRule="auto" w:line="360"/>
        <w:ind w:left="142" w:hanging="36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 xml:space="preserve">Que a instrução processual foi devidamente cotejada com as listas de verificação </w:t>
      </w:r>
      <w:r>
        <w:rPr>
          <w:rFonts w:eastAsia="Times New Roman" w:cs="Arial" w:ascii="Arial" w:hAnsi="Arial"/>
          <w:i/>
          <w:color w:val="000000"/>
        </w:rPr>
        <w:t xml:space="preserve">(checklists) </w:t>
      </w:r>
      <w:r>
        <w:rPr>
          <w:rFonts w:eastAsia="Times New Roman" w:cs="Arial" w:ascii="Arial" w:hAnsi="Arial"/>
          <w:color w:val="000000"/>
        </w:rPr>
        <w:t>disponíveis no mesmo sítio acima apontado, justificando nos autos os documentos faltantes.</w:t>
      </w:r>
    </w:p>
    <w:p>
      <w:pPr>
        <w:pStyle w:val="LO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DECLARO</w:t>
      </w:r>
      <w:r>
        <w:rPr>
          <w:rFonts w:cs="Arial" w:ascii="Arial" w:hAnsi="Arial"/>
        </w:rPr>
        <w:t xml:space="preserve"> que:</w:t>
      </w:r>
    </w:p>
    <w:p>
      <w:pPr>
        <w:pStyle w:val="LO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250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250"/>
      </w:tblGrid>
      <w:tr>
        <w:trPr>
          <w:trHeight w:val="450" w:hRule="atLeast"/>
        </w:trPr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 ) </w:t>
            </w:r>
            <w:r>
              <w:rPr>
                <w:rFonts w:cs="Arial" w:ascii="Arial" w:hAnsi="Arial"/>
                <w:b/>
              </w:rPr>
              <w:t>Não foram realizadas quaisquer alterações nas minutas</w:t>
            </w:r>
            <w:r>
              <w:rPr>
                <w:rFonts w:cs="Arial" w:ascii="Arial" w:hAnsi="Arial"/>
              </w:rPr>
              <w:t xml:space="preserve">.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 xml:space="preserve"> X </w:t>
            </w:r>
            <w:r>
              <w:rPr>
                <w:rFonts w:cs="Arial" w:ascii="Arial" w:hAnsi="Arial"/>
              </w:rPr>
              <w:t xml:space="preserve">  ) </w:t>
            </w:r>
            <w:r>
              <w:rPr>
                <w:rFonts w:cs="Arial" w:ascii="Arial" w:hAnsi="Arial"/>
                <w:b/>
                <w:bCs/>
              </w:rPr>
              <w:t>F</w:t>
            </w:r>
            <w:r>
              <w:rPr>
                <w:rFonts w:cs="Arial" w:ascii="Arial" w:hAnsi="Arial"/>
                <w:b/>
              </w:rPr>
              <w:t>oram realizadas  alterações na minuta do TR</w:t>
            </w:r>
            <w:r>
              <w:rPr>
                <w:rFonts w:cs="Arial" w:ascii="Arial" w:hAnsi="Arial"/>
              </w:rPr>
              <w:t xml:space="preserve">. </w:t>
            </w:r>
          </w:p>
        </w:tc>
      </w:tr>
      <w:tr>
        <w:trPr/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>X</w:t>
            </w:r>
            <w:r>
              <w:rPr>
                <w:rFonts w:cs="Arial" w:ascii="Arial" w:hAnsi="Arial"/>
              </w:rPr>
              <w:t xml:space="preserve"> ) Foram </w:t>
            </w:r>
            <w:r>
              <w:rPr>
                <w:rFonts w:cs="Arial" w:ascii="Arial" w:hAnsi="Arial"/>
                <w:b/>
              </w:rPr>
              <w:t>suprimidos</w:t>
            </w:r>
            <w:r>
              <w:rPr>
                <w:rFonts w:cs="Arial" w:ascii="Arial" w:hAnsi="Arial"/>
              </w:rPr>
              <w:t xml:space="preserve"> os trechos indicados  na minuta de: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Edital     (    )  Contrato   ( </w:t>
            </w:r>
            <w:r>
              <w:rPr>
                <w:rFonts w:cs="Arial" w:ascii="Arial" w:hAnsi="Arial"/>
                <w:b/>
                <w:bCs/>
              </w:rPr>
              <w:t xml:space="preserve"> X </w:t>
            </w:r>
            <w:r>
              <w:rPr>
                <w:rFonts w:cs="Arial" w:ascii="Arial" w:hAnsi="Arial"/>
              </w:rPr>
              <w:t>)  Termo de Referência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)  Outros: _______________________________________________________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Pelos Motivos a seguir expostos (Especificar Itens Suprimidos):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Item</w:t>
            </w:r>
            <w:r>
              <w:rPr>
                <w:rFonts w:eastAsia="NSimSun" w:cs="Arial" w:ascii="Arial" w:hAnsi="Arial"/>
                <w:b/>
                <w:bCs/>
                <w:i w:val="false"/>
                <w:iCs w:val="false"/>
                <w:color w:val="auto"/>
                <w:kern w:val="0"/>
                <w:sz w:val="20"/>
                <w:szCs w:val="20"/>
                <w:lang w:val="pt-BR" w:eastAsia="zh-CN" w:bidi="hi-IN"/>
              </w:rPr>
              <w:t xml:space="preserve"> 9 – MATERIAIS A SEREM DISPONIBILIZADOS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>Justificativa</w:t>
            </w: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 xml:space="preserve">: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 xml:space="preserve">Não há necessidade de material ser disponibilizado nesta contratação, já que a presente licitação tem como objetivo apenas a adquirir gêneros alimentícios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Cs w:val="20"/>
                <w:u w:val="none"/>
                <w:shd w:fill="auto" w:val="clear"/>
              </w:rPr>
              <w:t xml:space="preserve">Item 21 – DAS SANÇÕES ADMINISTRATIVAS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Cs w:val="20"/>
                <w:u w:val="none"/>
                <w:shd w:fill="auto" w:val="clear"/>
              </w:rPr>
              <w:t xml:space="preserve">Justificativa: </w:t>
            </w: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u w:val="none"/>
                <w:shd w:fill="auto" w:val="clear"/>
              </w:rPr>
              <w:t xml:space="preserve">Este item foi substituído pelo item “INADIMPLEMENTO”, considerando cláusula contratual da MINUTA DE CONTRATO da Empresa Brasileira de Correios e Telégrafos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Cs w:val="20"/>
                <w:u w:val="none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u w:val="none"/>
                <w:shd w:fill="auto" w:val="clear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Cs w:val="20"/>
                <w:u w:val="none"/>
                <w:shd w:fill="auto" w:val="clear"/>
              </w:rPr>
              <w:t>Item 22 -CRITÉRIOS DE SELEÇÃO DO FORNECEDOR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color w:val="000000"/>
                <w:szCs w:val="20"/>
                <w:u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color w:val="000000"/>
                <w:szCs w:val="20"/>
                <w:u w:val="none"/>
                <w:shd w:fill="auto" w:val="clear"/>
              </w:rPr>
              <w:t xml:space="preserve">Justificativa: </w:t>
            </w: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u w:val="none"/>
                <w:shd w:fill="auto" w:val="clear"/>
              </w:rPr>
              <w:t xml:space="preserve">este item é apenas para o caso de licitação, como esta contratação será direta não há motivo para mantê-lo no TR.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>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 xml:space="preserve"> X  )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>F</w:t>
            </w:r>
            <w:r>
              <w:rPr>
                <w:rFonts w:cs="Arial" w:ascii="Arial" w:hAnsi="Arial"/>
                <w:b/>
              </w:rPr>
              <w:t>oram realizadas alterações na minuta do TR</w:t>
            </w:r>
            <w:r>
              <w:rPr>
                <w:rFonts w:cs="Arial" w:ascii="Arial" w:hAnsi="Arial"/>
              </w:rPr>
              <w:t xml:space="preserve">.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Pelos Motivos a seguir expostos (Especificar Itens incluídos):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Subitens 1.3.1 e 1.3.2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>JUSTIFICATIVA:</w:t>
            </w: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>Foi acrescentado estes subitens para trazer informações sobre o objeto da contratação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>Subitem 1.6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>Justificativa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 xml:space="preserve">: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Para informar quais </w:t>
            </w:r>
            <w:r>
              <w:rPr>
                <w:rFonts w:eastAsia="Arial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Unidades do IFSertãoPE que utilizarão os produtos e serviços por meio do Pacote de Serviços dos CORREIOS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 w:val="false"/>
                <w:b w:val="false"/>
                <w:bCs w:val="false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u w:val="none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>Subitens 5.1.1 a 5.1.10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JUSTIFICATIVA: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>Além dos requisitos transcritos do estudo técnico preliminar, foram acrescentados outros subitens a fim de apresentar outros requisitos necessários para a contratação.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>Item 8  MODELO DE EXECUÇÃO DO CONTRATO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>JUSTIFICATIVA: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 xml:space="preserve"> Estes subitens foram acrescentados para </w:t>
            </w: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u w:val="none"/>
                <w:shd w:fill="auto" w:val="clear"/>
                <w:lang w:val="pt-BR"/>
              </w:rPr>
              <w:t>ser detalhadas de forma minuciosa as tarefas a serem desenvolvidas pelo empregado alocado e a respectiva rotina de execução, vez que a Administração só poderá, no momento futuro de fiscalização do contrato, exigir o cumprimento das atividades que tenham sido expressamente arroladas no Termo de Referência.</w:t>
            </w:r>
          </w:p>
          <w:p>
            <w:pPr>
              <w:pStyle w:val="LOnormal"/>
              <w:keepNext w:val="false"/>
              <w:keepLines w:val="false"/>
              <w:widowControl w:val="false"/>
              <w:suppressAutoHyphens w:val="true"/>
              <w:bidi w:val="0"/>
              <w:spacing w:lineRule="auto" w:line="360" w:before="0" w:after="120"/>
              <w:ind w:right="0" w:hanging="0"/>
              <w:jc w:val="both"/>
              <w:rPr>
                <w:rFonts w:ascii="Arial" w:hAnsi="Arial" w:eastAsia="Arial" w:cs="Arial"/>
                <w:color w:val="00000A"/>
              </w:rPr>
            </w:pPr>
            <w:r>
              <w:rPr>
                <w:rFonts w:eastAsia="Arial" w:cs="Arial" w:ascii="Arial" w:hAnsi="Arial"/>
                <w:color w:val="00000A"/>
              </w:rPr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Subitens 8.1.1 a 8.12  </w:t>
            </w:r>
          </w:p>
          <w:p>
            <w:pPr>
              <w:pStyle w:val="LOnormal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JUSTIFICATIVA: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Foi acrescentado para esclarecer detalhadamente como as licitantes deverão elaborar suas propostas e também o que devem cumprir na execução contratual.</w:t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 xml:space="preserve">Item 10 - </w:t>
            </w:r>
            <w:r>
              <w:rPr>
                <w:rFonts w:eastAsia="Times New Roman" w:cs="Tahoma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  <w:lang w:val="pt-BR" w:eastAsia="pt-BR" w:bidi="ar-SA"/>
              </w:rPr>
              <w:t>INFORMAÇÕES RELEVANTES PARA O DIMENSIONAMENTO DA PROPOSTA</w:t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Times New Roman" w:cs="Tahoma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  <w:lang w:val="pt-BR" w:eastAsia="pt-BR" w:bidi="ar-SA"/>
              </w:rPr>
              <w:t xml:space="preserve">Alterado para o Item 10 e adaptado ao presente objeto </w:t>
            </w:r>
          </w:p>
          <w:p>
            <w:pPr>
              <w:pStyle w:val="LOnormal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 xml:space="preserve">Item 16 –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  <w:lang w:eastAsia="en-US"/>
              </w:rPr>
              <w:t>DOS CRITÉRIOS DE AFERIÇÃO E MEDIÇÃO PARA FATURAMENTO</w:t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Times New Roman" w:cs="Tahoma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pt-BR" w:eastAsia="pt-BR" w:bidi="ar-SA"/>
              </w:rPr>
              <w:t xml:space="preserve">Alterado para o Item 10 e adaptado ao presente objeto </w:t>
            </w:r>
          </w:p>
          <w:p>
            <w:pPr>
              <w:pStyle w:val="LOnormal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Subitem: 19.1.1  e 19.1.2 – DA GARANTIA</w:t>
            </w:r>
          </w:p>
          <w:p>
            <w:pPr>
              <w:pStyle w:val="LOnormal1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 xml:space="preserve">JUSTIFICATIVA: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Foi acrescentado este subitem para justificar da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não necessidade de exigir garantia contratual considerando a natureza da contratação e a forma de execução do serviço.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 xml:space="preserve">Item 20 INADIMPLEMENTO substituiu a redação “das sanções administrativas” </w:t>
            </w: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u w:val="none"/>
                <w:shd w:fill="auto" w:val="clear"/>
              </w:rPr>
              <w:t xml:space="preserve">considerando cláusula contratual da MINUTA DE CONTRATO da Empresa Brasileira de Correios e Telégrafos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ivel1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24" w:after="0"/>
              <w:ind w:left="340" w:right="0" w:hanging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Arial" w:cs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Item 21 - DA RESCISÃO</w:t>
            </w:r>
            <w:r>
              <w:rPr>
                <w:rFonts w:eastAsia="Arial" w:cs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foi acrescido de forma separada  considerando cláusula contratual da MINUTA DE CONTRATO da Empresa Brasileira de Correios e Telégrafos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24" w:after="0"/>
              <w:ind w:left="340" w:right="0" w:hanging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u w:val="single"/>
              </w:rPr>
              <w:t xml:space="preserve">( x ) </w:t>
            </w:r>
            <w:r>
              <w:rPr>
                <w:rFonts w:cs="Arial" w:ascii="Arial" w:hAnsi="Arial"/>
                <w:b/>
                <w:bCs w:val="false"/>
                <w:u w:val="single"/>
              </w:rPr>
              <w:t xml:space="preserve">Não foi Incluída Cláusula Específica no termo de Referência.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</w:t>
            </w:r>
            <w:r>
              <w:rPr>
                <w:rFonts w:cs="Arial" w:ascii="Arial" w:hAnsi="Arial"/>
                <w:i/>
                <w:iCs/>
              </w:rPr>
              <w:t xml:space="preserve">    ) Edital     (    )  Contrato   ( </w:t>
            </w:r>
            <w:r>
              <w:rPr>
                <w:rFonts w:cs="Arial" w:ascii="Arial" w:hAnsi="Arial"/>
                <w:b/>
                <w:bCs/>
                <w:i/>
                <w:iCs/>
              </w:rPr>
              <w:t xml:space="preserve">X   </w:t>
            </w:r>
            <w:r>
              <w:rPr>
                <w:rFonts w:cs="Arial" w:ascii="Arial" w:hAnsi="Arial"/>
                <w:i/>
                <w:iCs/>
              </w:rPr>
              <w:t>)  Termo de Referência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  <w:iCs/>
                <w:u w:val="single"/>
              </w:rPr>
              <w:t>(    )  Outros: ___ _____________________________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Pelos motivos a seguir expostos (especificar cláusula):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 w:val="false"/>
                <w:u w:val="single"/>
              </w:rPr>
              <w:t>Não foi Incluída Cláusula Específica no termo de Referência.</w:t>
            </w:r>
          </w:p>
        </w:tc>
      </w:tr>
    </w:tbl>
    <w:p>
      <w:pPr>
        <w:pStyle w:val="LOnormal"/>
        <w:jc w:val="both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both"/>
        <w:rPr>
          <w:rFonts w:ascii="Times New Roman" w:hAnsi="Times New Roman" w:eastAsia="Garamond" w:cs="Garamond"/>
          <w:sz w:val="24"/>
          <w:szCs w:val="24"/>
        </w:rPr>
      </w:pPr>
      <w:r>
        <w:rPr>
          <w:rFonts w:eastAsia="Garamond" w:cs="Garamond"/>
          <w:sz w:val="24"/>
          <w:szCs w:val="24"/>
        </w:rPr>
        <w:t xml:space="preserve">Declaro que o Termo de Referência foi elaborado pelos servidores da área técnica e demandante. </w:t>
      </w:r>
    </w:p>
    <w:p>
      <w:pPr>
        <w:pStyle w:val="LOnormal"/>
        <w:spacing w:before="240" w:after="0"/>
        <w:jc w:val="right"/>
        <w:rPr>
          <w:highlight w:val="none"/>
          <w:shd w:fill="auto" w:val="clear"/>
        </w:rPr>
      </w:pPr>
      <w:r>
        <w:rPr>
          <w:rFonts w:eastAsia="Garamond" w:cs="Garamond"/>
          <w:sz w:val="24"/>
          <w:szCs w:val="24"/>
          <w:shd w:fill="auto" w:val="clear"/>
        </w:rPr>
        <w:t>Petrolina-PE, _______</w:t>
      </w:r>
      <w:r>
        <w:rPr>
          <w:rFonts w:eastAsia="Garamond" w:cs="Garamond"/>
          <w:color w:val="000000"/>
          <w:kern w:val="0"/>
          <w:sz w:val="24"/>
          <w:szCs w:val="24"/>
          <w:shd w:fill="auto" w:val="clear"/>
          <w:lang w:val="pt-BR" w:eastAsia="zh-CN" w:bidi="hi-IN"/>
        </w:rPr>
        <w:t xml:space="preserve"> março </w:t>
      </w:r>
      <w:r>
        <w:rPr>
          <w:rFonts w:eastAsia="Garamond" w:cs="Garamond"/>
          <w:sz w:val="24"/>
          <w:szCs w:val="24"/>
          <w:shd w:fill="auto" w:val="clear"/>
        </w:rPr>
        <w:t>de 2023</w:t>
      </w:r>
    </w:p>
    <w:p>
      <w:pPr>
        <w:pStyle w:val="LOnormal"/>
        <w:spacing w:before="240" w:after="0"/>
        <w:jc w:val="right"/>
        <w:rPr>
          <w:rFonts w:ascii="Times New Roman" w:hAnsi="Times New Roman" w:eastAsia="Garamond" w:cs="Garamond"/>
          <w:sz w:val="24"/>
          <w:szCs w:val="24"/>
        </w:rPr>
      </w:pPr>
      <w:r>
        <w:rPr>
          <w:rFonts w:eastAsia="Garamond" w:cs="Garamond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Garamond" w:cs="Garamond"/>
          <w:sz w:val="24"/>
          <w:szCs w:val="24"/>
        </w:rPr>
        <w:t>DECLARO, ao final, possuir competência para firmar a presente certificação.</w:t>
      </w:r>
    </w:p>
    <w:p>
      <w:pPr>
        <w:pStyle w:val="LOnormal"/>
        <w:spacing w:lineRule="auto" w:line="240" w:before="24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Assinatura </w:t>
      </w:r>
      <w:r>
        <w:rPr>
          <w:rFonts w:ascii="Arial" w:hAnsi="Arial"/>
          <w:b w:val="false"/>
          <w:bCs w:val="false"/>
        </w:rPr>
        <w:t xml:space="preserve">da </w:t>
      </w:r>
      <w:r>
        <w:rPr>
          <w:rFonts w:ascii="Arial" w:hAnsi="Arial"/>
          <w:b w:val="false"/>
          <w:bCs w:val="false"/>
        </w:rPr>
        <w:t xml:space="preserve">Equipe </w:t>
      </w:r>
      <w:r>
        <w:rPr>
          <w:rFonts w:ascii="Arial" w:hAnsi="Arial"/>
          <w:b w:val="false"/>
          <w:bCs w:val="false"/>
        </w:rPr>
        <w:t xml:space="preserve">ou servidor responsável pela elaboração do </w:t>
      </w:r>
      <w:r>
        <w:rPr>
          <w:rFonts w:ascii="Arial" w:hAnsi="Arial"/>
          <w:b w:val="false"/>
          <w:bCs w:val="false"/>
        </w:rPr>
        <w:t xml:space="preserve"> Termo de Referência:</w:t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b w:val="false"/>
          <w:b w:val="false"/>
          <w:bCs w:val="false"/>
        </w:rPr>
      </w:pPr>
      <w:r>
        <w:rPr/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b w:val="false"/>
          <w:b w:val="false"/>
          <w:bCs w:val="false"/>
        </w:rPr>
      </w:pPr>
      <w:r>
        <w:rPr/>
      </w:r>
    </w:p>
    <w:p>
      <w:pPr>
        <w:pStyle w:val="LOnormal"/>
        <w:spacing w:lineRule="auto" w:line="240" w:before="24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40" w:before="24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40" w:before="24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40" w:before="24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40" w:before="24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189"/>
        <w:ind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-284" w:hanging="0"/>
        <w:jc w:val="center"/>
        <w:rPr>
          <w:rFonts w:ascii="Arial" w:hAnsi="Arial" w:eastAsia="Times New Roman" w:cs="Arial"/>
          <w:color w:val="auto"/>
          <w:kern w:val="0"/>
          <w:sz w:val="20"/>
          <w:szCs w:val="20"/>
          <w:lang w:val="pt-BR" w:eastAsia="pt-BR" w:bidi="ar-SA"/>
        </w:rPr>
      </w:pPr>
      <w:r>
        <w:rPr>
          <w:rFonts w:eastAsia="Times New Roman" w:cs="Arial" w:ascii="Arial" w:hAnsi="Arial"/>
          <w:color w:val="auto"/>
          <w:kern w:val="0"/>
          <w:sz w:val="20"/>
          <w:szCs w:val="20"/>
          <w:lang w:val="pt-BR" w:eastAsia="pt-BR" w:bidi="ar-SA"/>
        </w:rPr>
      </w:r>
    </w:p>
    <w:p>
      <w:pPr>
        <w:pStyle w:val="Normal"/>
        <w:spacing w:before="0" w:after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360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426" w:top="2070" w:footer="696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NewRomanPS-BoldM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419" w:leader="none"/>
        <w:tab w:val="right" w:pos="8838" w:leader="none"/>
      </w:tabs>
      <w:ind w:right="360" w:hanging="0"/>
      <w:rPr>
        <w:rFonts w:eastAsia="Times New Roman" w:cs="Times New Roman"/>
        <w:b/>
        <w:b/>
        <w:color w:val="000000"/>
      </w:rPr>
    </w:pPr>
    <w:r>
      <w:rPr>
        <w:rFonts w:eastAsia="Times New Roman" w:cs="Times New Roman"/>
        <w:b/>
        <w:color w:val="000000"/>
      </w:rPr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ind w:right="424" w:hanging="0"/>
      <w:jc w:val="both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8" wp14:anchorId="3F996F0D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43815" cy="16954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425pt;margin-top:3pt;width:3.35pt;height:13.25pt;mso-wrap-style:none;v-text-anchor:middle" wp14:anchorId="3F996F0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rPr>
        <w:rFonts w:ascii="Ecofont_Spranq_eco_Sans" w:hAnsi="Ecofont_Spranq_eco_Sans" w:eastAsia="Ecofont_Spranq_eco_Sans" w:cs="Ecofont_Spranq_eco_Sans"/>
        <w:color w:val="000000"/>
        <w:sz w:val="16"/>
        <w:szCs w:val="16"/>
      </w:rPr>
    </w:pPr>
    <w:r>
      <w:rPr>
        <w:rFonts w:eastAsia="Ecofont_Spranq_eco_Sans" w:cs="Ecofont_Spranq_eco_Sans" w:ascii="Ecofont_Spranq_eco_Sans" w:hAnsi="Ecofont_Spranq_eco_Sans"/>
        <w:color w:val="000000"/>
      </w:rPr>
      <w:tab/>
      <w:tab/>
    </w: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66.15pt;height:53.7pt;mso-wrap-distance-right:0pt" filled="t" fillcolor="#FFFFFF" o:ole="">
          <v:imagedata r:id="rId2" o:title=""/>
        </v:shape>
        <o:OLEObject Type="Embed" ProgID="Word.Picture.8" ShapeID="ole_rId1" DrawAspect="Content" ObjectID="_1797773116" r:id="rId1"/>
      </w:objec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ADVOCACIA-GERAL DA UNIÃO</w:t>
    </w:r>
  </w:p>
  <w:p>
    <w:pPr>
      <w:pStyle w:val="LOnormal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DEPARTAMENTO DE CONSULTORIA – DEPCONSU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EQUIPE DE TRABALHO REMOTO DE LICITAÇÕES E CONTRATOS - ETRLIC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rFonts w:eastAsia="Arial" w:cs="Arial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2"/>
        <w:i w:val="false"/>
        <w:b w:val="false"/>
        <w:szCs w:val="22"/>
        <w:rFonts w:eastAsia="Arial" w:cs="Arial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0"/>
        <w:b w:val="false"/>
        <w:szCs w:val="20"/>
        <w:rFonts w:eastAsia="Arial" w:cs="Arial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0"/>
        <w:b w:val="false"/>
        <w:szCs w:val="20"/>
        <w:rFonts w:eastAsia="Arial" w:cs="Ari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0"/>
        <w:b w:val="false"/>
        <w:szCs w:val="20"/>
        <w:rFonts w:eastAsia="Arial" w:cs="Ari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0"/>
        <w:b w:val="false"/>
        <w:szCs w:val="20"/>
        <w:rFonts w:eastAsia="Arial" w:cs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0"/>
        <w:b w:val="false"/>
        <w:szCs w:val="20"/>
        <w:rFonts w:eastAsia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0"/>
        <w:b w:val="false"/>
        <w:szCs w:val="20"/>
        <w:rFonts w:eastAsia="Arial" w:cs="Ari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0"/>
        <w:b w:val="false"/>
        <w:szCs w:val="20"/>
        <w:rFonts w:eastAsia="Arial"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f3f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ff3fe0"/>
    <w:rPr/>
  </w:style>
  <w:style w:type="character" w:styleId="CabealhoChar" w:customStyle="1">
    <w:name w:val="Cabeçalho Char"/>
    <w:basedOn w:val="DefaultParagraphFont"/>
    <w:link w:val="Cabealho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Link da Internet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d121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d1219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Fontepargpadro3" w:customStyle="1">
    <w:name w:val="Fonte parág. padrão3"/>
    <w:qFormat/>
    <w:rPr/>
  </w:style>
  <w:style w:type="character" w:styleId="Fontstyle01" w:customStyle="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/>
  </w:style>
  <w:style w:type="paragraph" w:styleId="Ttulododocumento">
    <w:name w:val="Title"/>
    <w:basedOn w:val="LO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Rodap">
    <w:name w:val="Footer"/>
    <w:basedOn w:val="LOnormal"/>
    <w:link w:val="Rodap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normal"/>
    <w:link w:val="Cabealho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ff3fe0"/>
    <w:pPr>
      <w:spacing w:before="0" w:after="120"/>
      <w:ind w:left="283" w:hanging="0"/>
    </w:pPr>
    <w:rPr/>
  </w:style>
  <w:style w:type="paragraph" w:styleId="ListParagraph">
    <w:name w:val="List Paragraph"/>
    <w:basedOn w:val="LOnormal"/>
    <w:qFormat/>
    <w:rsid w:val="000f2c6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4d1219"/>
    <w:pPr/>
    <w:rPr/>
  </w:style>
  <w:style w:type="paragraph" w:styleId="Contedodoquadro" w:customStyle="1">
    <w:name w:val="Conteúdo do quadro"/>
    <w:basedOn w:val="LOnormal"/>
    <w:qFormat/>
    <w:pPr/>
    <w:rPr/>
  </w:style>
  <w:style w:type="paragraph" w:styleId="Standard" w:customStyle="1">
    <w:name w:val="Standard"/>
    <w:qFormat/>
    <w:rsid w:val="002165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ivel1" w:customStyle="1">
    <w:name w:val="Nivel1"/>
    <w:basedOn w:val="Ttulo1"/>
    <w:next w:val="Normal"/>
    <w:qFormat/>
    <w:pPr>
      <w:spacing w:lineRule="auto" w:line="276"/>
      <w:jc w:val="both"/>
      <w:outlineLvl w:val="9"/>
    </w:pPr>
    <w:rPr>
      <w:rFonts w:ascii="Arial" w:hAnsi="Arial" w:cs="Arial"/>
      <w:color w:val="000000"/>
      <w:sz w:val="20"/>
      <w:szCs w:val="20"/>
    </w:rPr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LibreOffice/7.2.5.2$Windows_X86_64 LibreOffice_project/499f9727c189e6ef3471021d6132d4c694f357e5</Application>
  <AppVersion>15.0000</AppVersion>
  <Pages>4</Pages>
  <Words>826</Words>
  <Characters>4731</Characters>
  <CharactersWithSpaces>5735</CharactersWithSpaces>
  <Paragraphs>77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2021-07-12T23:54:00Z</dcterms:created>
  <dc:creator>Carlos Henrique Benedito Nitão Loureiro</dc:creator>
  <dc:description/>
  <dc:language>pt-BR</dc:language>
  <cp:lastModifiedBy/>
  <cp:lastPrinted>2021-08-04T10:13:00Z</cp:lastPrinted>
  <dcterms:modified xsi:type="dcterms:W3CDTF">2023-03-09T14:43:40Z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0x010100100CD812E29B004F9A2BBD762AA51FB8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