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keepNext w:val="false"/>
        <w:keepLines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9775" w:type="dxa"/>
        <w:jc w:val="left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5"/>
      </w:tblGrid>
      <w:tr>
        <w:trPr>
          <w:trHeight w:val="411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.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Volume (s): 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I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ascii="Arial" w:hAnsi="Arial"/>
                <w:sz w:val="21"/>
                <w:szCs w:val="21"/>
              </w:rPr>
              <w:t>) Não (   ) Sim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Caso sim, identificá-lo (s):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Processo n.</w:t>
            </w:r>
          </w:p>
          <w:p>
            <w:pPr>
              <w:pStyle w:val="LOnormal"/>
              <w:widowControl w:val="false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Interessado (s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):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Diretoria de Licitações-DLIC/PROAD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eastAsia="NSimSun" w:cs="Lucida Sans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   )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MODALIDADE: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) Pregão com SRP                 (   ) RDC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X</w:t>
            </w:r>
            <w:r>
              <w:rPr>
                <w:rFonts w:ascii="Arial" w:hAnsi="Arial"/>
                <w:sz w:val="21"/>
                <w:szCs w:val="21"/>
              </w:rPr>
              <w:t xml:space="preserve">  ) Inexigibilidade</w:t>
            </w:r>
          </w:p>
        </w:tc>
      </w:tr>
      <w:tr>
        <w:trPr>
          <w:trHeight w:val="3656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TIPO: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Menor Preço:  (  X ) por item     (  ) por grupo    (  ) por item e grupo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Melhor Técnica    (    ) Técnica e Preço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Contratação de empresa especializada para prestação de serviços de capacitação com o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color w:val="auto"/>
                <w:kern w:val="0"/>
                <w:sz w:val="20"/>
                <w:szCs w:val="20"/>
                <w:lang w:val="pt-BR" w:eastAsia="pt-BR" w:bidi="ar-SA"/>
              </w:rPr>
              <w:t>curso: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 “Nova Lei de Licitações e Contratos na Prática (Lei Federal n° 14.133/2021), no período de 22 a 24 de março de 2023, em Petrolina/PE” das 08h00 às 17h00.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Valor Estimado da contratação/aquisição: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R$ </w:t>
            </w:r>
            <w:r>
              <w:rPr>
                <w:rFonts w:eastAsia="NSimSun" w:cs="Lucida Sans" w:ascii="ArialMT" w:hAnsi="ArialMT"/>
                <w:i w:val="false"/>
                <w:iCs w:val="false"/>
                <w:color w:val="000000"/>
                <w:kern w:val="0"/>
                <w:sz w:val="18"/>
                <w:lang w:val="pt-BR" w:eastAsia="zh-CN" w:bidi="hi-IN"/>
              </w:rPr>
              <w:t>27.500,00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(vinte e sete mil e quinhentos reais)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https://www.gov.br/agu/pt-br/composicao/cgu/cgu/modelos/licitacoesecontratos/8666e10520/servicos-nao-continuados-pregao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tendo sido adotada a versão de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C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âmara Nacional de Modelos de Licitação e Contratos Administrativos da Consultoria-Geral da União - Termo de Contrato - Modelo para Pregão Eletrônico: Serviços Não-Continuados - Atualização: Julho/2020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Style w:val="Table2"/>
        <w:tblW w:w="9538" w:type="dxa"/>
        <w:jc w:val="left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538"/>
      </w:tblGrid>
      <w:tr>
        <w:trPr>
          <w:trHeight w:val="530" w:hRule="atLeast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sz w:val="21"/>
                <w:szCs w:val="21"/>
              </w:rPr>
              <w:t xml:space="preserve">os trechos </w:t>
            </w:r>
            <w:r>
              <w:rPr>
                <w:rFonts w:ascii="Arial" w:hAnsi="Arial"/>
                <w:b/>
                <w:sz w:val="21"/>
                <w:szCs w:val="21"/>
                <w:u w:val="single"/>
              </w:rPr>
              <w:t xml:space="preserve">negritados  e sublinhados </w:t>
            </w:r>
            <w:r>
              <w:rPr>
                <w:rFonts w:ascii="Arial" w:hAnsi="Arial"/>
                <w:sz w:val="21"/>
                <w:szCs w:val="21"/>
              </w:rPr>
              <w:t>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(  )  Edital     ( 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X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 )  Contrato   (   )  Termo de Referência  (  )  Projeto Básico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(    )  Outros: _______________________________________________________</w:t>
            </w:r>
          </w:p>
          <w:p>
            <w:pPr>
              <w:pStyle w:val="LOnormal"/>
              <w:widowControl w:val="false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LOnormal"/>
              <w:widowControl w:val="false"/>
              <w:jc w:val="both"/>
              <w:rPr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Pelos Motivos a seguir expostos(Especificar Ite</w:t>
            </w:r>
            <w:r>
              <w:rPr>
                <w:rFonts w:eastAsia="NSimSun" w:cs="Lucida Sans" w:ascii="Arial" w:hAnsi="Arial"/>
                <w:i/>
                <w:iCs/>
                <w:color w:val="000000"/>
                <w:kern w:val="0"/>
                <w:sz w:val="21"/>
                <w:szCs w:val="21"/>
                <w:u w:val="none"/>
                <w:lang w:val="pt-BR" w:eastAsia="zh-CN" w:bidi="hi-IN"/>
              </w:rPr>
              <w:t>m incluído</w:t>
            </w: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Incluídos os subitens de 5.1.1 a 5.1.4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J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</w:rPr>
              <w:t xml:space="preserve">ustificar a situação de inexigibilidade e razão da escolha do </w:t>
            </w:r>
            <w:r>
              <w:rPr>
                <w:rFonts w:ascii="Arial-BoldMT" w:hAnsi="Arial-BoldMT"/>
                <w:b w:val="false"/>
                <w:bCs w:val="false"/>
                <w:sz w:val="20"/>
              </w:rPr>
              <w:t>executante do serviço.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Incluídos os subitens de  </w:t>
            </w:r>
            <w:r>
              <w:rPr>
                <w:rFonts w:ascii="ArialMT" w:hAnsi="ArialMT"/>
                <w:b/>
                <w:color w:val="000000"/>
                <w:sz w:val="20"/>
                <w:szCs w:val="21"/>
              </w:rPr>
              <w:t>6.1.1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 a 6.1.8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>Justificativa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: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J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  <w:u w:val="none"/>
              </w:rPr>
              <w:t>ustificar os requisitos da contratação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Incluídos os subitens de </w:t>
            </w:r>
            <w:r>
              <w:rPr>
                <w:rFonts w:ascii="ArialMT" w:hAnsi="ArialMT"/>
                <w:b/>
                <w:bCs/>
                <w:sz w:val="20"/>
                <w:szCs w:val="21"/>
                <w:u w:val="none"/>
              </w:rPr>
              <w:t>8.1.1</w:t>
            </w:r>
            <w:r>
              <w:rPr>
                <w:rFonts w:ascii="Arial-BoldMT" w:hAnsi="Arial-BoldMT"/>
                <w:b/>
                <w:bCs/>
                <w:sz w:val="20"/>
                <w:szCs w:val="21"/>
                <w:u w:val="none"/>
              </w:rPr>
              <w:t xml:space="preserve"> a 8.1.6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Justificativa: 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>Prevê os materiais que deverão ser disponibilizados pela contratada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>Subitem 10.18: excluído parte do texto o qual segue abaixo:</w:t>
            </w:r>
          </w:p>
          <w:p>
            <w:pPr>
              <w:pStyle w:val="LOnormal"/>
              <w:widowControl w:val="false"/>
              <w:spacing w:lineRule="auto" w:line="360"/>
              <w:ind w:left="1440" w:hanging="0"/>
              <w:jc w:val="both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“ 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none"/>
              </w:rPr>
              <w:t>inclusive quanto aos custos variáveis decorrentes de fatores futuros e incertos, tais como os valores providos com o quantitativo de vale transporte, devendo complementá-los, caso o previsto inicialmente em sua proposta não seja satisfatório para o atendimento do objeto da licitação, exceto quando ocorrer algum dos eventos arrolados nos incisos do § 1º do art. 57 da Lei nº 8.666, de 1993.”</w:t>
            </w:r>
          </w:p>
          <w:p>
            <w:pPr>
              <w:pStyle w:val="LOnormal"/>
              <w:widowControl w:val="false"/>
              <w:spacing w:lineRule="auto" w:line="360"/>
              <w:ind w:left="144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single"/>
              </w:rPr>
              <w:t>Justificativa: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18"/>
                <w:szCs w:val="18"/>
                <w:u w:val="none"/>
              </w:rPr>
              <w:t>esta redação refere-se a contratações de serviços com mão de obra exclusiva.</w:t>
            </w:r>
          </w:p>
          <w:p>
            <w:pPr>
              <w:pStyle w:val="LOnormal"/>
              <w:widowControl w:val="false"/>
              <w:spacing w:lineRule="auto" w:line="360"/>
              <w:ind w:left="1440" w:hanging="0"/>
              <w:jc w:val="both"/>
              <w:rPr>
                <w:rFonts w:cs="Arial"/>
                <w:b w:val="false"/>
                <w:b w:val="false"/>
                <w:bCs w:val="false"/>
                <w:color w:val="000000"/>
                <w:u w:val="none"/>
              </w:rPr>
            </w:pPr>
            <w:r>
              <w:rPr>
                <w:rFonts w:cs="Arial"/>
                <w:b w:val="false"/>
                <w:bCs w:val="false"/>
                <w:color w:val="000000"/>
                <w:u w:val="none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C9211E"/>
              </w:rPr>
            </w:pPr>
            <w:r>
              <w:rPr>
                <w:rFonts w:ascii="Arial-BoldMT" w:hAnsi="Arial-BoldMT"/>
                <w:b w:val="false"/>
                <w:bCs w:val="false"/>
                <w:color w:val="C9211E"/>
                <w:sz w:val="20"/>
                <w:u w:val="none"/>
              </w:rPr>
              <w:t xml:space="preserve">Ou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C9211E"/>
              </w:rPr>
            </w:pPr>
            <w:r>
              <w:rPr>
                <w:rFonts w:ascii="Arial-BoldMT" w:hAnsi="Arial-BoldMT"/>
                <w:b w:val="false"/>
                <w:bCs w:val="false"/>
                <w:color w:val="C9211E"/>
                <w:sz w:val="20"/>
                <w:u w:val="none"/>
              </w:rPr>
              <w:t>Não foi incluído nenhum item ou subitem na minuta do contrato</w:t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indicados pela expressão(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SUPRESSÃO</w:t>
            </w:r>
            <w:r>
              <w:rPr>
                <w:rFonts w:ascii="Arial" w:hAnsi="Arial"/>
                <w:sz w:val="21"/>
                <w:szCs w:val="21"/>
              </w:rPr>
              <w:t>)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Edital     (   </w:t>
            </w:r>
            <w:r>
              <w:rPr>
                <w:rFonts w:ascii="Arial" w:hAnsi="Arial"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  Contrato   (  )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>Projeto Básico /</w:t>
            </w:r>
            <w:r>
              <w:rPr>
                <w:rFonts w:ascii="Arial" w:hAnsi="Arial"/>
                <w:sz w:val="21"/>
                <w:szCs w:val="21"/>
              </w:rPr>
              <w:t>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none"/>
              </w:rPr>
              <w:t>Pelos Motivos a seguir expostos(Especificar Itens Suprimidos):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Excluído os subitens do item 17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</w:rPr>
              <w:t>Não haverá reajuste para esta contratação, considerando que a execução dos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-BoldMT" w:hAnsi="Arial-BoldMT"/>
                <w:b w:val="false"/>
                <w:bCs w:val="false"/>
                <w:sz w:val="20"/>
              </w:rPr>
              <w:t>Serviços será imediata.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color w:val="C9211E"/>
              </w:rPr>
            </w:pPr>
            <w:r>
              <w:rPr>
                <w:rFonts w:ascii="Arial-BoldMT" w:hAnsi="Arial-BoldMT"/>
                <w:b w:val="false"/>
                <w:bCs w:val="false"/>
                <w:color w:val="C9211E"/>
                <w:sz w:val="20"/>
              </w:rPr>
              <w:t>Ou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color w:val="C9211E"/>
              </w:rPr>
            </w:pPr>
            <w:r>
              <w:rPr>
                <w:b w:val="false"/>
                <w:bCs w:val="false"/>
                <w:color w:val="C9211E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color w:val="C9211E"/>
              </w:rPr>
            </w:pPr>
            <w:r>
              <w:rPr>
                <w:rFonts w:ascii="Arial-BoldMT" w:hAnsi="Arial-BoldMT"/>
                <w:b w:val="false"/>
                <w:bCs w:val="false"/>
                <w:color w:val="C9211E"/>
                <w:sz w:val="20"/>
              </w:rPr>
              <w:t xml:space="preserve">Não </w:t>
            </w:r>
            <w:r>
              <w:rPr>
                <w:rFonts w:ascii="Arial" w:hAnsi="Arial"/>
                <w:b w:val="false"/>
                <w:bCs w:val="false"/>
                <w:color w:val="C9211E"/>
                <w:sz w:val="21"/>
                <w:szCs w:val="21"/>
              </w:rPr>
              <w:t xml:space="preserve">Foram </w:t>
            </w:r>
            <w:r>
              <w:rPr>
                <w:rFonts w:ascii="Arial" w:hAnsi="Arial"/>
                <w:b/>
                <w:bCs w:val="false"/>
                <w:color w:val="C9211E"/>
                <w:sz w:val="21"/>
                <w:szCs w:val="21"/>
              </w:rPr>
              <w:t>suprimidos</w:t>
            </w:r>
            <w:r>
              <w:rPr>
                <w:rFonts w:ascii="Arial" w:hAnsi="Arial"/>
                <w:b w:val="false"/>
                <w:bCs w:val="false"/>
                <w:color w:val="C9211E"/>
                <w:sz w:val="21"/>
                <w:szCs w:val="21"/>
              </w:rPr>
              <w:t xml:space="preserve"> nenhum trecho </w:t>
            </w:r>
            <w:r>
              <w:rPr>
                <w:rFonts w:ascii="Arial-BoldMT" w:hAnsi="Arial-BoldMT"/>
                <w:b w:val="false"/>
                <w:bCs w:val="false"/>
                <w:i/>
                <w:iCs/>
                <w:color w:val="C9211E"/>
                <w:sz w:val="20"/>
                <w:szCs w:val="21"/>
                <w:u w:val="none"/>
              </w:rPr>
              <w:t>na minuta do contrato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-BoldMT" w:hAnsi="Arial-BoldMT"/>
                <w:b w:val="false"/>
                <w:bCs w:val="false"/>
                <w:sz w:val="20"/>
              </w:rPr>
              <w:t>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  <w:u w:val="single"/>
              </w:rPr>
              <w:t>Foi Incluída Cláusula Específica na Minuta de: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 xml:space="preserve">   ) Edital     (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>x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 xml:space="preserve">  )  Contrato   (   )  Projeto Básico/Termo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single"/>
              </w:rPr>
              <w:t>(   )  Outros: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C9211E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C9211E"/>
                <w:u w:val="none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C9211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C9211E"/>
                <w:sz w:val="21"/>
                <w:szCs w:val="21"/>
                <w:u w:val="none"/>
              </w:rPr>
              <w:t xml:space="preserve">Ou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C9211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C9211E"/>
                <w:sz w:val="21"/>
                <w:szCs w:val="21"/>
                <w:u w:val="none"/>
              </w:rPr>
              <w:t xml:space="preserve">Não foi Incluída Cláusula Específica </w:t>
            </w:r>
            <w:r>
              <w:rPr>
                <w:rFonts w:ascii="Arial-BoldMT" w:hAnsi="Arial-BoldMT"/>
                <w:b w:val="false"/>
                <w:bCs w:val="false"/>
                <w:i w:val="false"/>
                <w:iCs w:val="false"/>
                <w:color w:val="C9211E"/>
                <w:sz w:val="20"/>
                <w:szCs w:val="21"/>
                <w:u w:val="none"/>
              </w:rPr>
              <w:t>na minuta do contrato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single"/>
              </w:rPr>
              <w:t>_______________________________________________________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lineRule="auto" w:line="240" w:before="69" w:after="0"/>
        <w:jc w:val="center"/>
        <w:rPr>
          <w:highlight w:val="none"/>
          <w:shd w:fill="auto" w:val="clear"/>
        </w:rPr>
      </w:pPr>
      <w:r>
        <w:rPr>
          <w:rFonts w:eastAsia="Garamond" w:cs="Garamond" w:ascii="Arial" w:hAnsi="Arial"/>
          <w:sz w:val="21"/>
          <w:szCs w:val="21"/>
          <w:shd w:fill="auto" w:val="clear"/>
        </w:rPr>
        <w:t>Petrolina-PE, ___ de março de 2023</w:t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  <w:highlight w:val="none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________________________________________</w:t>
      </w:r>
    </w:p>
    <w:p>
      <w:pPr>
        <w:pStyle w:val="LOnormal"/>
        <w:jc w:val="center"/>
        <w:rPr>
          <w:rFonts w:ascii="Arial" w:hAnsi="Arial" w:eastAsia="Garamond" w:cs="Garamond"/>
          <w:color w:val="auto"/>
          <w:kern w:val="0"/>
          <w:sz w:val="21"/>
          <w:szCs w:val="21"/>
          <w:lang w:val="pt-BR" w:eastAsia="zh-CN" w:bidi="hi-IN"/>
        </w:rPr>
      </w:pP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 xml:space="preserve">Assinatura do Responsável pela Elaboração do TR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134" w:gutter="0" w:header="426" w:top="1701" w:footer="696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7465" cy="163195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2.85pt;height:12.7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53.45pt;height:59.15pt;mso-wrap-distance-right:0pt" filled="t" fillcolor="#FFFFFF" o:ole="">
          <v:imagedata r:id="rId2" o:title=""/>
        </v:shape>
        <o:OLEObject Type="Embed" ProgID="Word.Picture.8" ShapeID="ole_rId1" DrawAspect="Content" ObjectID="_1415528188" r:id="rId1"/>
      </w:objec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DEPARTAMENTO DE CONSULTORIA –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LibreOffice/7.2.5.2$Windows_X86_64 LibreOffice_project/499f9727c189e6ef3471021d6132d4c694f357e5</Application>
  <AppVersion>15.0000</AppVersion>
  <Pages>4</Pages>
  <Words>684</Words>
  <Characters>3919</Characters>
  <CharactersWithSpaces>4741</CharactersWithSpaces>
  <Paragraphs>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dcterms:modified xsi:type="dcterms:W3CDTF">2023-06-22T13:43:41Z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