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jc w:val="center"/>
        <w:rPr/>
      </w:pPr>
      <w:r w:rsidDel="00000000" w:rsidR="00000000" w:rsidRPr="00000000">
        <w:rPr>
          <w:rFonts w:ascii="Arial-BoldMT" w:cs="Arial-BoldMT" w:eastAsia="Arial-BoldMT" w:hAnsi="Arial-BoldMT"/>
          <w:b w:val="1"/>
          <w:color w:val="000000"/>
          <w:sz w:val="24"/>
          <w:szCs w:val="24"/>
          <w:rtl w:val="0"/>
        </w:rPr>
        <w:t xml:space="preserve">TERMO DE JUSTIFICATIVA DE DISPENSA DE LICITAÇÃO</w:t>
      </w:r>
      <w:r w:rsidDel="00000000" w:rsidR="00000000" w:rsidRPr="00000000">
        <w:rPr>
          <w:rtl w:val="0"/>
        </w:rPr>
      </w:r>
    </w:p>
    <w:p w:rsidR="00000000" w:rsidDel="00000000" w:rsidP="00000000" w:rsidRDefault="00000000" w:rsidRPr="00000000" w14:paraId="00000002">
      <w:pPr>
        <w:spacing w:line="276" w:lineRule="auto"/>
        <w:jc w:val="left"/>
        <w:rPr>
          <w:rFonts w:ascii="Arial-BoldMT" w:cs="Arial-BoldMT" w:eastAsia="Arial-BoldMT" w:hAnsi="Arial-BoldMT"/>
          <w:b w:val="1"/>
          <w:color w:val="000000"/>
          <w:sz w:val="24"/>
          <w:szCs w:val="24"/>
        </w:rPr>
      </w:pPr>
      <w:r w:rsidDel="00000000" w:rsidR="00000000" w:rsidRPr="00000000">
        <w:rPr>
          <w:rtl w:val="0"/>
        </w:rPr>
      </w:r>
    </w:p>
    <w:p w:rsidR="00000000" w:rsidDel="00000000" w:rsidP="00000000" w:rsidRDefault="00000000" w:rsidRPr="00000000" w14:paraId="00000003">
      <w:pPr>
        <w:spacing w:line="276" w:lineRule="auto"/>
        <w:jc w:val="left"/>
        <w:rPr/>
      </w:pPr>
      <w:r w:rsidDel="00000000" w:rsidR="00000000" w:rsidRPr="00000000">
        <w:rPr>
          <w:rFonts w:ascii="Arial-BoldMT" w:cs="Arial-BoldMT" w:eastAsia="Arial-BoldMT" w:hAnsi="Arial-BoldMT"/>
          <w:b w:val="1"/>
          <w:color w:val="000000"/>
          <w:sz w:val="24"/>
          <w:szCs w:val="24"/>
          <w:rtl w:val="0"/>
        </w:rPr>
        <w:t xml:space="preserve">FUNDAMENTAÇÃO LEGAL: </w:t>
      </w:r>
      <w:r w:rsidDel="00000000" w:rsidR="00000000" w:rsidRPr="00000000">
        <w:rPr>
          <w:rFonts w:ascii="ArialMT" w:cs="ArialMT" w:eastAsia="ArialMT" w:hAnsi="ArialMT"/>
          <w:color w:val="000000"/>
          <w:sz w:val="24"/>
          <w:szCs w:val="24"/>
          <w:rtl w:val="0"/>
        </w:rPr>
        <w:t xml:space="preserve">Art. 24,inciso</w:t>
      </w:r>
      <w:r w:rsidDel="00000000" w:rsidR="00000000" w:rsidRPr="00000000">
        <w:rPr>
          <w:rFonts w:ascii="Arial-ItalicMT" w:cs="Arial-ItalicMT" w:eastAsia="Arial-ItalicMT" w:hAnsi="Arial-ItalicMT"/>
          <w:color w:val="000000"/>
          <w:sz w:val="24"/>
          <w:szCs w:val="24"/>
          <w:rtl w:val="0"/>
        </w:rPr>
        <w:t xml:space="preserve"> II</w:t>
      </w:r>
      <w:r w:rsidDel="00000000" w:rsidR="00000000" w:rsidRPr="00000000">
        <w:rPr>
          <w:rFonts w:ascii="Arial-ItalicMT" w:cs="Arial-ItalicMT" w:eastAsia="Arial-ItalicMT" w:hAnsi="Arial-ItalicMT"/>
          <w:i w:val="1"/>
          <w:color w:val="000000"/>
          <w:sz w:val="24"/>
          <w:szCs w:val="24"/>
          <w:rtl w:val="0"/>
        </w:rPr>
        <w:t xml:space="preserve">, </w:t>
      </w:r>
      <w:r w:rsidDel="00000000" w:rsidR="00000000" w:rsidRPr="00000000">
        <w:rPr>
          <w:rFonts w:ascii="ArialMT" w:cs="ArialMT" w:eastAsia="ArialMT" w:hAnsi="ArialMT"/>
          <w:color w:val="000000"/>
          <w:sz w:val="24"/>
          <w:szCs w:val="24"/>
          <w:rtl w:val="0"/>
        </w:rPr>
        <w:t xml:space="preserve">Lei nº 8.666, de 21 de junho de 1993.</w:t>
      </w:r>
      <w:r w:rsidDel="00000000" w:rsidR="00000000" w:rsidRPr="00000000">
        <w:rPr>
          <w:rtl w:val="0"/>
        </w:rPr>
      </w:r>
    </w:p>
    <w:p w:rsidR="00000000" w:rsidDel="00000000" w:rsidP="00000000" w:rsidRDefault="00000000" w:rsidRPr="00000000" w14:paraId="00000004">
      <w:pPr>
        <w:spacing w:line="276" w:lineRule="auto"/>
        <w:jc w:val="left"/>
        <w:rPr/>
      </w:pPr>
      <w:r w:rsidDel="00000000" w:rsidR="00000000" w:rsidRPr="00000000">
        <w:rPr>
          <w:rFonts w:ascii="Arial-BoldMT" w:cs="Arial-BoldMT" w:eastAsia="Arial-BoldMT" w:hAnsi="Arial-BoldMT"/>
          <w:b w:val="1"/>
          <w:color w:val="000000"/>
          <w:sz w:val="24"/>
          <w:szCs w:val="24"/>
          <w:rtl w:val="0"/>
        </w:rPr>
        <w:t xml:space="preserve">Processo nº: </w:t>
      </w:r>
      <w:r w:rsidDel="00000000" w:rsidR="00000000" w:rsidRPr="00000000">
        <w:rPr>
          <w:rtl w:val="0"/>
        </w:rPr>
      </w:r>
    </w:p>
    <w:p w:rsidR="00000000" w:rsidDel="00000000" w:rsidP="00000000" w:rsidRDefault="00000000" w:rsidRPr="00000000" w14:paraId="00000005">
      <w:pPr>
        <w:spacing w:line="276" w:lineRule="auto"/>
        <w:jc w:val="left"/>
        <w:rPr/>
      </w:pPr>
      <w:r w:rsidDel="00000000" w:rsidR="00000000" w:rsidRPr="00000000">
        <w:rPr>
          <w:rFonts w:ascii="Arial-BoldMT" w:cs="Arial-BoldMT" w:eastAsia="Arial-BoldMT" w:hAnsi="Arial-BoldMT"/>
          <w:b w:val="1"/>
          <w:color w:val="000000"/>
          <w:sz w:val="24"/>
          <w:szCs w:val="24"/>
          <w:rtl w:val="0"/>
        </w:rPr>
        <w:t xml:space="preserve">Objeto: </w:t>
      </w:r>
      <w:r w:rsidDel="00000000" w:rsidR="00000000" w:rsidRPr="00000000">
        <w:rPr>
          <w:rFonts w:ascii="ArialMT" w:cs="ArialMT" w:eastAsia="ArialMT" w:hAnsi="ArialMT"/>
          <w:color w:val="000000"/>
          <w:sz w:val="24"/>
          <w:szCs w:val="24"/>
          <w:rtl w:val="0"/>
        </w:rPr>
        <w:t xml:space="preserve">.Contratação de serviço de </w:t>
      </w:r>
      <w:r w:rsidDel="00000000" w:rsidR="00000000" w:rsidRPr="00000000">
        <w:rPr>
          <w:rFonts w:ascii="ArialMT" w:cs="ArialMT" w:eastAsia="ArialMT" w:hAnsi="ArialMT"/>
          <w:i w:val="1"/>
          <w:color w:val="000000"/>
          <w:sz w:val="24"/>
          <w:szCs w:val="24"/>
          <w:rtl w:val="0"/>
        </w:rPr>
        <w:t xml:space="preserve">Digital Object Identifier</w:t>
      </w:r>
      <w:r w:rsidDel="00000000" w:rsidR="00000000" w:rsidRPr="00000000">
        <w:rPr>
          <w:rFonts w:ascii="ArialMT" w:cs="ArialMT" w:eastAsia="ArialMT" w:hAnsi="ArialMT"/>
          <w:color w:val="000000"/>
          <w:sz w:val="24"/>
          <w:szCs w:val="24"/>
          <w:rtl w:val="0"/>
        </w:rPr>
        <w:t xml:space="preserve"> (DOI) e assinatura de anuidade institucional para as Revistas Semiárido De Visu e Cacto</w:t>
      </w:r>
      <w:r w:rsidDel="00000000" w:rsidR="00000000" w:rsidRPr="00000000">
        <w:rPr>
          <w:rtl w:val="0"/>
        </w:rPr>
      </w:r>
    </w:p>
    <w:p w:rsidR="00000000" w:rsidDel="00000000" w:rsidP="00000000" w:rsidRDefault="00000000" w:rsidRPr="00000000" w14:paraId="00000006">
      <w:pPr>
        <w:spacing w:line="276" w:lineRule="auto"/>
        <w:jc w:val="both"/>
        <w:rPr>
          <w:rFonts w:ascii="ArialMT" w:cs="ArialMT" w:eastAsia="ArialMT" w:hAnsi="ArialMT"/>
          <w:color w:val="000000"/>
          <w:sz w:val="24"/>
          <w:szCs w:val="24"/>
        </w:rPr>
      </w:pPr>
      <w:r w:rsidDel="00000000" w:rsidR="00000000" w:rsidRPr="00000000">
        <w:rPr>
          <w:rtl w:val="0"/>
        </w:rPr>
      </w:r>
    </w:p>
    <w:p w:rsidR="00000000" w:rsidDel="00000000" w:rsidP="00000000" w:rsidRDefault="00000000" w:rsidRPr="00000000" w14:paraId="00000007">
      <w:pPr>
        <w:spacing w:line="276" w:lineRule="auto"/>
        <w:jc w:val="both"/>
        <w:rPr>
          <w:rFonts w:ascii="ArialMT" w:cs="ArialMT" w:eastAsia="ArialMT" w:hAnsi="ArialMT"/>
          <w:b w:val="1"/>
          <w:color w:val="000000"/>
          <w:sz w:val="24"/>
          <w:szCs w:val="24"/>
        </w:rPr>
      </w:pPr>
      <w:r w:rsidDel="00000000" w:rsidR="00000000" w:rsidRPr="00000000">
        <w:rPr>
          <w:rFonts w:ascii="ArialMT" w:cs="ArialMT" w:eastAsia="ArialMT" w:hAnsi="ArialMT"/>
          <w:b w:val="1"/>
          <w:color w:val="000000"/>
          <w:sz w:val="24"/>
          <w:szCs w:val="24"/>
          <w:rtl w:val="0"/>
        </w:rPr>
        <w:t xml:space="preserve">DA NECESSIDADE DOS SERVIÇOS PRESTADOS</w:t>
      </w:r>
    </w:p>
    <w:p w:rsidR="00000000" w:rsidDel="00000000" w:rsidP="00000000" w:rsidRDefault="00000000" w:rsidRPr="00000000" w14:paraId="00000008">
      <w:pPr>
        <w:spacing w:after="240" w:before="240" w:line="240" w:lineRule="auto"/>
        <w:jc w:val="both"/>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A contratação do serviço de DOI (Digital Object Identifier) tem por objetivo fornecer maior publicidade, segurança e acesso mundial às obras científicas produzidas por estudantes, servidores, docentes e pesquisadores, sobretudo do IF Sertão PE. O DOI possibilita que trabalhos e artigos científicos, uma vez depositados e publicados com seu respectivo código alfanumérico (DOI), estejam disponíveis para consultas de qualquer lugar do mundo, além de garantir que as publicações sigam diretrizes editoriais das principais bases de indexação, bem como da CAPES ao avaliar o periódico à luz dos critérios do WebQualis.</w:t>
      </w:r>
    </w:p>
    <w:p w:rsidR="00000000" w:rsidDel="00000000" w:rsidP="00000000" w:rsidRDefault="00000000" w:rsidRPr="00000000" w14:paraId="00000009">
      <w:pPr>
        <w:spacing w:after="240" w:before="240" w:line="240" w:lineRule="auto"/>
        <w:jc w:val="both"/>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Para utilização do DOI no âmbito do IF SertãoPE, faz-se necessário firmar o seu convênio, por meio de anuidade junto  à  Crossref ( agência oficial de registro de identificadores de objetos digitais), a fim de que seus periódicos possam conter os códigos alfanuméricos.</w:t>
      </w:r>
      <w:r w:rsidDel="00000000" w:rsidR="00000000" w:rsidRPr="00000000">
        <w:rPr>
          <w:rFonts w:ascii="ArialMT" w:cs="ArialMT" w:eastAsia="ArialMT" w:hAnsi="ArialMT"/>
          <w:sz w:val="24"/>
          <w:szCs w:val="24"/>
          <w:rtl w:val="0"/>
        </w:rPr>
        <w:t xml:space="preserve"> </w:t>
      </w:r>
      <w:r w:rsidDel="00000000" w:rsidR="00000000" w:rsidRPr="00000000">
        <w:rPr>
          <w:rtl w:val="0"/>
        </w:rPr>
      </w:r>
    </w:p>
    <w:p w:rsidR="00000000" w:rsidDel="00000000" w:rsidP="00000000" w:rsidRDefault="00000000" w:rsidRPr="00000000" w14:paraId="0000000A">
      <w:pPr>
        <w:spacing w:after="240" w:before="240" w:line="240" w:lineRule="auto"/>
        <w:jc w:val="both"/>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Nesse sentido, para as revistas científicas Semiárido De Visu e Cacto do IF SertãoPE, a aquisição do depósito </w:t>
      </w:r>
      <w:r w:rsidDel="00000000" w:rsidR="00000000" w:rsidRPr="00000000">
        <w:rPr>
          <w:rFonts w:ascii="ArialMT" w:cs="ArialMT" w:eastAsia="ArialMT" w:hAnsi="ArialMT"/>
          <w:sz w:val="24"/>
          <w:szCs w:val="24"/>
          <w:rtl w:val="0"/>
        </w:rPr>
        <w:t xml:space="preserve">DOI</w:t>
      </w:r>
      <w:r w:rsidDel="00000000" w:rsidR="00000000" w:rsidRPr="00000000">
        <w:rPr>
          <w:rFonts w:ascii="ArialMT" w:cs="ArialMT" w:eastAsia="ArialMT" w:hAnsi="ArialMT"/>
          <w:sz w:val="24"/>
          <w:szCs w:val="24"/>
          <w:rtl w:val="0"/>
        </w:rPr>
        <w:t xml:space="preserve"> é de suma importância para a integração com outras plataformas e indexadores, nacionais e estrangeiros, os quais exigem que artigos científicos publicados contenham o respectivo registro do DOI. Além disso, o registro também é relevante para os sistemas de avaliação dos periódicos como o CAPES Qualis, assim como, na avaliação dos programas de pós-graduação pela Coordenação de Aperfeiçoamento de Pessoal de Nível Superior – CAPES.</w:t>
      </w:r>
    </w:p>
    <w:p w:rsidR="00000000" w:rsidDel="00000000" w:rsidP="00000000" w:rsidRDefault="00000000" w:rsidRPr="00000000" w14:paraId="0000000B">
      <w:pPr>
        <w:spacing w:after="240" w:before="240" w:line="240" w:lineRule="auto"/>
        <w:jc w:val="both"/>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Trata-se, portanto, de inovação que tem se tornado uma exigência e confere maior valor, credibilidade e segurança aos periódicos científicos eletrônicos. Assim, como as revistas científicas do IFSertãoPE possuem periodicidade trimestral, é necessária e importante a contratação e manutenção contínua do serviço de fornecimento de DOI para que cada obra/artigo de caráter artístico, cultural e científico publicado possua o referido registro ativo para identificação.</w:t>
      </w:r>
    </w:p>
    <w:p w:rsidR="00000000" w:rsidDel="00000000" w:rsidP="00000000" w:rsidRDefault="00000000" w:rsidRPr="00000000" w14:paraId="0000000C">
      <w:pPr>
        <w:spacing w:after="240" w:before="240" w:line="240" w:lineRule="auto"/>
        <w:jc w:val="both"/>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É importante destacar que a contratação do DOI para o IF SertãoPE, trará maior credibilidade e aprimoramento na indexação, armazenamento, identificação e localização, em ambiente virtual, dos trabalhos produzidos e publicados pelo Portal de Periódicos, além de facilitar o registro dos trabalhos publicados nos currículos Lattes pelos pesquisadores.</w:t>
      </w:r>
    </w:p>
    <w:p w:rsidR="00000000" w:rsidDel="00000000" w:rsidP="00000000" w:rsidRDefault="00000000" w:rsidRPr="00000000" w14:paraId="0000000D">
      <w:pPr>
        <w:spacing w:after="240" w:before="240" w:line="240" w:lineRule="auto"/>
        <w:jc w:val="both"/>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Diante do exposto, optou-se por </w:t>
      </w:r>
      <w:r w:rsidDel="00000000" w:rsidR="00000000" w:rsidRPr="00000000">
        <w:rPr>
          <w:rFonts w:ascii="ArialMT" w:cs="ArialMT" w:eastAsia="ArialMT" w:hAnsi="ArialMT"/>
          <w:b w:val="1"/>
          <w:sz w:val="24"/>
          <w:szCs w:val="24"/>
          <w:rtl w:val="0"/>
        </w:rPr>
        <w:t xml:space="preserve">realizar a contratação por meio de dispensa de licitação</w:t>
      </w:r>
      <w:r w:rsidDel="00000000" w:rsidR="00000000" w:rsidRPr="00000000">
        <w:rPr>
          <w:rFonts w:ascii="ArialMT" w:cs="ArialMT" w:eastAsia="ArialMT" w:hAnsi="ArialMT"/>
          <w:sz w:val="24"/>
          <w:szCs w:val="24"/>
          <w:rtl w:val="0"/>
        </w:rPr>
        <w:t xml:space="preserve">, conforme fundamentação legal acima descrita, </w:t>
      </w:r>
      <w:r w:rsidDel="00000000" w:rsidR="00000000" w:rsidRPr="00000000">
        <w:rPr>
          <w:rFonts w:ascii="ArialMT" w:cs="ArialMT" w:eastAsia="ArialMT" w:hAnsi="ArialMT"/>
          <w:b w:val="1"/>
          <w:sz w:val="24"/>
          <w:szCs w:val="24"/>
          <w:rtl w:val="0"/>
        </w:rPr>
        <w:t xml:space="preserve">dado o fato que o valor do serviço não ultrapassará o montante de R $8.000,00</w:t>
      </w:r>
      <w:r w:rsidDel="00000000" w:rsidR="00000000" w:rsidRPr="00000000">
        <w:rPr>
          <w:rFonts w:ascii="ArialMT" w:cs="ArialMT" w:eastAsia="ArialMT" w:hAnsi="ArialMT"/>
          <w:sz w:val="24"/>
          <w:szCs w:val="24"/>
          <w:rtl w:val="0"/>
        </w:rPr>
        <w:t xml:space="preserve"> (oito mil reais). </w:t>
      </w:r>
      <w:r w:rsidDel="00000000" w:rsidR="00000000" w:rsidRPr="00000000">
        <w:rPr>
          <w:rtl w:val="0"/>
        </w:rPr>
      </w:r>
    </w:p>
    <w:p w:rsidR="00000000" w:rsidDel="00000000" w:rsidP="00000000" w:rsidRDefault="00000000" w:rsidRPr="00000000" w14:paraId="0000000E">
      <w:pPr>
        <w:spacing w:line="276" w:lineRule="auto"/>
        <w:jc w:val="both"/>
        <w:rPr/>
      </w:pPr>
      <w:r w:rsidDel="00000000" w:rsidR="00000000" w:rsidRPr="00000000">
        <w:rPr>
          <w:rFonts w:ascii="Arial-BoldMT" w:cs="Arial-BoldMT" w:eastAsia="Arial-BoldMT" w:hAnsi="Arial-BoldMT"/>
          <w:b w:val="1"/>
          <w:sz w:val="24"/>
          <w:szCs w:val="24"/>
          <w:rtl w:val="0"/>
        </w:rPr>
        <w:t xml:space="preserve">PRAZO DE VIGÊNCIA DO CONTRATO</w:t>
      </w:r>
      <w:r w:rsidDel="00000000" w:rsidR="00000000" w:rsidRPr="00000000">
        <w:rPr>
          <w:rtl w:val="0"/>
        </w:rPr>
      </w:r>
    </w:p>
    <w:p w:rsidR="00000000" w:rsidDel="00000000" w:rsidP="00000000" w:rsidRDefault="00000000" w:rsidRPr="00000000" w14:paraId="0000000F">
      <w:pPr>
        <w:spacing w:line="276" w:lineRule="auto"/>
        <w:jc w:val="both"/>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O prazo de vigência do contrato é de 12 (doze) meses, podendo ser prorrogado até o limite de 60 (sessenta) meses, com base no artigo 57, II, da Lei 8.666, de 1993.</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Fonts w:ascii="Arial-BoldMT" w:cs="Arial-BoldMT" w:eastAsia="Arial-BoldMT" w:hAnsi="Arial-BoldMT"/>
          <w:b w:val="1"/>
          <w:sz w:val="24"/>
          <w:szCs w:val="24"/>
          <w:rtl w:val="0"/>
        </w:rPr>
        <w:t xml:space="preserve">PREVISÃO DE RECURSOS ORÇAMENTÁRIOS</w:t>
      </w:r>
      <w:r w:rsidDel="00000000" w:rsidR="00000000" w:rsidRPr="00000000">
        <w:rPr>
          <w:rtl w:val="0"/>
        </w:rPr>
      </w:r>
    </w:p>
    <w:p w:rsidR="00000000" w:rsidDel="00000000" w:rsidP="00000000" w:rsidRDefault="00000000" w:rsidRPr="00000000" w14:paraId="00000012">
      <w:pPr>
        <w:spacing w:line="360" w:lineRule="auto"/>
        <w:jc w:val="both"/>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A disponibilidade orçamentária está demonstrada em consulta ao SIAFI – Sistema de Administração Financeira com a emissão do CONRAZÃO, pelo Departamento de Orçamento e Finanças – DOF e a Declaração Orçamentária emitida pela Pró-Reitoria de Orçamento e Administração (fl. ____).</w:t>
      </w:r>
    </w:p>
    <w:p w:rsidR="00000000" w:rsidDel="00000000" w:rsidP="00000000" w:rsidRDefault="00000000" w:rsidRPr="00000000" w14:paraId="00000013">
      <w:pPr>
        <w:spacing w:line="276" w:lineRule="auto"/>
        <w:jc w:val="both"/>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14">
      <w:pPr>
        <w:spacing w:line="276" w:lineRule="auto"/>
        <w:jc w:val="both"/>
        <w:rPr/>
      </w:pPr>
      <w:r w:rsidDel="00000000" w:rsidR="00000000" w:rsidRPr="00000000">
        <w:rPr>
          <w:rFonts w:ascii="Arial-BoldMT" w:cs="Arial-BoldMT" w:eastAsia="Arial-BoldMT" w:hAnsi="Arial-BoldMT"/>
          <w:b w:val="1"/>
          <w:sz w:val="24"/>
          <w:szCs w:val="24"/>
          <w:rtl w:val="0"/>
        </w:rPr>
        <w:t xml:space="preserve">DA HABILITAÇÃO DA CONTRATADA</w:t>
      </w:r>
      <w:r w:rsidDel="00000000" w:rsidR="00000000" w:rsidRPr="00000000">
        <w:rPr>
          <w:rtl w:val="0"/>
        </w:rPr>
      </w:r>
    </w:p>
    <w:p w:rsidR="00000000" w:rsidDel="00000000" w:rsidP="00000000" w:rsidRDefault="00000000" w:rsidRPr="00000000" w14:paraId="00000015">
      <w:pPr>
        <w:spacing w:line="276" w:lineRule="auto"/>
        <w:jc w:val="both"/>
        <w:rPr/>
      </w:pPr>
      <w:r w:rsidDel="00000000" w:rsidR="00000000" w:rsidRPr="00000000">
        <w:rPr>
          <w:rFonts w:ascii="ArialMT" w:cs="ArialMT" w:eastAsia="ArialMT" w:hAnsi="ArialMT"/>
          <w:sz w:val="24"/>
          <w:szCs w:val="24"/>
          <w:rtl w:val="0"/>
        </w:rPr>
        <w:t xml:space="preserve">Conforme entendimento majoritário, mesmo nas dispensas ou inexigibilidades de licitação, a comprovação da habilitação do contratado deve ser exigida com relação aos aspectos essenciais à regularidade da contratação (art. 55, XIII c/c arts. 27 a 33, da Lei nº 8.666/93).</w:t>
      </w:r>
      <w:r w:rsidDel="00000000" w:rsidR="00000000" w:rsidRPr="00000000">
        <w:rPr>
          <w:rtl w:val="0"/>
        </w:rPr>
      </w:r>
    </w:p>
    <w:p w:rsidR="00000000" w:rsidDel="00000000" w:rsidP="00000000" w:rsidRDefault="00000000" w:rsidRPr="00000000" w14:paraId="00000016">
      <w:pPr>
        <w:spacing w:line="276" w:lineRule="auto"/>
        <w:jc w:val="both"/>
        <w:rPr/>
      </w:pPr>
      <w:r w:rsidDel="00000000" w:rsidR="00000000" w:rsidRPr="00000000">
        <w:rPr>
          <w:rFonts w:ascii="ArialMT" w:cs="ArialMT" w:eastAsia="ArialMT" w:hAnsi="ArialMT"/>
          <w:sz w:val="24"/>
          <w:szCs w:val="24"/>
          <w:rtl w:val="0"/>
        </w:rPr>
        <w:t xml:space="preserve">No que tange à regularidade fiscal, tanto a doutrina como a jurisprudência do TCU são uníssonos no sentido de que, mesmo nos casos de contratação direta, devem ser exigidas a comprovação de regularidade junto à Fazenda e à Dívida Ativa da União, o INSS e o FGTS.</w:t>
      </w:r>
      <w:r w:rsidDel="00000000" w:rsidR="00000000" w:rsidRPr="00000000">
        <w:rPr>
          <w:rtl w:val="0"/>
        </w:rPr>
      </w:r>
    </w:p>
    <w:p w:rsidR="00000000" w:rsidDel="00000000" w:rsidP="00000000" w:rsidRDefault="00000000" w:rsidRPr="00000000" w14:paraId="00000017">
      <w:pPr>
        <w:spacing w:line="276" w:lineRule="auto"/>
        <w:jc w:val="both"/>
        <w:rPr/>
      </w:pPr>
      <w:r w:rsidDel="00000000" w:rsidR="00000000" w:rsidRPr="00000000">
        <w:rPr>
          <w:rFonts w:ascii="ArialMT" w:cs="ArialMT" w:eastAsia="ArialMT" w:hAnsi="ArialMT"/>
          <w:sz w:val="24"/>
          <w:szCs w:val="24"/>
          <w:rtl w:val="0"/>
        </w:rPr>
        <w:t xml:space="preserve">Além disso, com o advento da Lei nº 12.440, de 2011, sobreveio também a necessidade de comprovação de regularidade trabalhista, mediante a apresentação de Certidão Negativa de Débitos Trabalhistas – CNDT. Cabe ao administrador, pois, zelar pela efetiva validade dessas certidões na ocasião da contratação.</w:t>
      </w:r>
      <w:r w:rsidDel="00000000" w:rsidR="00000000" w:rsidRPr="00000000">
        <w:rPr>
          <w:rtl w:val="0"/>
        </w:rPr>
      </w:r>
    </w:p>
    <w:p w:rsidR="00000000" w:rsidDel="00000000" w:rsidP="00000000" w:rsidRDefault="00000000" w:rsidRPr="00000000" w14:paraId="00000018">
      <w:pPr>
        <w:spacing w:line="276" w:lineRule="auto"/>
        <w:jc w:val="both"/>
        <w:rPr/>
      </w:pPr>
      <w:r w:rsidDel="00000000" w:rsidR="00000000" w:rsidRPr="00000000">
        <w:rPr>
          <w:rFonts w:ascii="ArialMT" w:cs="ArialMT" w:eastAsia="ArialMT" w:hAnsi="ArialMT"/>
          <w:sz w:val="24"/>
          <w:szCs w:val="24"/>
          <w:rtl w:val="0"/>
        </w:rPr>
        <w:t xml:space="preserve">Pois bem, </w:t>
      </w:r>
      <w:r w:rsidDel="00000000" w:rsidR="00000000" w:rsidRPr="00000000">
        <w:rPr>
          <w:rFonts w:ascii="ArialMT" w:cs="ArialMT" w:eastAsia="ArialMT" w:hAnsi="ArialMT"/>
          <w:b w:val="1"/>
          <w:sz w:val="24"/>
          <w:szCs w:val="24"/>
          <w:rtl w:val="0"/>
        </w:rPr>
        <w:t xml:space="preserve">às fls. xx a xx</w:t>
      </w:r>
      <w:r w:rsidDel="00000000" w:rsidR="00000000" w:rsidRPr="00000000">
        <w:rPr>
          <w:rFonts w:ascii="ArialMT" w:cs="ArialMT" w:eastAsia="ArialMT" w:hAnsi="ArialMT"/>
          <w:sz w:val="24"/>
          <w:szCs w:val="24"/>
          <w:rtl w:val="0"/>
        </w:rPr>
        <w:t xml:space="preserve"> foram juntados os documentos que comprovam a regularidade fiscal e trabalhista da contratada.</w:t>
      </w:r>
      <w:r w:rsidDel="00000000" w:rsidR="00000000" w:rsidRPr="00000000">
        <w:rPr>
          <w:rtl w:val="0"/>
        </w:rPr>
      </w:r>
    </w:p>
    <w:p w:rsidR="00000000" w:rsidDel="00000000" w:rsidP="00000000" w:rsidRDefault="00000000" w:rsidRPr="00000000" w14:paraId="00000019">
      <w:pPr>
        <w:spacing w:line="276" w:lineRule="auto"/>
        <w:jc w:val="both"/>
        <w:rPr>
          <w:rFonts w:ascii="Arial-BoldMT" w:cs="Arial-BoldMT" w:eastAsia="Arial-BoldMT" w:hAnsi="Arial-BoldMT"/>
          <w:b w:val="1"/>
          <w:sz w:val="24"/>
          <w:szCs w:val="24"/>
        </w:rPr>
      </w:pPr>
      <w:r w:rsidDel="00000000" w:rsidR="00000000" w:rsidRPr="00000000">
        <w:rPr>
          <w:rtl w:val="0"/>
        </w:rPr>
      </w:r>
    </w:p>
    <w:p w:rsidR="00000000" w:rsidDel="00000000" w:rsidP="00000000" w:rsidRDefault="00000000" w:rsidRPr="00000000" w14:paraId="0000001A">
      <w:pPr>
        <w:spacing w:line="276" w:lineRule="auto"/>
        <w:jc w:val="both"/>
        <w:rPr>
          <w:rFonts w:ascii="Arial-BoldMT" w:cs="Arial-BoldMT" w:eastAsia="Arial-BoldMT" w:hAnsi="Arial-BoldMT"/>
          <w:b w:val="1"/>
          <w:sz w:val="24"/>
          <w:szCs w:val="24"/>
        </w:rPr>
      </w:pPr>
      <w:r w:rsidDel="00000000" w:rsidR="00000000" w:rsidRPr="00000000">
        <w:rPr>
          <w:rtl w:val="0"/>
        </w:rPr>
      </w:r>
    </w:p>
    <w:p w:rsidR="00000000" w:rsidDel="00000000" w:rsidP="00000000" w:rsidRDefault="00000000" w:rsidRPr="00000000" w14:paraId="0000001B">
      <w:pPr>
        <w:spacing w:line="276" w:lineRule="auto"/>
        <w:jc w:val="both"/>
        <w:rPr/>
      </w:pPr>
      <w:r w:rsidDel="00000000" w:rsidR="00000000" w:rsidRPr="00000000">
        <w:rPr>
          <w:rFonts w:ascii="Arial-BoldMT" w:cs="Arial-BoldMT" w:eastAsia="Arial-BoldMT" w:hAnsi="Arial-BoldMT"/>
          <w:b w:val="1"/>
          <w:sz w:val="24"/>
          <w:szCs w:val="24"/>
          <w:rtl w:val="0"/>
        </w:rPr>
        <w:t xml:space="preserve">MINUTA DO TERMO DO CONTRATO</w:t>
      </w:r>
      <w:r w:rsidDel="00000000" w:rsidR="00000000" w:rsidRPr="00000000">
        <w:rPr>
          <w:rtl w:val="0"/>
        </w:rPr>
      </w:r>
    </w:p>
    <w:p w:rsidR="00000000" w:rsidDel="00000000" w:rsidP="00000000" w:rsidRDefault="00000000" w:rsidRPr="00000000" w14:paraId="0000001C">
      <w:pPr>
        <w:spacing w:line="276" w:lineRule="auto"/>
        <w:jc w:val="both"/>
        <w:rPr>
          <w:strike w:val="1"/>
        </w:rPr>
      </w:pPr>
      <w:r w:rsidDel="00000000" w:rsidR="00000000" w:rsidRPr="00000000">
        <w:rPr>
          <w:rFonts w:ascii="ArialMT" w:cs="ArialMT" w:eastAsia="ArialMT" w:hAnsi="ArialMT"/>
          <w:sz w:val="24"/>
          <w:szCs w:val="24"/>
          <w:rtl w:val="0"/>
        </w:rPr>
        <w:t xml:space="preserve">Quanto à formalização da avença, que se dará mediante Contrato, </w:t>
      </w:r>
      <w:r w:rsidDel="00000000" w:rsidR="00000000" w:rsidRPr="00000000">
        <w:rPr>
          <w:rFonts w:ascii="ArialMT" w:cs="ArialMT" w:eastAsia="ArialMT" w:hAnsi="ArialMT"/>
          <w:sz w:val="24"/>
          <w:szCs w:val="24"/>
          <w:rtl w:val="0"/>
        </w:rPr>
        <w:t xml:space="preserve">insta considerar que, em tais ajustes, a Administração Pública age com prerrogativas típicas do Poder Público, colocando-se em posição superior frente ao contratado.</w:t>
      </w:r>
      <w:r w:rsidDel="00000000" w:rsidR="00000000" w:rsidRPr="00000000">
        <w:rPr>
          <w:rtl w:val="0"/>
        </w:rPr>
      </w:r>
    </w:p>
    <w:p w:rsidR="00000000" w:rsidDel="00000000" w:rsidP="00000000" w:rsidRDefault="00000000" w:rsidRPr="00000000" w14:paraId="0000001D">
      <w:pPr>
        <w:spacing w:line="276" w:lineRule="auto"/>
        <w:jc w:val="both"/>
        <w:rPr/>
      </w:pPr>
      <w:r w:rsidDel="00000000" w:rsidR="00000000" w:rsidRPr="00000000">
        <w:rPr>
          <w:rFonts w:ascii="ArialMT" w:cs="ArialMT" w:eastAsia="ArialMT" w:hAnsi="ArialMT"/>
          <w:sz w:val="24"/>
          <w:szCs w:val="24"/>
          <w:rtl w:val="0"/>
        </w:rPr>
        <w:t xml:space="preserve">No caso dos autos, a minuta contratual anexa às</w:t>
      </w:r>
      <w:r w:rsidDel="00000000" w:rsidR="00000000" w:rsidRPr="00000000">
        <w:rPr>
          <w:rFonts w:ascii="ArialMT" w:cs="ArialMT" w:eastAsia="ArialMT" w:hAnsi="ArialMT"/>
          <w:b w:val="1"/>
          <w:sz w:val="24"/>
          <w:szCs w:val="24"/>
          <w:rtl w:val="0"/>
        </w:rPr>
        <w:t xml:space="preserve"> fls.xx A xx</w:t>
      </w:r>
      <w:r w:rsidDel="00000000" w:rsidR="00000000" w:rsidRPr="00000000">
        <w:rPr>
          <w:rFonts w:ascii="ArialMT" w:cs="ArialMT" w:eastAsia="ArialMT" w:hAnsi="ArialMT"/>
          <w:sz w:val="24"/>
          <w:szCs w:val="24"/>
          <w:rtl w:val="0"/>
        </w:rPr>
        <w:t xml:space="preserve"> está adaptada às diretrizes firmadas no citado Termo, contendo as alterações específicas acordadas.</w:t>
      </w:r>
      <w:r w:rsidDel="00000000" w:rsidR="00000000" w:rsidRPr="00000000">
        <w:rPr>
          <w:rtl w:val="0"/>
        </w:rPr>
      </w:r>
    </w:p>
    <w:p w:rsidR="00000000" w:rsidDel="00000000" w:rsidP="00000000" w:rsidRDefault="00000000" w:rsidRPr="00000000" w14:paraId="0000001E">
      <w:pPr>
        <w:spacing w:line="276" w:lineRule="auto"/>
        <w:jc w:val="both"/>
        <w:rPr>
          <w:rFonts w:ascii="Arial-BoldMT" w:cs="Arial-BoldMT" w:eastAsia="Arial-BoldMT" w:hAnsi="Arial-BoldMT"/>
          <w:b w:val="1"/>
          <w:sz w:val="24"/>
          <w:szCs w:val="24"/>
        </w:rPr>
      </w:pPr>
      <w:r w:rsidDel="00000000" w:rsidR="00000000" w:rsidRPr="00000000">
        <w:rPr>
          <w:rtl w:val="0"/>
        </w:rPr>
      </w:r>
    </w:p>
    <w:p w:rsidR="00000000" w:rsidDel="00000000" w:rsidP="00000000" w:rsidRDefault="00000000" w:rsidRPr="00000000" w14:paraId="0000001F">
      <w:pPr>
        <w:spacing w:line="276" w:lineRule="auto"/>
        <w:jc w:val="both"/>
        <w:rPr/>
      </w:pPr>
      <w:r w:rsidDel="00000000" w:rsidR="00000000" w:rsidRPr="00000000">
        <w:rPr>
          <w:rFonts w:ascii="Arial-BoldMT" w:cs="Arial-BoldMT" w:eastAsia="Arial-BoldMT" w:hAnsi="Arial-BoldMT"/>
          <w:b w:val="1"/>
          <w:sz w:val="24"/>
          <w:szCs w:val="24"/>
          <w:rtl w:val="0"/>
        </w:rPr>
        <w:t xml:space="preserve">NATUREZA CONTÍNUA DOS SERVIÇOS</w:t>
      </w:r>
      <w:r w:rsidDel="00000000" w:rsidR="00000000" w:rsidRPr="00000000">
        <w:rPr>
          <w:rtl w:val="0"/>
        </w:rPr>
      </w:r>
    </w:p>
    <w:p w:rsidR="00000000" w:rsidDel="00000000" w:rsidP="00000000" w:rsidRDefault="00000000" w:rsidRPr="00000000" w14:paraId="00000020">
      <w:pPr>
        <w:spacing w:line="276" w:lineRule="auto"/>
        <w:jc w:val="both"/>
        <w:rPr/>
      </w:pPr>
      <w:r w:rsidDel="00000000" w:rsidR="00000000" w:rsidRPr="00000000">
        <w:rPr>
          <w:rFonts w:ascii="ArialMT" w:cs="ArialMT" w:eastAsia="ArialMT" w:hAnsi="ArialMT"/>
          <w:sz w:val="24"/>
          <w:szCs w:val="24"/>
          <w:rtl w:val="0"/>
        </w:rPr>
        <w:t xml:space="preserve">Quanto à natureza contínua dos serviços, colhe-se o entendimento do Tribunal de Contas da União:</w:t>
      </w:r>
      <w:r w:rsidDel="00000000" w:rsidR="00000000" w:rsidRPr="00000000">
        <w:rPr>
          <w:rtl w:val="0"/>
        </w:rPr>
      </w:r>
    </w:p>
    <w:p w:rsidR="00000000" w:rsidDel="00000000" w:rsidP="00000000" w:rsidRDefault="00000000" w:rsidRPr="00000000" w14:paraId="00000021">
      <w:pPr>
        <w:spacing w:line="276" w:lineRule="auto"/>
        <w:ind w:left="2160" w:firstLine="0"/>
        <w:jc w:val="both"/>
        <w:rPr/>
      </w:pPr>
      <w:r w:rsidDel="00000000" w:rsidR="00000000" w:rsidRPr="00000000">
        <w:rPr>
          <w:rFonts w:ascii="Arial" w:cs="Arial" w:eastAsia="Arial" w:hAnsi="Arial"/>
          <w:sz w:val="20"/>
          <w:szCs w:val="20"/>
          <w:rtl w:val="0"/>
        </w:rPr>
        <w:t xml:space="preserve">“A Administração deve definir em processo próprio quais são seus serviços contínuos, pois o que é contínuo para determinado órgão ou entidade pode não ser para outros. São exemplos de serviços de natureza contínua: vigilância, limpeza e conservação, manutenção elétrica e manutenção de elevadores. O para um determinado período e prorrogado, por iguais e sucessivos períodos, a fim de obter preços e condições mais vantajosos para a Administração, até o limite de sessenta meses ( ... )”.(TCU. Decisão 1098/2001 – Plenário. Dou 24/01/2002)"</w:t>
      </w:r>
      <w:r w:rsidDel="00000000" w:rsidR="00000000" w:rsidRPr="00000000">
        <w:rPr>
          <w:rtl w:val="0"/>
        </w:rPr>
      </w:r>
    </w:p>
    <w:p w:rsidR="00000000" w:rsidDel="00000000" w:rsidP="00000000" w:rsidRDefault="00000000" w:rsidRPr="00000000" w14:paraId="00000022">
      <w:pPr>
        <w:spacing w:line="276" w:lineRule="auto"/>
        <w:jc w:val="both"/>
        <w:rPr/>
      </w:pPr>
      <w:r w:rsidDel="00000000" w:rsidR="00000000" w:rsidRPr="00000000">
        <w:rPr>
          <w:rFonts w:ascii="ArialMT" w:cs="ArialMT" w:eastAsia="ArialMT" w:hAnsi="ArialMT"/>
          <w:sz w:val="24"/>
          <w:szCs w:val="24"/>
          <w:rtl w:val="0"/>
        </w:rPr>
        <w:t xml:space="preserve">Os serviços ora contratados são dotados, sem sombra de dúvidas, do caráter de continuados, na medida em que são destinados a atender necessidades públicas permanentes, consistentes na divulgação das obras científicas do IF SertãoPE por meio de suas revistas.</w:t>
      </w:r>
      <w:r w:rsidDel="00000000" w:rsidR="00000000" w:rsidRPr="00000000">
        <w:rPr>
          <w:rtl w:val="0"/>
        </w:rPr>
      </w:r>
    </w:p>
    <w:p w:rsidR="00000000" w:rsidDel="00000000" w:rsidP="00000000" w:rsidRDefault="00000000" w:rsidRPr="00000000" w14:paraId="00000023">
      <w:pPr>
        <w:spacing w:line="276" w:lineRule="auto"/>
        <w:jc w:val="both"/>
        <w:rPr>
          <w:rFonts w:ascii="ArialMT" w:cs="ArialMT" w:eastAsia="ArialMT" w:hAnsi="ArialMT"/>
          <w:sz w:val="24"/>
          <w:szCs w:val="24"/>
        </w:rPr>
      </w:pPr>
      <w:r w:rsidDel="00000000" w:rsidR="00000000" w:rsidRPr="00000000">
        <w:rPr>
          <w:rFonts w:ascii="ArialMT" w:cs="ArialMT" w:eastAsia="ArialMT" w:hAnsi="ArialMT"/>
          <w:sz w:val="24"/>
          <w:szCs w:val="24"/>
          <w:rtl w:val="0"/>
        </w:rPr>
        <w:t xml:space="preserve">A Lei nº 8.666, de 1993 deu contornos distintos aos contratos em que a Administração Pública é contratante e em que é mera usuária de serviço público. </w:t>
      </w:r>
      <w:r w:rsidDel="00000000" w:rsidR="00000000" w:rsidRPr="00000000">
        <w:rPr>
          <w:rFonts w:ascii="ArialMT" w:cs="ArialMT" w:eastAsia="ArialMT" w:hAnsi="ArialMT"/>
          <w:sz w:val="24"/>
          <w:szCs w:val="24"/>
          <w:rtl w:val="0"/>
        </w:rPr>
        <w:t xml:space="preserve">Nessa hipótese, as regras pertinentes são ditadas pela contratante, com base em suas prerrogativas do Poder Público. </w:t>
      </w:r>
    </w:p>
    <w:p w:rsidR="00000000" w:rsidDel="00000000" w:rsidP="00000000" w:rsidRDefault="00000000" w:rsidRPr="00000000" w14:paraId="00000024">
      <w:pPr>
        <w:spacing w:line="276" w:lineRule="auto"/>
        <w:jc w:val="both"/>
        <w:rPr/>
      </w:pPr>
      <w:r w:rsidDel="00000000" w:rsidR="00000000" w:rsidRPr="00000000">
        <w:rPr>
          <w:rFonts w:ascii="Arial-BoldMT" w:cs="Arial-BoldMT" w:eastAsia="Arial-BoldMT" w:hAnsi="Arial-BoldMT"/>
          <w:b w:val="1"/>
          <w:sz w:val="24"/>
          <w:szCs w:val="24"/>
          <w:rtl w:val="0"/>
        </w:rPr>
        <w:t xml:space="preserve">DA JUSTIFICATIVA DO VALOR</w:t>
      </w:r>
      <w:r w:rsidDel="00000000" w:rsidR="00000000" w:rsidRPr="00000000">
        <w:rPr>
          <w:rtl w:val="0"/>
        </w:rPr>
      </w:r>
    </w:p>
    <w:p w:rsidR="00000000" w:rsidDel="00000000" w:rsidP="00000000" w:rsidRDefault="00000000" w:rsidRPr="00000000" w14:paraId="00000025">
      <w:pPr>
        <w:spacing w:line="276" w:lineRule="auto"/>
        <w:jc w:val="both"/>
        <w:rPr/>
      </w:pPr>
      <w:r w:rsidDel="00000000" w:rsidR="00000000" w:rsidRPr="00000000">
        <w:rPr>
          <w:rFonts w:ascii="ArialMT" w:cs="ArialMT" w:eastAsia="ArialMT" w:hAnsi="ArialMT"/>
          <w:sz w:val="24"/>
          <w:szCs w:val="24"/>
          <w:rtl w:val="0"/>
        </w:rPr>
        <w:t xml:space="preserve">Para cumprimento do requisito da justificativa de preços, insta destacar que os serviços prestados pela </w:t>
      </w:r>
      <w:r w:rsidDel="00000000" w:rsidR="00000000" w:rsidRPr="00000000">
        <w:rPr>
          <w:rFonts w:ascii="ArialMT" w:cs="ArialMT" w:eastAsia="ArialMT" w:hAnsi="ArialMT"/>
          <w:b w:val="1"/>
          <w:sz w:val="24"/>
          <w:szCs w:val="24"/>
          <w:rtl w:val="0"/>
        </w:rPr>
        <w:t xml:space="preserve">xx</w:t>
      </w:r>
      <w:r w:rsidDel="00000000" w:rsidR="00000000" w:rsidRPr="00000000">
        <w:rPr>
          <w:rFonts w:ascii="ArialMT" w:cs="ArialMT" w:eastAsia="ArialMT" w:hAnsi="ArialMT"/>
          <w:sz w:val="24"/>
          <w:szCs w:val="24"/>
          <w:rtl w:val="0"/>
        </w:rPr>
        <w:t xml:space="preserve"> são os menores praticados no mercado, quando comparados aos valores praticados pelos demais licitantes. </w:t>
      </w:r>
      <w:r w:rsidDel="00000000" w:rsidR="00000000" w:rsidRPr="00000000">
        <w:rPr>
          <w:rtl w:val="0"/>
        </w:rPr>
      </w:r>
    </w:p>
    <w:p w:rsidR="00000000" w:rsidDel="00000000" w:rsidP="00000000" w:rsidRDefault="00000000" w:rsidRPr="00000000" w14:paraId="00000026">
      <w:pPr>
        <w:spacing w:line="276" w:lineRule="auto"/>
        <w:jc w:val="both"/>
        <w:rPr>
          <w:rFonts w:ascii="Arial-BoldMT" w:cs="Arial-BoldMT" w:eastAsia="Arial-BoldMT" w:hAnsi="Arial-BoldMT"/>
          <w:b w:val="1"/>
          <w:sz w:val="24"/>
          <w:szCs w:val="24"/>
        </w:rPr>
      </w:pPr>
      <w:r w:rsidDel="00000000" w:rsidR="00000000" w:rsidRPr="00000000">
        <w:rPr>
          <w:rtl w:val="0"/>
        </w:rPr>
      </w:r>
    </w:p>
    <w:p w:rsidR="00000000" w:rsidDel="00000000" w:rsidP="00000000" w:rsidRDefault="00000000" w:rsidRPr="00000000" w14:paraId="00000027">
      <w:pPr>
        <w:spacing w:line="276" w:lineRule="auto"/>
        <w:jc w:val="both"/>
        <w:rPr/>
      </w:pPr>
      <w:r w:rsidDel="00000000" w:rsidR="00000000" w:rsidRPr="00000000">
        <w:rPr>
          <w:rFonts w:ascii="Arial-BoldMT" w:cs="Arial-BoldMT" w:eastAsia="Arial-BoldMT" w:hAnsi="Arial-BoldMT"/>
          <w:b w:val="1"/>
          <w:sz w:val="24"/>
          <w:szCs w:val="24"/>
          <w:rtl w:val="0"/>
        </w:rPr>
        <w:t xml:space="preserve">CONCLUSÃO</w:t>
      </w:r>
      <w:r w:rsidDel="00000000" w:rsidR="00000000" w:rsidRPr="00000000">
        <w:rPr>
          <w:rtl w:val="0"/>
        </w:rPr>
      </w:r>
    </w:p>
    <w:p w:rsidR="00000000" w:rsidDel="00000000" w:rsidP="00000000" w:rsidRDefault="00000000" w:rsidRPr="00000000" w14:paraId="00000028">
      <w:pPr>
        <w:spacing w:line="276" w:lineRule="auto"/>
        <w:jc w:val="both"/>
        <w:rPr/>
      </w:pPr>
      <w:r w:rsidDel="00000000" w:rsidR="00000000" w:rsidRPr="00000000">
        <w:rPr>
          <w:rFonts w:ascii="ArialMT" w:cs="ArialMT" w:eastAsia="ArialMT" w:hAnsi="ArialMT"/>
          <w:sz w:val="24"/>
          <w:szCs w:val="24"/>
          <w:rtl w:val="0"/>
        </w:rPr>
        <w:t xml:space="preserve">Considerando-se que </w:t>
      </w:r>
      <w:r w:rsidDel="00000000" w:rsidR="00000000" w:rsidRPr="00000000">
        <w:rPr>
          <w:rFonts w:ascii="ArialMT" w:cs="ArialMT" w:eastAsia="ArialMT" w:hAnsi="ArialMT"/>
          <w:b w:val="1"/>
          <w:sz w:val="24"/>
          <w:szCs w:val="24"/>
          <w:rtl w:val="0"/>
        </w:rPr>
        <w:t xml:space="preserve">a empresa</w:t>
      </w:r>
      <w:r w:rsidDel="00000000" w:rsidR="00000000" w:rsidRPr="00000000">
        <w:rPr>
          <w:rFonts w:ascii="ArialMT" w:cs="ArialMT" w:eastAsia="ArialMT" w:hAnsi="ArialMT"/>
          <w:sz w:val="24"/>
          <w:szCs w:val="24"/>
          <w:rtl w:val="0"/>
        </w:rPr>
        <w:t xml:space="preserve">, prestadora de serviços de DOI (...), cujos preços a serem pagos são compatíveis com valores cobrados de outros órgãos, assim,  sugerimos que a contratação seja feita por dispensa de licitação com fulcro no caput do Artigo 24, inciso II da Lei 8.666/93.</w:t>
      </w:r>
      <w:r w:rsidDel="00000000" w:rsidR="00000000" w:rsidRPr="00000000">
        <w:rPr>
          <w:rtl w:val="0"/>
        </w:rPr>
      </w:r>
    </w:p>
    <w:p w:rsidR="00000000" w:rsidDel="00000000" w:rsidP="00000000" w:rsidRDefault="00000000" w:rsidRPr="00000000" w14:paraId="00000029">
      <w:pPr>
        <w:spacing w:line="276" w:lineRule="auto"/>
        <w:jc w:val="both"/>
        <w:rPr/>
      </w:pPr>
      <w:r w:rsidDel="00000000" w:rsidR="00000000" w:rsidRPr="00000000">
        <w:rPr>
          <w:rtl w:val="0"/>
        </w:rPr>
      </w:r>
    </w:p>
    <w:p w:rsidR="00000000" w:rsidDel="00000000" w:rsidP="00000000" w:rsidRDefault="00000000" w:rsidRPr="00000000" w14:paraId="0000002A">
      <w:pPr>
        <w:spacing w:line="276" w:lineRule="auto"/>
        <w:jc w:val="both"/>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2B">
      <w:pPr>
        <w:spacing w:line="276" w:lineRule="auto"/>
        <w:jc w:val="center"/>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2C">
      <w:pPr>
        <w:spacing w:line="276" w:lineRule="auto"/>
        <w:jc w:val="center"/>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2D">
      <w:pPr>
        <w:spacing w:line="276" w:lineRule="auto"/>
        <w:jc w:val="center"/>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2E">
      <w:pPr>
        <w:spacing w:line="276" w:lineRule="auto"/>
        <w:jc w:val="center"/>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2F">
      <w:pPr>
        <w:spacing w:line="276" w:lineRule="auto"/>
        <w:jc w:val="center"/>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30">
      <w:pPr>
        <w:spacing w:line="276" w:lineRule="auto"/>
        <w:jc w:val="center"/>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31">
      <w:pPr>
        <w:spacing w:line="276" w:lineRule="auto"/>
        <w:jc w:val="center"/>
        <w:rPr/>
      </w:pPr>
      <w:r w:rsidDel="00000000" w:rsidR="00000000" w:rsidRPr="00000000">
        <w:rPr>
          <w:rFonts w:ascii="ArialMT" w:cs="ArialMT" w:eastAsia="ArialMT" w:hAnsi="ArialMT"/>
          <w:sz w:val="24"/>
          <w:szCs w:val="24"/>
          <w:rtl w:val="0"/>
        </w:rPr>
        <w:t xml:space="preserve">Petrolina-PE, 22 de junho de 2023</w:t>
      </w:r>
      <w:r w:rsidDel="00000000" w:rsidR="00000000" w:rsidRPr="00000000">
        <w:rPr>
          <w:rtl w:val="0"/>
        </w:rPr>
      </w:r>
    </w:p>
    <w:p w:rsidR="00000000" w:rsidDel="00000000" w:rsidP="00000000" w:rsidRDefault="00000000" w:rsidRPr="00000000" w14:paraId="00000032">
      <w:pPr>
        <w:spacing w:line="276" w:lineRule="auto"/>
        <w:jc w:val="both"/>
        <w:rPr>
          <w:rFonts w:ascii="ArialMT" w:cs="ArialMT" w:eastAsia="ArialMT" w:hAnsi="ArialMT"/>
          <w:sz w:val="24"/>
          <w:szCs w:val="24"/>
        </w:rPr>
      </w:pPr>
      <w:r w:rsidDel="00000000" w:rsidR="00000000" w:rsidRPr="00000000">
        <w:rPr>
          <w:rtl w:val="0"/>
        </w:rPr>
      </w:r>
    </w:p>
    <w:p w:rsidR="00000000" w:rsidDel="00000000" w:rsidP="00000000" w:rsidRDefault="00000000" w:rsidRPr="00000000" w14:paraId="00000033">
      <w:pPr>
        <w:spacing w:line="276" w:lineRule="auto"/>
        <w:jc w:val="both"/>
        <w:rPr>
          <w:rFonts w:ascii="ArialMT" w:cs="ArialMT" w:eastAsia="ArialMT" w:hAnsi="ArialMT"/>
          <w:b w:val="1"/>
          <w:sz w:val="24"/>
          <w:szCs w:val="24"/>
        </w:rPr>
      </w:pPr>
      <w:r w:rsidDel="00000000" w:rsidR="00000000" w:rsidRPr="00000000">
        <w:rPr>
          <w:rtl w:val="0"/>
        </w:rPr>
      </w:r>
    </w:p>
    <w:p w:rsidR="00000000" w:rsidDel="00000000" w:rsidP="00000000" w:rsidRDefault="00000000" w:rsidRPr="00000000" w14:paraId="00000034">
      <w:pPr>
        <w:spacing w:after="0" w:before="0" w:line="360" w:lineRule="auto"/>
        <w:jc w:val="center"/>
        <w:rPr>
          <w:b w:val="0"/>
        </w:rPr>
      </w:pPr>
      <w:r w:rsidDel="00000000" w:rsidR="00000000" w:rsidRPr="00000000">
        <w:rPr>
          <w:rtl w:val="0"/>
        </w:rPr>
      </w:r>
    </w:p>
    <w:p w:rsidR="00000000" w:rsidDel="00000000" w:rsidP="00000000" w:rsidRDefault="00000000" w:rsidRPr="00000000" w14:paraId="00000035">
      <w:pPr>
        <w:spacing w:after="0" w:before="0" w:line="360" w:lineRule="auto"/>
        <w:jc w:val="center"/>
        <w:rPr/>
      </w:pPr>
      <w:r w:rsidDel="00000000" w:rsidR="00000000" w:rsidRPr="00000000">
        <w:rPr>
          <w:rFonts w:ascii="Arial" w:cs="Arial" w:eastAsia="Arial" w:hAnsi="Arial"/>
          <w:b w:val="1"/>
          <w:color w:val="00000a"/>
          <w:sz w:val="22"/>
          <w:szCs w:val="22"/>
          <w:rtl w:val="0"/>
        </w:rPr>
        <w:t xml:space="preserve">IFSertãoPE/Reitoria</w:t>
      </w:r>
      <w:r w:rsidDel="00000000" w:rsidR="00000000" w:rsidRPr="00000000">
        <w:rPr>
          <w:rtl w:val="0"/>
        </w:rPr>
      </w:r>
    </w:p>
    <w:sectPr>
      <w:headerReference r:id="rId7" w:type="default"/>
      <w:footerReference r:id="rId8" w:type="default"/>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Arial-BoldMT"/>
  <w:font w:name="Arial-ItalicMT"/>
  <w:font w:name="Arial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tabs>
        <w:tab w:val="center" w:leader="none" w:pos="4252"/>
        <w:tab w:val="right" w:leader="none" w:pos="8504"/>
      </w:tabs>
      <w:spacing w:after="0" w:before="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widowControl w:val="0"/>
      <w:spacing w:after="200" w:before="0" w:line="276" w:lineRule="auto"/>
      <w:rPr>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2562225</wp:posOffset>
          </wp:positionH>
          <wp:positionV relativeFrom="paragraph">
            <wp:posOffset>-85724</wp:posOffset>
          </wp:positionV>
          <wp:extent cx="906780" cy="911225"/>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6780" cy="911225"/>
                  </a:xfrm>
                  <a:prstGeom prst="rect"/>
                  <a:ln/>
                </pic:spPr>
              </pic:pic>
            </a:graphicData>
          </a:graphic>
        </wp:anchor>
      </w:drawing>
    </w:r>
  </w:p>
  <w:p w:rsidR="00000000" w:rsidDel="00000000" w:rsidP="00000000" w:rsidRDefault="00000000" w:rsidRPr="00000000" w14:paraId="00000037">
    <w:pPr>
      <w:widowControl w:val="0"/>
      <w:spacing w:after="200" w:before="0" w:line="276" w:lineRule="auto"/>
      <w:jc w:val="center"/>
      <w:rPr>
        <w:b w:val="1"/>
      </w:rPr>
    </w:pPr>
    <w:r w:rsidDel="00000000" w:rsidR="00000000" w:rsidRPr="00000000">
      <w:rPr>
        <w:rtl w:val="0"/>
      </w:rPr>
    </w:r>
  </w:p>
  <w:p w:rsidR="00000000" w:rsidDel="00000000" w:rsidP="00000000" w:rsidRDefault="00000000" w:rsidRPr="00000000" w14:paraId="00000038">
    <w:pPr>
      <w:widowControl w:val="0"/>
      <w:spacing w:after="0" w:before="0" w:line="288"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widowControl w:val="0"/>
      <w:spacing w:after="0" w:before="0" w:line="240" w:lineRule="auto"/>
      <w:jc w:val="center"/>
      <w:rPr>
        <w:rFonts w:ascii="Times New Roman" w:cs="Times New Roman" w:eastAsia="Times New Roman" w:hAnsi="Times New Roman"/>
        <w:b w:val="1"/>
        <w:color w:val="00000a"/>
        <w:sz w:val="20"/>
        <w:szCs w:val="20"/>
      </w:rPr>
    </w:pPr>
    <w:r w:rsidDel="00000000" w:rsidR="00000000" w:rsidRPr="00000000">
      <w:rPr>
        <w:rFonts w:ascii="Times New Roman" w:cs="Times New Roman" w:eastAsia="Times New Roman" w:hAnsi="Times New Roman"/>
        <w:b w:val="1"/>
        <w:color w:val="00000a"/>
        <w:sz w:val="20"/>
        <w:szCs w:val="20"/>
        <w:rtl w:val="0"/>
      </w:rPr>
      <w:t xml:space="preserve">MINISTÉRIO DA EDUCAÇÃO</w:t>
    </w:r>
  </w:p>
  <w:p w:rsidR="00000000" w:rsidDel="00000000" w:rsidP="00000000" w:rsidRDefault="00000000" w:rsidRPr="00000000" w14:paraId="0000003A">
    <w:pPr>
      <w:widowControl w:val="0"/>
      <w:spacing w:after="0" w:before="0" w:line="240" w:lineRule="auto"/>
      <w:jc w:val="center"/>
      <w:rPr>
        <w:rFonts w:ascii="Times New Roman" w:cs="Times New Roman" w:eastAsia="Times New Roman" w:hAnsi="Times New Roman"/>
        <w:b w:val="1"/>
        <w:color w:val="00000a"/>
        <w:sz w:val="14"/>
        <w:szCs w:val="14"/>
      </w:rPr>
    </w:pPr>
    <w:r w:rsidDel="00000000" w:rsidR="00000000" w:rsidRPr="00000000">
      <w:rPr>
        <w:rFonts w:ascii="Times New Roman" w:cs="Times New Roman" w:eastAsia="Times New Roman" w:hAnsi="Times New Roman"/>
        <w:b w:val="1"/>
        <w:color w:val="00000a"/>
        <w:sz w:val="14"/>
        <w:szCs w:val="14"/>
        <w:rtl w:val="0"/>
      </w:rPr>
      <w:t xml:space="preserve">SECRETARIA DE EDUCAÇÃO PROFISSIONAL E TECNOLÓGICA</w:t>
    </w:r>
  </w:p>
  <w:p w:rsidR="00000000" w:rsidDel="00000000" w:rsidP="00000000" w:rsidRDefault="00000000" w:rsidRPr="00000000" w14:paraId="0000003B">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a"/>
        <w:sz w:val="14"/>
        <w:szCs w:val="14"/>
        <w:rtl w:val="0"/>
      </w:rPr>
      <w:t xml:space="preserve">INSTITUTO FEDERAL DE EDUCAÇÃO, CIÊNCIA E TECNOLOGIA DO SERTÃO PERNAMBUCANO</w:t>
    </w:r>
    <w:r w:rsidDel="00000000" w:rsidR="00000000" w:rsidRPr="00000000">
      <w:rPr>
        <w:rtl w:val="0"/>
      </w:rPr>
    </w:r>
  </w:p>
  <w:p w:rsidR="00000000" w:rsidDel="00000000" w:rsidP="00000000" w:rsidRDefault="00000000" w:rsidRPr="00000000" w14:paraId="0000003C">
    <w:pPr>
      <w:widowControl w:val="0"/>
      <w:spacing w:after="0" w:before="0" w:line="288" w:lineRule="auto"/>
      <w:jc w:val="center"/>
      <w:rPr>
        <w:color w:val="000000"/>
      </w:rPr>
    </w:pPr>
    <w:r w:rsidDel="00000000" w:rsidR="00000000" w:rsidRPr="00000000">
      <w:rPr>
        <w:rFonts w:ascii="Times New Roman" w:cs="Times New Roman" w:eastAsia="Times New Roman" w:hAnsi="Times New Roman"/>
        <w:b w:val="1"/>
        <w:color w:val="000000"/>
        <w:sz w:val="14"/>
        <w:szCs w:val="14"/>
        <w:rtl w:val="0"/>
      </w:rPr>
      <w:t xml:space="preserve">REITORIA </w:t>
    </w:r>
    <w:r w:rsidDel="00000000" w:rsidR="00000000" w:rsidRPr="00000000">
      <w:rPr>
        <w:rtl w:val="0"/>
      </w:rPr>
    </w:r>
  </w:p>
  <w:p w:rsidR="00000000" w:rsidDel="00000000" w:rsidP="00000000" w:rsidRDefault="00000000" w:rsidRPr="00000000" w14:paraId="0000003D">
    <w:pPr>
      <w:widowControl w:val="0"/>
      <w:spacing w:after="0" w:before="0" w:line="240" w:lineRule="auto"/>
      <w:rPr>
        <w:rFonts w:ascii="Times New Roman" w:cs="Times New Roman" w:eastAsia="Times New Roman" w:hAnsi="Times New Roman"/>
        <w:b w:val="1"/>
        <w:color w:val="00000a"/>
        <w:sz w:val="14"/>
        <w:szCs w:val="1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1"/>
      <w:suppressAutoHyphens w:val="1"/>
      <w:bidi w:val="0"/>
      <w:spacing w:after="160" w:before="0" w:line="259" w:lineRule="auto"/>
      <w:jc w:val="left"/>
    </w:pPr>
    <w:rPr>
      <w:rFonts w:ascii="Calibri" w:cs="Calibri" w:eastAsia="Calibri" w:hAnsi="Calibri"/>
      <w:color w:val="00000a"/>
      <w:sz w:val="22"/>
      <w:szCs w:val="22"/>
      <w:lang w:bidi="ar-SA" w:eastAsia="pt-BR" w:val="pt-BR"/>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qFormat w:val="1"/>
    <w:rPr/>
  </w:style>
  <w:style w:type="character" w:styleId="LpargrafoParecerChar" w:customStyle="1">
    <w:name w:val="L_parágrafo_Parecer Char"/>
    <w:basedOn w:val="CabealhoChar"/>
    <w:link w:val="LpargrafoParecer"/>
    <w:qFormat w:val="1"/>
    <w:rsid w:val="00B533F5"/>
    <w:rPr>
      <w:sz w:val="24"/>
      <w:szCs w:val="24"/>
    </w:rPr>
  </w:style>
  <w:style w:type="character" w:styleId="CabealhoChar" w:customStyle="1">
    <w:name w:val="Cabeçalho Char"/>
    <w:basedOn w:val="DefaultParagraphFont"/>
    <w:link w:val="Cabealho"/>
    <w:uiPriority w:val="99"/>
    <w:qFormat w:val="1"/>
    <w:rsid w:val="00B533F5"/>
    <w:rPr/>
  </w:style>
  <w:style w:type="character" w:styleId="Annotationreference">
    <w:name w:val="annotation reference"/>
    <w:basedOn w:val="DefaultParagraphFont"/>
    <w:uiPriority w:val="99"/>
    <w:semiHidden w:val="1"/>
    <w:unhideWhenUsed w:val="1"/>
    <w:qFormat w:val="1"/>
    <w:rsid w:val="002C2CCC"/>
    <w:rPr>
      <w:sz w:val="16"/>
      <w:szCs w:val="16"/>
    </w:rPr>
  </w:style>
  <w:style w:type="character" w:styleId="TextodecomentrioChar" w:customStyle="1">
    <w:name w:val="Texto de comentário Char"/>
    <w:basedOn w:val="DefaultParagraphFont"/>
    <w:link w:val="Textodecomentrio"/>
    <w:uiPriority w:val="99"/>
    <w:qFormat w:val="1"/>
    <w:rsid w:val="002C2CCC"/>
    <w:rPr>
      <w:sz w:val="20"/>
      <w:szCs w:val="20"/>
    </w:rPr>
  </w:style>
  <w:style w:type="character" w:styleId="AssuntodocomentrioChar" w:customStyle="1">
    <w:name w:val="Assunto do comentário Char"/>
    <w:basedOn w:val="TextodecomentrioChar"/>
    <w:link w:val="Assuntodocomentrio"/>
    <w:uiPriority w:val="99"/>
    <w:semiHidden w:val="1"/>
    <w:qFormat w:val="1"/>
    <w:rsid w:val="002C2CCC"/>
    <w:rPr>
      <w:b w:val="1"/>
      <w:bCs w:val="1"/>
      <w:sz w:val="20"/>
      <w:szCs w:val="20"/>
    </w:rPr>
  </w:style>
  <w:style w:type="character" w:styleId="TextodebaloChar" w:customStyle="1">
    <w:name w:val="Texto de balão Char"/>
    <w:basedOn w:val="DefaultParagraphFont"/>
    <w:link w:val="Textodebalo"/>
    <w:uiPriority w:val="99"/>
    <w:semiHidden w:val="1"/>
    <w:qFormat w:val="1"/>
    <w:rsid w:val="002C2CCC"/>
    <w:rPr>
      <w:rFonts w:ascii="Segoe UI" w:cs="Segoe UI" w:hAnsi="Segoe UI"/>
      <w:sz w:val="18"/>
      <w:szCs w:val="18"/>
    </w:rPr>
  </w:style>
  <w:style w:type="character" w:styleId="LinkdaInternet">
    <w:name w:val="Link da Internet"/>
    <w:uiPriority w:val="99"/>
    <w:unhideWhenUsed w:val="1"/>
    <w:rsid w:val="00FE2A42"/>
    <w:rPr>
      <w:color w:val="0000ff"/>
      <w:u w:val="single"/>
    </w:rPr>
  </w:style>
  <w:style w:type="character" w:styleId="Normaltextrun" w:customStyle="1">
    <w:name w:val="normaltextrun"/>
    <w:basedOn w:val="DefaultParagraphFont"/>
    <w:qFormat w:val="1"/>
    <w:rsid w:val="003833D5"/>
    <w:rPr/>
  </w:style>
  <w:style w:type="character" w:styleId="Eop" w:customStyle="1">
    <w:name w:val="eop"/>
    <w:basedOn w:val="DefaultParagraphFont"/>
    <w:qFormat w:val="1"/>
    <w:rsid w:val="003F3978"/>
    <w:rPr/>
  </w:style>
  <w:style w:type="character" w:styleId="Linkdainternetvisitado">
    <w:name w:val="Link da internet visitado"/>
    <w:basedOn w:val="DefaultParagraphFont"/>
    <w:uiPriority w:val="99"/>
    <w:semiHidden w:val="1"/>
    <w:unhideWhenUsed w:val="1"/>
    <w:rsid w:val="009D0901"/>
    <w:rPr>
      <w:color w:val="954f72" w:themeColor="followedHyperlink"/>
      <w:u w:val="single"/>
    </w:rPr>
  </w:style>
  <w:style w:type="character" w:styleId="RodapChar" w:customStyle="1">
    <w:name w:val="Rodapé Char"/>
    <w:basedOn w:val="DefaultParagraphFont"/>
    <w:link w:val="Rodap"/>
    <w:uiPriority w:val="99"/>
    <w:qFormat w:val="1"/>
    <w:rsid w:val="00614319"/>
    <w:rPr/>
  </w:style>
  <w:style w:type="paragraph" w:styleId="Ttulo">
    <w:name w:val="Título"/>
    <w:basedOn w:val="Normal"/>
    <w:next w:val="Corpodetexto"/>
    <w:qFormat w:val="1"/>
    <w:pPr>
      <w:keepNext w:val="1"/>
      <w:spacing w:after="120" w:before="240"/>
    </w:pPr>
    <w:rPr>
      <w:rFonts w:ascii="Liberation Sans" w:cs="Arial" w:eastAsia="Microsoft YaHei" w:hAnsi="Liberation Sans"/>
      <w:sz w:val="28"/>
      <w:szCs w:val="28"/>
    </w:rPr>
  </w:style>
  <w:style w:type="paragraph" w:styleId="Corpodetexto">
    <w:name w:val="Body Text"/>
    <w:basedOn w:val="Normal"/>
    <w:pPr>
      <w:spacing w:after="140" w:before="0" w:line="276" w:lineRule="auto"/>
    </w:pPr>
    <w:rPr/>
  </w:style>
  <w:style w:type="paragraph" w:styleId="Lista">
    <w:name w:val="List"/>
    <w:basedOn w:val="Corpodetexto"/>
    <w:pPr/>
    <w:rPr>
      <w:rFonts w:cs="Arial"/>
    </w:rPr>
  </w:style>
  <w:style w:type="paragraph" w:styleId="Legenda">
    <w:name w:val="Caption"/>
    <w:basedOn w:val="Normal"/>
    <w:qFormat w:val="1"/>
    <w:pPr>
      <w:suppressLineNumbers w:val="1"/>
      <w:spacing w:after="120" w:before="120"/>
    </w:pPr>
    <w:rPr>
      <w:rFonts w:cs="Arial"/>
      <w:i w:val="1"/>
      <w:iCs w:val="1"/>
      <w:sz w:val="24"/>
      <w:szCs w:val="24"/>
    </w:rPr>
  </w:style>
  <w:style w:type="paragraph" w:styleId="Ndice">
    <w:name w:val="Índice"/>
    <w:basedOn w:val="Normal"/>
    <w:qFormat w:val="1"/>
    <w:pPr>
      <w:suppressLineNumbers w:val="1"/>
    </w:pPr>
    <w:rPr>
      <w:rFonts w:cs="Arial"/>
      <w:lang w:bidi="zxx" w:eastAsia="zxx" w:val="zxx"/>
    </w:rPr>
  </w:style>
  <w:style w:type="paragraph" w:styleId="Ttulododocumento">
    <w:name w:val="Title"/>
    <w:basedOn w:val="Normal"/>
    <w:next w:val="Normal"/>
    <w:uiPriority w:val="10"/>
    <w:qFormat w:val="1"/>
    <w:pPr>
      <w:keepNext w:val="1"/>
      <w:keepLines w:val="1"/>
      <w:spacing w:after="120" w:before="480"/>
    </w:pPr>
    <w:rPr>
      <w:b w:val="1"/>
      <w:sz w:val="72"/>
      <w:szCs w:val="72"/>
    </w:rPr>
  </w:style>
  <w:style w:type="paragraph" w:styleId="LpargrafoParecer" w:customStyle="1">
    <w:name w:val="L_parágrafo_Parecer"/>
    <w:basedOn w:val="Cabealho"/>
    <w:link w:val="LpargrafoParecerChar"/>
    <w:autoRedefine w:val="1"/>
    <w:qFormat w:val="1"/>
    <w:rsid w:val="00B533F5"/>
    <w:pPr>
      <w:tabs>
        <w:tab w:val="left" w:leader="none" w:pos="1418"/>
      </w:tabs>
      <w:spacing w:after="240" w:before="0"/>
      <w:ind w:left="0" w:hanging="0"/>
      <w:jc w:val="both"/>
    </w:pPr>
    <w:rPr>
      <w:sz w:val="24"/>
      <w:szCs w:val="24"/>
    </w:rPr>
  </w:style>
  <w:style w:type="paragraph" w:styleId="Cabealho">
    <w:name w:val="Header"/>
    <w:basedOn w:val="Normal"/>
    <w:link w:val="CabealhoChar"/>
    <w:uiPriority w:val="99"/>
    <w:unhideWhenUsed w:val="1"/>
    <w:rsid w:val="00B533F5"/>
    <w:pPr>
      <w:tabs>
        <w:tab w:val="center" w:leader="none" w:pos="4252"/>
        <w:tab w:val="right" w:leader="none" w:pos="8504"/>
      </w:tabs>
      <w:spacing w:after="0" w:before="0" w:line="240" w:lineRule="auto"/>
    </w:pPr>
    <w:rPr/>
  </w:style>
  <w:style w:type="paragraph" w:styleId="CabealhoeRodap">
    <w:name w:val="Cabeçalho e Rodapé"/>
    <w:basedOn w:val="Normal"/>
    <w:qFormat w:val="1"/>
    <w:pPr/>
    <w:rPr/>
  </w:style>
  <w:style w:type="paragraph" w:styleId="Annotationtext">
    <w:name w:val="annotation text"/>
    <w:basedOn w:val="Normal"/>
    <w:link w:val="TextodecomentrioChar"/>
    <w:uiPriority w:val="99"/>
    <w:unhideWhenUsed w:val="1"/>
    <w:qFormat w:val="1"/>
    <w:rsid w:val="002C2CCC"/>
    <w:pPr>
      <w:spacing w:line="240" w:lineRule="auto"/>
    </w:pPr>
    <w:rPr>
      <w:sz w:val="20"/>
      <w:szCs w:val="20"/>
    </w:rPr>
  </w:style>
  <w:style w:type="paragraph" w:styleId="Annotationsubject">
    <w:name w:val="annotation subject"/>
    <w:basedOn w:val="Annotationtext"/>
    <w:link w:val="AssuntodocomentrioChar"/>
    <w:uiPriority w:val="99"/>
    <w:semiHidden w:val="1"/>
    <w:unhideWhenUsed w:val="1"/>
    <w:qFormat w:val="1"/>
    <w:rsid w:val="002C2CCC"/>
    <w:pPr/>
    <w:rPr>
      <w:b w:val="1"/>
      <w:bCs w:val="1"/>
    </w:rPr>
  </w:style>
  <w:style w:type="paragraph" w:styleId="BalloonText">
    <w:name w:val="Balloon Text"/>
    <w:basedOn w:val="Normal"/>
    <w:link w:val="TextodebaloChar"/>
    <w:uiPriority w:val="99"/>
    <w:semiHidden w:val="1"/>
    <w:unhideWhenUsed w:val="1"/>
    <w:qFormat w:val="1"/>
    <w:rsid w:val="002C2CCC"/>
    <w:pPr>
      <w:spacing w:after="0" w:before="0" w:line="240" w:lineRule="auto"/>
    </w:pPr>
    <w:rPr>
      <w:rFonts w:ascii="Segoe UI" w:cs="Segoe UI" w:hAnsi="Segoe UI"/>
      <w:sz w:val="18"/>
      <w:szCs w:val="18"/>
    </w:rPr>
  </w:style>
  <w:style w:type="paragraph" w:styleId="ListParagraph">
    <w:name w:val="List Paragraph"/>
    <w:basedOn w:val="Normal"/>
    <w:uiPriority w:val="34"/>
    <w:qFormat w:val="1"/>
    <w:rsid w:val="009E7457"/>
    <w:pPr>
      <w:spacing w:after="160" w:before="0"/>
      <w:ind w:left="720" w:hanging="0"/>
      <w:contextualSpacing w:val="1"/>
    </w:pPr>
    <w:rPr/>
  </w:style>
  <w:style w:type="paragraph" w:styleId="Paragraph" w:customStyle="1">
    <w:name w:val="paragraph"/>
    <w:basedOn w:val="Normal"/>
    <w:qFormat w:val="1"/>
    <w:rsid w:val="003833D5"/>
    <w:pPr>
      <w:spacing w:afterAutospacing="1"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A8060A"/>
    <w:pPr>
      <w:widowControl w:val="1"/>
      <w:suppressAutoHyphens w:val="1"/>
      <w:bidi w:val="0"/>
      <w:spacing w:after="0" w:before="0" w:line="240" w:lineRule="auto"/>
      <w:jc w:val="left"/>
    </w:pPr>
    <w:rPr>
      <w:rFonts w:ascii="Calibri" w:cs="Calibri" w:eastAsia="Calibri" w:hAnsi="Calibri"/>
      <w:color w:val="00000a"/>
      <w:sz w:val="22"/>
      <w:szCs w:val="22"/>
      <w:lang w:bidi="ar-SA" w:eastAsia="pt-BR" w:val="pt-BR"/>
    </w:rPr>
  </w:style>
  <w:style w:type="paragraph" w:styleId="LONormal" w:customStyle="1">
    <w:name w:val="LO-Normal"/>
    <w:qFormat w:val="1"/>
    <w:rsid w:val="005E4E8E"/>
    <w:pPr>
      <w:keepNext w:val="1"/>
      <w:widowControl w:val="0"/>
      <w:shd w:color="auto" w:fill="ffffff" w:val="clear"/>
      <w:suppressAutoHyphens w:val="1"/>
      <w:bidi w:val="0"/>
      <w:spacing w:after="0" w:before="0" w:line="240" w:lineRule="auto"/>
      <w:jc w:val="left"/>
      <w:textAlignment w:val="baseline"/>
    </w:pPr>
    <w:rPr>
      <w:rFonts w:ascii="Times New Roman" w:cs="Lohit Hindi" w:eastAsia="Droid Sans Fallback" w:hAnsi="Times New Roman"/>
      <w:color w:val="00000a"/>
      <w:sz w:val="24"/>
      <w:szCs w:val="24"/>
      <w:lang w:bidi="hi-IN" w:eastAsia="zh-CN" w:val="pt-BR"/>
    </w:rPr>
  </w:style>
  <w:style w:type="paragraph" w:styleId="Revision">
    <w:name w:val="Revision"/>
    <w:uiPriority w:val="99"/>
    <w:semiHidden w:val="1"/>
    <w:qFormat w:val="1"/>
    <w:rsid w:val="00D3315F"/>
    <w:pPr>
      <w:widowControl w:val="1"/>
      <w:suppressAutoHyphens w:val="1"/>
      <w:bidi w:val="0"/>
      <w:spacing w:after="0" w:before="0" w:line="240" w:lineRule="auto"/>
      <w:jc w:val="left"/>
    </w:pPr>
    <w:rPr>
      <w:rFonts w:ascii="Calibri" w:cs="Calibri" w:eastAsia="Calibri" w:hAnsi="Calibri"/>
      <w:color w:val="00000a"/>
      <w:sz w:val="22"/>
      <w:szCs w:val="22"/>
      <w:lang w:bidi="ar-SA" w:eastAsia="pt-BR" w:val="pt-BR"/>
    </w:rPr>
  </w:style>
  <w:style w:type="paragraph" w:styleId="Rodap">
    <w:name w:val="Footer"/>
    <w:basedOn w:val="Normal"/>
    <w:link w:val="RodapChar"/>
    <w:unhideWhenUsed w:val="1"/>
    <w:rsid w:val="00614319"/>
    <w:pPr>
      <w:tabs>
        <w:tab w:val="center" w:leader="none" w:pos="4252"/>
        <w:tab w:val="right" w:leader="none" w:pos="8504"/>
      </w:tabs>
      <w:spacing w:after="0" w:before="0" w:line="240" w:lineRule="auto"/>
    </w:pP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Default">
    <w:name w:val="Default"/>
    <w:qFormat w:val="1"/>
    <w:pPr>
      <w:widowControl w:val="1"/>
      <w:suppressAutoHyphens w:val="1"/>
      <w:bidi w:val="0"/>
      <w:spacing w:after="0" w:before="0"/>
      <w:jc w:val="left"/>
    </w:pPr>
    <w:rPr>
      <w:rFonts w:ascii="Times New Roman" w:cs="Calibri" w:eastAsia="Calibri" w:hAnsi="Times New Roman"/>
      <w:color w:val="000000"/>
      <w:sz w:val="24"/>
      <w:szCs w:val="22"/>
      <w:lang w:bidi="ar-SA" w:eastAsia="pt-BR" w:val="pt-BR"/>
    </w:rPr>
  </w:style>
  <w:style w:type="numbering" w:styleId="NoList" w:default="1">
    <w:name w:val="No List"/>
    <w:uiPriority w:val="99"/>
    <w:semiHidden w:val="1"/>
    <w:unhideWhenUsed w:val="1"/>
    <w:qFormat w:val="1"/>
  </w:style>
  <w:style w:type="table" w:styleId="Tabelanormal"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elacomgrade">
    <w:name w:val="Table Grid"/>
    <w:basedOn w:val="Tabelanormal"/>
    <w:uiPriority w:val="39"/>
    <w:rsid w:val="00AC102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33PREG4ZIDlhcDOosSmTW+8qRw==">CgMxLjA4AHIhMTVGWkVuLUlhdDN5MUt4bHFJYVFQdnJrSmpnNU5LSFFO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2023-03-10T17:01:00Z</dcterms:created>
  <dc:creator>Marcelia Moura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AuthorIds_UIVersion_1024">
    <vt:lpwstr>48</vt:lpwstr>
  </property>
  <property fmtid="{D5CDD505-2E9C-101B-9397-08002B2CF9AE}" pid="4" name="AuthorIds_UIVersion_512">
    <vt:lpwstr>44</vt:lpwstr>
  </property>
  <property fmtid="{D5CDD505-2E9C-101B-9397-08002B2CF9AE}" pid="5" name="ContentTypeId">
    <vt:lpwstr>0x01010012A2765E7DFD38469B2E626874CD0041</vt:lpwstr>
  </property>
</Properties>
</file>