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endnotes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  <w:drawing>
          <wp:inline distT="0" distB="0" distL="0" distR="0">
            <wp:extent cx="739140" cy="80772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>ADVOCACIA-GERAL DA UNIÃO</w:t>
      </w:r>
      <w:r>
        <w:rPr>
          <w:rFonts w:ascii="Times New Roman" w:hAnsi="Times New Roman"/>
          <w:color w:val="000000"/>
          <w:sz w:val="22"/>
          <w:szCs w:val="22"/>
        </w:rPr>
        <w:br/>
        <w:t>CONSULTORIA-GERAL DA UNIÃO</w:t>
        <w:br/>
        <w:t>CAMARA NACIONAL DE MODELOS DE LICITAÇÕES E CONTRATOS ADMINISTRATIVOS - CNMLC/DECOR/CGU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LISTA DE VERIFICAÇÃO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(Adesão a Sistema de Registro de Preços – “Carona” – Lei nº 8.666/93)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Style w:val="Tabelacomgrade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0"/>
      </w:tblGrid>
      <w:tr>
        <w:trPr/>
        <w:tc>
          <w:tcPr>
            <w:tcW w:w="10060" w:type="dxa"/>
            <w:tcBorders/>
            <w:shd w:color="auto" w:fill="FAFC9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bidi="ar-SA"/>
              </w:rPr>
              <w:t>Notas Explicativas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bidi="ar-SA"/>
              </w:rPr>
              <w:t xml:space="preserve">Saliente-se a conclusão da Nota 00148/2018/DECOR/CGU/AGU, aprovada pelo Consultor-Geral da União, segundo a qual: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bidi="ar-SA"/>
              </w:rPr>
              <w:t>a) No âmbito do SRP, as competências do parágrafo único do art. 38 da Lei 8.666/1993 e do art. 11, inciso VI, alínea “a”, da Lei Complementar nº 73/1993 são da exclusiva alçada da unidade consultiva que presta assessoramento jurídico ao órgão gerenciador do certame;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bidi="ar-SA"/>
              </w:rPr>
              <w:t xml:space="preserve">b) Para os órgãos participantes e não participantes do SRP é facultativa a remessa dos autos para exame de sua Consultoria Jurídica;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bidi="ar-SA"/>
              </w:rPr>
              <w:t>c) É recomendável que o órgão participante e o órgão não participante do SRP solicitem análise jurídica por parte da Consultoria que lhe presta assessoramento, ressaltando-se, não obstante, que esta não possui a competência posta no parágrafo único do art. 38 da Lei 8.666/1993 e no art. 11, inciso VI, alínea “a”, da Lei Complementar nº 73/1993, desta maneira, seu exame presta-se para análise da juridicidade do processo de contratação/adesão que tramita junto ao órgão público assessorado (participante ou não participante) e para dirimir eventual dúvida de ordem jurídica a ser clara e objetivamente exposta pelo consulente.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eastAsia="en-US" w:bidi="ar-SA"/>
              </w:rPr>
              <w:t>A coluna “Atende plenamente a exigência?” deverá ser preenchida apenas com as respostas pré-definidas no formulário, sendo: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78" w:hanging="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eastAsia="en-US" w:bidi="ar-SA"/>
              </w:rPr>
              <w:t>Sim: atende plenamente a exigência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78" w:hanging="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eastAsia="en-US" w:bidi="ar-SA"/>
              </w:rPr>
              <w:t>Não: não atende plenamente a exigência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878" w:hanging="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eastAsia="en-US" w:bidi="ar-SA"/>
              </w:rPr>
              <w:t>Não se aplica: a exigência não é feita para o caso analisado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bidi="ar-SA"/>
              </w:rPr>
              <w:t>Na utilização da presente lista deverão ser analisadas e verificadas as consequências para cada negativa, se pode ser suprida por justificativas ou enquadramentos específicos ou se deve haver complementação da instrução.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bidi="ar-SA"/>
              </w:rPr>
              <w:t>Além desta lista, é necessário verificar, a depender do caso, a lista de serviços ou a de compras para verificar questões atinentes à contratação em si.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bidi="ar-SA"/>
              </w:rPr>
              <w:t xml:space="preserve">Eventuais sugestões de alteração de texto desta lista poderão ser encaminhadas ao e-mail: </w:t>
            </w:r>
            <w:hyperlink r:id="rId3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2"/>
                  <w:szCs w:val="22"/>
                  <w:lang w:bidi="ar-SA"/>
                </w:rPr>
                <w:t>cgu.modeloscontratacao@agu.gov.br</w:t>
              </w:r>
            </w:hyperlink>
          </w:p>
        </w:tc>
      </w:tr>
    </w:tbl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W w:w="10090" w:type="dxa"/>
        <w:jc w:val="right"/>
        <w:tblInd w:w="0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0" w:noVBand="0" w:lastRow="0" w:firstColumn="0" w:lastColumn="0" w:noHBand="0" w:val="0000"/>
      </w:tblPr>
      <w:tblGrid>
        <w:gridCol w:w="6088"/>
        <w:gridCol w:w="2126"/>
        <w:gridCol w:w="1876"/>
      </w:tblGrid>
      <w:tr>
        <w:trPr/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FC9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ATOS ADMINISTRATIVOS E DOCUMENTOS A SEREM VERIFICADOS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FC9A" w:val="clea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eastAsia="Calibri" w:cs="Calibri" w:ascii="Calibri" w:hAnsi="Calibri"/>
                <w:lang w:eastAsia="en-US"/>
              </w:rPr>
              <w:t>Atende plenamente a exigência?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FC9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Indicação do local do processo em que foi atendida a exigência (doc. / fls. / SEI )</w:t>
            </w:r>
          </w:p>
        </w:tc>
      </w:tr>
      <w:tr>
        <w:trPr>
          <w:trHeight w:val="537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Houve abertura de processo administrativo devidamente autuado e numerado, quando processo físico, ou registrado quando processo eletrônico, nos termos da ON-AGU </w:t>
            </w:r>
            <w:r>
              <w:rPr>
                <w:rFonts w:cs="Calibri" w:ascii="Calibri" w:hAnsi="Calibri" w:asciiTheme="minorHAnsi" w:cstheme="minorHAnsi" w:hAnsiTheme="minorHAnsi"/>
              </w:rPr>
              <w:t>nº 2/2009?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2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FL. </w:t>
            </w:r>
          </w:p>
        </w:tc>
      </w:tr>
      <w:tr>
        <w:trPr>
          <w:trHeight w:val="233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O edital utilizado para o registro de preços admite a adesão à ata?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 xml:space="preserve">FL. </w:t>
            </w:r>
          </w:p>
        </w:tc>
      </w:tr>
      <w:tr>
        <w:trPr>
          <w:trHeight w:val="634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Há demonstração da compatibilidade do objeto demandado com aquele discriminado na ata?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3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 xml:space="preserve">FL. </w:t>
            </w:r>
          </w:p>
        </w:tc>
      </w:tr>
      <w:tr>
        <w:trPr>
          <w:trHeight w:val="1095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Há nos autos comprovação de que o preço registrado é vantajoso em relação aos praticados no mercado onde serão adquiridos os bens e serviços, mediante pesquisa de preços que não se restrinja a consultas às empresas do ramo?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4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 xml:space="preserve">FLS. </w:t>
            </w:r>
          </w:p>
        </w:tc>
      </w:tr>
      <w:tr>
        <w:trPr>
          <w:trHeight w:val="1758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 serviço ou bem registrado na Ata, decorre de licitação realizada pelo Sistema de Registro de Preços – SRP, promovida no âmbito da Administração Pública Federal direta, autárquica e fundacional, fundos especiais, empresas públicas, sociedades de economia mista e demais entidades controladas, direta ou indiretamente pela União?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5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FL.</w:t>
            </w:r>
          </w:p>
        </w:tc>
      </w:tr>
      <w:tr>
        <w:trPr>
          <w:trHeight w:val="828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Em se tratando de serviços de tecnologia da informação e comunicação, a ata de registro de preços é gerenciada pelo Ministério da Economia ou foi previamente aprovada por esse Ministério?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6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2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Não se aplica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855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2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Caso não tenha havido aprovação pelo Ministério da Economia, os serviços que serão contratados estão vinculados ao fornecimento de bens de tecnologia da informação e comunicação constantes da mesma ata?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7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2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Não se aplica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993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yellow"/>
              </w:rPr>
              <w:t>Tratando-se de contratação de tecnologia da informação e comunicação,</w:t>
            </w:r>
            <w:r>
              <w:rPr>
                <w:highlight w:val="yellow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highlight w:val="yellow"/>
              </w:rPr>
              <w:t>o órgão ou entidade interessada em aderir à Ata de Registro de Preços registrou no Estudo Técnico Preliminar o ganho de eficiência, a viabilidade e a economicidade para a administração pública federal da utilização da ata de registro de preços?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8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2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Não se aplica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71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 ata de registro de preços a que se pretende aderir se encontra válida e vigente?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9"/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FL.</w:t>
            </w:r>
          </w:p>
        </w:tc>
      </w:tr>
      <w:tr>
        <w:trPr>
          <w:trHeight w:val="355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Os itens a que se refere a adesão foram adjudicados por preço global de grupo de itens?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1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Não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FL.</w:t>
            </w:r>
          </w:p>
        </w:tc>
      </w:tr>
      <w:tr>
        <w:trPr>
          <w:trHeight w:val="663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22" w:hanging="0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Caso positivo, foi atestado que a contratação é da totalidade dos itens de grupo, respeitadas as proporções de quantitativos definidos no certame ou é de item isolado para o qual o preço unitário adjudicado ao vencedor seja o menor preço válido ofertado para o mesmo item na fase de lances?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0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1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Não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FL.</w:t>
            </w:r>
          </w:p>
        </w:tc>
      </w:tr>
      <w:tr>
        <w:trPr>
          <w:trHeight w:val="935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Consta no edital realizado para o registro de preços, o quantitativo reservado para as aquisições pelo órgão gerenciador, órgãos participantes e, também, pelos órgãos não participantes?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1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FL.</w:t>
            </w:r>
          </w:p>
        </w:tc>
      </w:tr>
      <w:tr>
        <w:trPr>
          <w:trHeight w:val="1503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Foram juntadas, no processo, cópias da ata de registro de preço, do edital da licitação, do termo de referência (ou projeto básico) e do termo de contrato (quando este existir) referentes à licitação realizada e ao objeto que se pretende aderir para verificação da validade da ata, limites para as contratações pelos caronas e certificação do objeto registrado e das condições para sua execução?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2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FLS.</w:t>
            </w:r>
          </w:p>
        </w:tc>
      </w:tr>
      <w:tr>
        <w:trPr>
          <w:trHeight w:val="720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Houve consulta ao órgão gerenciador da ata de registro de preços instruído com estudo que demonstre o ganho, a eficiência, viabilidade e a economicidade para a administração pública federal da utilização da ata de registro de preços, conforme estabelecido em ato do Secretário de Gestão do Ministério da Economia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3"/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4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2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Não se aplica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939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color w:val="FF0000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Consta aceitação do fornecedor beneficiário da ata de registro de preços, com manifestação de que não haverá prejuízo ao cumprimento das obrigações presentes e futuras decorrentes da ata, assumidas com o órgão gerenciador e órgãos participantes?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5"/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 xml:space="preserve">FL. </w:t>
            </w:r>
          </w:p>
        </w:tc>
      </w:tr>
      <w:tr>
        <w:trPr>
          <w:trHeight w:val="1209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Há termo de referência (ou projeto básico) que respeita as mesmas condições postas no termo de referência (ou projeto básico) da licitação e, ainda, devidamente aprovado pela autoridade competente?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6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FLS.</w:t>
            </w:r>
          </w:p>
        </w:tc>
      </w:tr>
      <w:tr>
        <w:trPr>
          <w:trHeight w:val="943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 aquisição ou contratação está sendo efetivada em até 90 (noventa) dias após a autorização do órgão gerenciador, observado o prazo de vigência da ata?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7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51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Existe autorização da autoridade competente para que a aquisição se dê por meio de adesão à Ata de Registro de Preços?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>FL.</w:t>
            </w:r>
          </w:p>
        </w:tc>
      </w:tr>
      <w:tr>
        <w:trPr>
          <w:trHeight w:val="394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Existe demonstração da existência de dotação orçamentária para cobrir a despesa com a contratação pretendida?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8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FL.</w:t>
            </w:r>
          </w:p>
        </w:tc>
      </w:tr>
      <w:tr>
        <w:trPr>
          <w:trHeight w:val="542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 fornecedor registrado na ata de registro de preços mantém as mesmas condições de habilitação exigidas no edital da licitação?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19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679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Foram consultados todos os sistemas de consulta abaixo e juntados aos autos os respectivos comprovantes?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a) SICAF;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b) Cadastro Nacional de Empresas Inidôneas e Suspensas - CEIS, mantido pela Controladoria-Geral da União (www.portaldatransparencia.gov.br/ceis);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c) Cadastro Nacional de Condenações Cíveis por Atos de Improbidade Administrativa, mantido pelo Conselho Nacional de Justiça (www.cnj.jus.br/improbidade_adm/consultar_requerido.php).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d) Lista de Inidôneos, mantida pelo Tribunal de Contas da União – TCU (https://contas.tcu.gov.br/ords/f?p=INABILITADO:INIDONEOS);</w:t>
            </w:r>
            <w:r>
              <w:rPr>
                <w:rStyle w:val="Ncoradanotadefim"/>
                <w:rFonts w:cs="Calibri" w:ascii="Calibri" w:hAnsi="Calibri" w:asciiTheme="minorHAnsi" w:cstheme="minorHAnsi" w:hAnsiTheme="minorHAnsi"/>
              </w:rPr>
              <w:endnoteReference w:id="20"/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 xml:space="preserve">FLS. </w:t>
            </w:r>
          </w:p>
        </w:tc>
      </w:tr>
      <w:tr>
        <w:trPr>
          <w:trHeight w:val="1266" w:hRule="atLeast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 minuta de termo de contrato, se houver, obedece as mesmas cláusulas do termo de contrato decorrente da licitação, ressalvando-se condições peculiares à administração aderente, tais como: qualificação, data de início da execução, local onde será entregue ou executado o objeto e quantidade?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alias w:val=""/>
                <w:dropDownList w:lastValue="0">
                  <w:listItem w:value="Sim" w:displayText="Sim"/>
                  <w:listItem w:value="Não" w:displayText="Não"/>
                  <w:listItem w:value="Não se aplica" w:displayText="Não se aplica"/>
                  <w:listItem w:value="Resposta" w:displayText="Resposta"/>
                </w:dropDownList>
              </w:sdtPr>
              <w:sdtContent>
                <w:r>
                  <w:rPr/>
                </w:r>
                <w:r>
                  <w:t>Sim</w:t>
                </w:r>
              </w:sdtContent>
            </w:sdt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 w:cstheme="minorHAnsi"/>
              </w:rPr>
              <w:t xml:space="preserve">FLS. </w:t>
            </w:r>
          </w:p>
        </w:tc>
      </w:tr>
    </w:tbl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Ricardo Freire de Moraes</w:t>
      </w:r>
    </w:p>
    <w:p>
      <w:pPr>
        <w:pStyle w:val="Normal"/>
        <w:spacing w:before="0" w:after="0"/>
        <w:jc w:val="center"/>
        <w:rPr/>
      </w:pPr>
      <w:r>
        <w:rPr>
          <w:rFonts w:cs="Calibri" w:ascii="Calibri" w:hAnsi="Calibri" w:asciiTheme="minorHAnsi" w:cstheme="minorHAnsi" w:hAnsiTheme="minorHAnsi"/>
        </w:rPr>
        <w:t xml:space="preserve">Coordenação de Planejamento, Administração e Contratos </w:t>
      </w:r>
    </w:p>
    <w:p>
      <w:pPr>
        <w:pStyle w:val="Normal"/>
        <w:spacing w:before="0" w:after="0"/>
        <w:jc w:val="center"/>
        <w:rPr/>
      </w:pPr>
      <w:r>
        <w:rPr>
          <w:rFonts w:cs="Calibri" w:ascii="Calibri" w:hAnsi="Calibri" w:asciiTheme="minorHAnsi" w:cstheme="minorHAnsi" w:hAnsiTheme="minorHAnsi"/>
        </w:rPr>
        <w:t>Campus Serra Talhada | IFSertãoPE</w:t>
      </w:r>
    </w:p>
    <w:sectPr>
      <w:footerReference w:type="default" r:id="rId4"/>
      <w:endnotePr>
        <w:numFmt w:val="decimal"/>
      </w:endnotePr>
      <w:type w:val="nextPage"/>
      <w:pgSz w:w="11906" w:h="16838"/>
      <w:pgMar w:left="1134" w:right="720" w:header="0" w:top="720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Dispõe a ON-AGU 2/2009: “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encerramento.”.</w:t>
      </w:r>
    </w:p>
  </w:endnote>
  <w:endnote w:id="3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3º, I da Lei nº 10.520/02, e art. 2º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, caput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e parágrafo único, VII, da Lei nº 9.784/99 e Acórdão nº 1823/2017 – Plenário.</w:t>
      </w:r>
    </w:p>
  </w:endnote>
  <w:endnote w:id="4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 SEGES/MP nº 73/2020, Acórdão 8340/2018 – 2ª Câmara e nº 420/2018 – Plenário.</w:t>
      </w:r>
    </w:p>
  </w:endnote>
  <w:endnote w:id="5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arts. 1º, e 22, § 8º, do Decreto nº 7.892/13.</w:t>
      </w:r>
    </w:p>
  </w:endnote>
  <w:endnote w:id="6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22, §10, do Decreto nº 7.892/2013.</w:t>
      </w:r>
    </w:p>
  </w:endnote>
  <w:endnote w:id="7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22, §11, do Decreto 7892/2013.</w:t>
      </w:r>
    </w:p>
  </w:endnote>
  <w:endnote w:id="8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9º, §4º, da IN SGD/ME nº 1, 2019</w:t>
      </w:r>
      <w:r>
        <w:rPr>
          <w:rFonts w:cs="Calibri" w:ascii="Calibri" w:hAnsi="Calibri" w:asciiTheme="minorHAnsi" w:cstheme="minorHAnsi" w:hAnsiTheme="minorHAnsi"/>
          <w:sz w:val="22"/>
          <w:szCs w:val="22"/>
          <w:highlight w:val="yellow"/>
        </w:rPr>
        <w:t>, com redação dada pela IN SGD/ME nº 31, de 2021.</w:t>
      </w:r>
    </w:p>
  </w:endnote>
  <w:endnote w:id="9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22, §6º, do Decreto nº 7.892/2013.</w:t>
      </w:r>
    </w:p>
  </w:endnote>
  <w:endnote w:id="10">
    <w:p>
      <w:pPr>
        <w:pStyle w:val="Normal"/>
        <w:widowControl w:val="false"/>
        <w:spacing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Atentar para a seguinte orientação da Secretaria de Gestão:</w:t>
      </w:r>
    </w:p>
    <w:p>
      <w:pPr>
        <w:pStyle w:val="Normal"/>
        <w:widowControl w:val="false"/>
        <w:spacing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Secretaria de Gestão do Ministério do Planejamento, Desenvolvimento e Gestão (SEGES/MP), em atenção aos Acórdãos 2.977/2012-TCU-Plenário, 2.695/2013-TCU-Plenário, 343/2014-TCU-Plenário, 4.205/2014-TCU-1ª Câmara, 757/2015-TCU-Plenário, 588/2016-TCU-Plenário, 2.901/2016-TCU-Plenário e 3.081/2016-TCU-Plenário orienta os órgãos e entidades integrantes do Sistema de Serviços Gerais (Sisg) que:</w:t>
      </w:r>
    </w:p>
    <w:p>
      <w:pPr>
        <w:pStyle w:val="Normal"/>
        <w:widowControl w:val="false"/>
        <w:spacing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No âmbito das licitações realizadas sob a modelagem de aquisição por preço global de grupo de itens, somente será admitida as seguintes hipóteses:</w:t>
      </w:r>
    </w:p>
    <w:p>
      <w:pPr>
        <w:pStyle w:val="Normal"/>
        <w:widowControl w:val="false"/>
        <w:spacing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a) aquisição da totalidade dos itens de grupo, respeitadas as proporções de quantitativos definidos no certame; ou</w:t>
      </w:r>
    </w:p>
    <w:p>
      <w:pPr>
        <w:pStyle w:val="Normal"/>
        <w:widowControl w:val="false"/>
        <w:spacing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b) aquisição de item isolado para o qual o preço unitário adjudicado ao vencedor seja o menor preço válido ofertado para o mesmo item na fase de lances.</w:t>
      </w:r>
    </w:p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Constitui irregularidade a aquisição (emissão de empenho) de item de grupo adjudicado por preço global, de forma isolada, quando o preço unitário adjudicado ao vencedor do lote não for o menor lance válido ofertado na disputa relativo ao item, salvo quando, justificadamente, ficar demonstrado que é inexequível ou inviável, dentro do modelo de execução do contrato, a demanda proporcional ou total de todos os itens do respectivo grupo.</w:t>
      </w:r>
    </w:p>
  </w:endnote>
  <w:endnote w:id="11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9º, II e III, do Decreto nº 7.892/13.</w:t>
      </w:r>
    </w:p>
  </w:endnote>
  <w:endnote w:id="12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arts. 9º, III, e 22, §§ 3º e 4º, do Decreto nº 7.892/13.</w:t>
      </w:r>
    </w:p>
  </w:endnote>
  <w:endnote w:id="13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arts. 9º, III, e 22, §§ 3º e 4º, do Decreto nº 7.892/13.</w:t>
      </w:r>
    </w:p>
  </w:endnote>
  <w:endnote w:id="14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Até o momento da última atualização desta Lista </w:t>
      </w:r>
      <w:r>
        <w:rPr>
          <w:rFonts w:cs="Calibri" w:ascii="Calibri" w:hAnsi="Calibri" w:asciiTheme="minorHAnsi" w:cstheme="minorHAnsi" w:hAnsiTheme="minorHAnsi"/>
          <w:sz w:val="22"/>
          <w:szCs w:val="22"/>
          <w:highlight w:val="yellow"/>
        </w:rPr>
        <w:t>(no rodapé deste documento),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houve a edição do ato supramencionado, não sendo exigível ainda o estudo em questão.</w:t>
      </w:r>
    </w:p>
  </w:endnote>
  <w:endnote w:id="15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22, §2º, do Decreto nº 7.892/13.</w:t>
      </w:r>
    </w:p>
  </w:endnote>
  <w:endnote w:id="16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14, II do Decreto nº 10.024/19 ou art. 7º, § 2º, I da Lei nº 8.666/93.</w:t>
      </w:r>
    </w:p>
  </w:endnote>
  <w:endnote w:id="17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22, §6°, do Decreto nº 7.892/13.</w:t>
      </w:r>
    </w:p>
  </w:endnote>
  <w:endnote w:id="18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60, Lei 4.320/64.</w:t>
      </w:r>
    </w:p>
  </w:endnote>
  <w:endnote w:id="19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55, XIII, da Lei nº 8.666/93.</w:t>
      </w:r>
    </w:p>
  </w:endnote>
  <w:endnote w:id="20">
    <w:p>
      <w:pPr>
        <w:pStyle w:val="Notadefim"/>
        <w:widowControl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Caracteresdenotadefim"/>
        </w:rPr>
        <w:endnoteRef/>
      </w:r>
      <w:r>
        <w:rPr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Para a consulta de licitantes pessoa jurídica poderá haver a substituição das consultas das alíneas “b”, “c” e “d” acima pela Consulta Consolidada de Pessoa Jurídica do TCU (</w:t>
      </w:r>
      <w:hyperlink r:id="rId1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https://certidoes-apf.apps.tcu.gov.br/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).</w:t>
      </w:r>
    </w:p>
    <w:p>
      <w:pPr>
        <w:pStyle w:val="Notadefim"/>
        <w:widowControl w:val="false"/>
        <w:rPr>
          <w:rFonts w:ascii="Calibri" w:hAnsi="Calibri" w:cs="Calibri" w:asciiTheme="minorHAnsi" w:cstheme="minorHAnsi" w:hAnsiTheme="minorHAnsi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Adesões a Registros de Preços (Carona)</w:t>
    </w:r>
  </w:p>
  <w:p>
    <w:pPr>
      <w:pStyle w:val="Rodap"/>
      <w:rPr/>
    </w:pPr>
    <w:r>
      <w:rPr>
        <w:sz w:val="15"/>
        <w:szCs w:val="15"/>
      </w:rPr>
      <w:t>Atualização: Março/2022</w:t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4172"/>
    <w:pPr>
      <w:widowControl/>
      <w:suppressAutoHyphens w:val="true"/>
      <w:bidi w:val="0"/>
      <w:spacing w:before="120" w:after="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sid w:val="003350cd"/>
    <w:rPr>
      <w:color w:val="0000FF"/>
      <w:u w:val="single"/>
    </w:rPr>
  </w:style>
  <w:style w:type="character" w:styleId="Nfase">
    <w:name w:val="Ênfase"/>
    <w:basedOn w:val="DefaultParagraphFont"/>
    <w:uiPriority w:val="20"/>
    <w:qFormat/>
    <w:rsid w:val="00c7298a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106c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b106c0"/>
    <w:rPr>
      <w:rFonts w:ascii="Arial" w:hAnsi="Arial" w:eastAsia="Times New Roman"/>
      <w:lang w:val="pt-BR"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106c0"/>
    <w:rPr>
      <w:rFonts w:ascii="Arial" w:hAnsi="Arial" w:eastAsia="Times New Roman"/>
      <w:b/>
      <w:bCs/>
      <w:lang w:val="pt-BR"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106c0"/>
    <w:rPr>
      <w:rFonts w:ascii="Segoe UI" w:hAnsi="Segoe UI" w:eastAsia="Times New Roman" w:cs="Segoe UI"/>
      <w:sz w:val="18"/>
      <w:szCs w:val="18"/>
      <w:lang w:val="pt-BR"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b0711"/>
    <w:rPr>
      <w:rFonts w:ascii="Arial" w:hAnsi="Arial" w:eastAsia="Times New Roman"/>
      <w:sz w:val="24"/>
      <w:szCs w:val="24"/>
      <w:lang w:val="pt-BR" w:eastAsia="pt-BR"/>
    </w:rPr>
  </w:style>
  <w:style w:type="character" w:styleId="RodapChar" w:customStyle="1">
    <w:name w:val="Rodapé Char"/>
    <w:basedOn w:val="DefaultParagraphFont"/>
    <w:link w:val="Rodap"/>
    <w:qFormat/>
    <w:rsid w:val="00fb0711"/>
    <w:rPr>
      <w:rFonts w:ascii="Arial" w:hAnsi="Arial" w:eastAsia="Times New Roman"/>
      <w:sz w:val="24"/>
      <w:szCs w:val="24"/>
      <w:lang w:val="pt-BR" w:eastAsia="pt-BR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4a13b5"/>
    <w:rPr>
      <w:color w:val="605E5C"/>
      <w:shd w:fill="E1DFDD" w:val="clear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d251e4"/>
    <w:rPr>
      <w:rFonts w:ascii="Arial" w:hAnsi="Arial" w:eastAsia="Times New Roman"/>
      <w:lang w:val="pt-BR" w:eastAsia="pt-BR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251e4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9176fc"/>
    <w:rPr>
      <w:rFonts w:ascii="Arial" w:hAnsi="Arial" w:eastAsia="Times New Roman"/>
      <w:lang w:val="pt-BR"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176fc"/>
    <w:rPr>
      <w:vertAlign w:val="superscript"/>
    </w:rPr>
  </w:style>
  <w:style w:type="character" w:styleId="PlaceholderText">
    <w:name w:val="Placeholder Text"/>
    <w:basedOn w:val="DefaultParagraphFont"/>
    <w:uiPriority w:val="67"/>
    <w:semiHidden/>
    <w:qFormat/>
    <w:rsid w:val="00c3631a"/>
    <w:rPr>
      <w:color w:val="808080"/>
    </w:rPr>
  </w:style>
  <w:style w:type="character" w:styleId="Caracteresdenotadefim">
    <w:name w:val="Caracteres de nota de fim"/>
    <w:qFormat/>
    <w:rPr/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86f2f"/>
    <w:pPr>
      <w:spacing w:beforeAutospacing="1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7905"/>
    <w:pPr>
      <w:spacing w:before="0" w:after="0"/>
      <w:ind w:left="720" w:hanging="0"/>
      <w:jc w:val="left"/>
    </w:pPr>
    <w:rPr>
      <w:rFonts w:ascii="Calibri" w:hAnsi="Calibri" w:eastAsia="Calibri" w:cs="Calibri" w:eastAsia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106c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106c0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106c0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b0711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Footer"/>
    <w:basedOn w:val="Normal"/>
    <w:link w:val="RodapChar"/>
    <w:unhideWhenUsed/>
    <w:rsid w:val="00fb0711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Revision">
    <w:name w:val="Revision"/>
    <w:uiPriority w:val="71"/>
    <w:semiHidden/>
    <w:qFormat/>
    <w:rsid w:val="00f25565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d251e4"/>
    <w:pPr>
      <w:spacing w:before="0" w:after="0"/>
    </w:pPr>
    <w:rPr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9176fc"/>
    <w:pPr>
      <w:spacing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39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gu.modeloscontratacao@agu.gov.br" TargetMode="External"/><Relationship Id="rId4" Type="http://schemas.openxmlformats.org/officeDocument/2006/relationships/footer" Target="footer1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s://certidoes-apf.apps.tcu.gov.br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E3DBC765E41C4A287356638830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8317D-6BD7-4291-83A1-EA503282A32C}"/>
      </w:docPartPr>
      <w:docPartBody>
        <w:p w:rsidR="00AD2AD3" w:rsidRDefault="00DD22B7" w:rsidP="00DD22B7">
          <w:pPr>
            <w:pStyle w:val="68AE3DBC765E41C4A287356638830B92"/>
          </w:pPr>
          <w:r>
            <w:rPr>
              <w:rFonts w:asciiTheme="minorHAnsi" w:hAnsiTheme="minorHAnsi" w:cstheme="minorHAnsi"/>
            </w:rPr>
            <w:t>Resposta</w:t>
          </w:r>
        </w:p>
      </w:docPartBody>
    </w:docPart>
    <w:docPart>
      <w:docPartPr>
        <w:name w:val="652AE3380BB649F0A39A24B5AB928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9F142-CAFD-4B1C-9288-F53A1D855360}"/>
      </w:docPartPr>
      <w:docPartBody>
        <w:p w:rsidR="00AD2AD3" w:rsidRDefault="00DD22B7" w:rsidP="00DD22B7">
          <w:pPr>
            <w:pStyle w:val="652AE3380BB649F0A39A24B5AB928034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03205942B60548B7B6A41217A60B0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AFD9F-7E71-45AF-991E-8E6ECA4A4986}"/>
      </w:docPartPr>
      <w:docPartBody>
        <w:p w:rsidR="00AD2AD3" w:rsidRDefault="00DD22B7" w:rsidP="00DD22B7">
          <w:pPr>
            <w:pStyle w:val="03205942B60548B7B6A41217A60B0495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C1A4A73CDD5A4798ACF402C90F3FF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A62BB-EB5C-4BFF-8853-ECE12098CF8B}"/>
      </w:docPartPr>
      <w:docPartBody>
        <w:p w:rsidR="00AD2AD3" w:rsidRDefault="00DD22B7" w:rsidP="00DD22B7">
          <w:pPr>
            <w:pStyle w:val="C1A4A73CDD5A4798ACF402C90F3FFFB2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DAF530E510C24530A4F2DDEBE0E94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07834-9574-4FCA-A8C6-50BA1D63836D}"/>
      </w:docPartPr>
      <w:docPartBody>
        <w:p w:rsidR="00AD2AD3" w:rsidRDefault="00DD22B7" w:rsidP="00DD22B7">
          <w:pPr>
            <w:pStyle w:val="DAF530E510C24530A4F2DDEBE0E94F17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CA791BE4124B4631B951D2D4D04FB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512E6-D40B-4B88-BE7C-5F181DAF6CE6}"/>
      </w:docPartPr>
      <w:docPartBody>
        <w:p w:rsidR="00AD2AD3" w:rsidRDefault="00DD22B7" w:rsidP="00DD22B7">
          <w:pPr>
            <w:pStyle w:val="CA791BE4124B4631B951D2D4D04FB522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574AEE83228E44298A6C18A3E8C7B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71046-D947-44E8-9D5F-1234019BDA63}"/>
      </w:docPartPr>
      <w:docPartBody>
        <w:p w:rsidR="00AD2AD3" w:rsidRDefault="00DD22B7" w:rsidP="00DD22B7">
          <w:pPr>
            <w:pStyle w:val="574AEE83228E44298A6C18A3E8C7B12C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B1D4523AD69145EBBC4100CC121FED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8EEC7-02C9-4EEF-B45F-7A7141AD9587}"/>
      </w:docPartPr>
      <w:docPartBody>
        <w:p w:rsidR="00AD2AD3" w:rsidRDefault="00DD22B7" w:rsidP="00DD22B7">
          <w:pPr>
            <w:pStyle w:val="B1D4523AD69145EBBC4100CC121FEDD8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1EE39CAA5B9B47F294F28E71D3B21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BB9745-98D8-4A98-A617-78598FE5507E}"/>
      </w:docPartPr>
      <w:docPartBody>
        <w:p w:rsidR="00AD2AD3" w:rsidRDefault="00DD22B7" w:rsidP="00DD22B7">
          <w:pPr>
            <w:pStyle w:val="1EE39CAA5B9B47F294F28E71D3B2140F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21421BD9C9CB432E8B198206F20DD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F0DAB-2FEE-4EED-B4C6-99EA856D6988}"/>
      </w:docPartPr>
      <w:docPartBody>
        <w:p w:rsidR="00AD2AD3" w:rsidRDefault="00DD22B7" w:rsidP="00DD22B7">
          <w:pPr>
            <w:pStyle w:val="21421BD9C9CB432E8B198206F20DD4E0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306CFA1043234BC3BB1590559AB90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3AAE4-F784-406D-AB0C-9B5C7F1AEB9C}"/>
      </w:docPartPr>
      <w:docPartBody>
        <w:p w:rsidR="00AD2AD3" w:rsidRDefault="00DD22B7" w:rsidP="00DD22B7">
          <w:pPr>
            <w:pStyle w:val="306CFA1043234BC3BB1590559AB90887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B055F859CE0F4F63959527E9186B2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8C66C-56CD-4D02-BEFB-ABCCE64789A6}"/>
      </w:docPartPr>
      <w:docPartBody>
        <w:p w:rsidR="00AD2AD3" w:rsidRDefault="00DD22B7" w:rsidP="00DD22B7">
          <w:pPr>
            <w:pStyle w:val="B055F859CE0F4F63959527E9186B2141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1B1517BDCCF84A3EB46A7CFF730AB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4E49D-C425-4A69-8A83-DB4943DC0596}"/>
      </w:docPartPr>
      <w:docPartBody>
        <w:p w:rsidR="00AD2AD3" w:rsidRDefault="00DD22B7" w:rsidP="00DD22B7">
          <w:pPr>
            <w:pStyle w:val="1B1517BDCCF84A3EB46A7CFF730AB0F1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2B74F9921F2F48E4B412C78C66025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70B9D-979B-417F-9A6E-95BFE4F543B2}"/>
      </w:docPartPr>
      <w:docPartBody>
        <w:p w:rsidR="00AD2AD3" w:rsidRDefault="00DD22B7" w:rsidP="00DD22B7">
          <w:pPr>
            <w:pStyle w:val="2B74F9921F2F48E4B412C78C66025430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ECAB991B026A482E91B3184AFE6DA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38C72-2A3A-48FC-A5F4-383C2C91E8C5}"/>
      </w:docPartPr>
      <w:docPartBody>
        <w:p w:rsidR="00AD2AD3" w:rsidRDefault="00DD22B7" w:rsidP="00DD22B7">
          <w:pPr>
            <w:pStyle w:val="ECAB991B026A482E91B3184AFE6DAC01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6A80E9C93CEB40FAA7C6181BB26B5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87CCF-DCE8-4BA3-8438-11CF53C7E6AB}"/>
      </w:docPartPr>
      <w:docPartBody>
        <w:p w:rsidR="00AD2AD3" w:rsidRDefault="00DD22B7" w:rsidP="00DD22B7">
          <w:pPr>
            <w:pStyle w:val="6A80E9C93CEB40FAA7C6181BB26B55AA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DFAA4B45B095495EACCF2A6557CFF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EF257-BFB7-45CC-AE4C-BB4BDF67CA7C}"/>
      </w:docPartPr>
      <w:docPartBody>
        <w:p w:rsidR="00AD2AD3" w:rsidRDefault="00DD22B7" w:rsidP="00DD22B7">
          <w:pPr>
            <w:pStyle w:val="DFAA4B45B095495EACCF2A6557CFF74F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87DD9372D70744EBBD9572671BEA9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3A81A-63CF-4465-82EE-06E258B8E550}"/>
      </w:docPartPr>
      <w:docPartBody>
        <w:p w:rsidR="00AD2AD3" w:rsidRDefault="00DD22B7" w:rsidP="00DD22B7">
          <w:pPr>
            <w:pStyle w:val="87DD9372D70744EBBD9572671BEA959F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CBE97B4323E641DB8DCF3F093F3C4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85D66-ABD2-49D8-97CE-5EE1EEE09001}"/>
      </w:docPartPr>
      <w:docPartBody>
        <w:p w:rsidR="00AD2AD3" w:rsidRDefault="00DD22B7" w:rsidP="00DD22B7">
          <w:pPr>
            <w:pStyle w:val="CBE97B4323E641DB8DCF3F093F3C4087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30C5A72CAFDC49CD81DDCBDB550100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FD719-09AA-4A01-A092-A3305E6669E6}"/>
      </w:docPartPr>
      <w:docPartBody>
        <w:p w:rsidR="00AD2AD3" w:rsidRDefault="00DD22B7" w:rsidP="00DD22B7">
          <w:pPr>
            <w:pStyle w:val="30C5A72CAFDC49CD81DDCBDB550100BA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2B32FE4BF42740AD86F29581991BC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91DDF-726B-4261-BF45-BCE91C3F1EA8}"/>
      </w:docPartPr>
      <w:docPartBody>
        <w:p w:rsidR="00AD2AD3" w:rsidRDefault="00DD22B7" w:rsidP="00DD22B7">
          <w:pPr>
            <w:pStyle w:val="2B32FE4BF42740AD86F29581991BCA2D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C93DEEC6B0C04247A44F612AC8CA9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F2F0EE-5942-42C8-9113-8D1BC7DB011C}"/>
      </w:docPartPr>
      <w:docPartBody>
        <w:p w:rsidR="00AD2AD3" w:rsidRDefault="00DD22B7" w:rsidP="00DD22B7">
          <w:pPr>
            <w:pStyle w:val="C93DEEC6B0C04247A44F612AC8CA9668"/>
          </w:pPr>
          <w:r>
            <w:rPr>
              <w:rFonts w:cstheme="minorHAnsi"/>
            </w:rPr>
            <w:t>Resposta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B7"/>
    <w:rsid w:val="008A132D"/>
    <w:rsid w:val="00AD2AD3"/>
    <w:rsid w:val="00C20EB3"/>
    <w:rsid w:val="00D8354C"/>
    <w:rsid w:val="00D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67"/>
    <w:semiHidden/>
    <w:rsid w:val="00DD22B7"/>
    <w:rPr>
      <w:color w:val="808080"/>
    </w:rPr>
  </w:style>
  <w:style w:type="paragraph" w:customStyle="1" w:styleId="68AE3DBC765E41C4A287356638830B92">
    <w:name w:val="68AE3DBC765E41C4A287356638830B92"/>
    <w:rsid w:val="00DD22B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52AE3380BB649F0A39A24B5AB928034">
    <w:name w:val="652AE3380BB649F0A39A24B5AB928034"/>
    <w:rsid w:val="00DD22B7"/>
  </w:style>
  <w:style w:type="paragraph" w:customStyle="1" w:styleId="03205942B60548B7B6A41217A60B0495">
    <w:name w:val="03205942B60548B7B6A41217A60B0495"/>
    <w:rsid w:val="00DD22B7"/>
  </w:style>
  <w:style w:type="paragraph" w:customStyle="1" w:styleId="C1A4A73CDD5A4798ACF402C90F3FFFB2">
    <w:name w:val="C1A4A73CDD5A4798ACF402C90F3FFFB2"/>
    <w:rsid w:val="00DD22B7"/>
  </w:style>
  <w:style w:type="paragraph" w:customStyle="1" w:styleId="DAF530E510C24530A4F2DDEBE0E94F17">
    <w:name w:val="DAF530E510C24530A4F2DDEBE0E94F17"/>
    <w:rsid w:val="00DD22B7"/>
  </w:style>
  <w:style w:type="paragraph" w:customStyle="1" w:styleId="CA791BE4124B4631B951D2D4D04FB522">
    <w:name w:val="CA791BE4124B4631B951D2D4D04FB522"/>
    <w:rsid w:val="00DD22B7"/>
  </w:style>
  <w:style w:type="paragraph" w:customStyle="1" w:styleId="574AEE83228E44298A6C18A3E8C7B12C">
    <w:name w:val="574AEE83228E44298A6C18A3E8C7B12C"/>
    <w:rsid w:val="00DD22B7"/>
  </w:style>
  <w:style w:type="paragraph" w:customStyle="1" w:styleId="B1D4523AD69145EBBC4100CC121FEDD8">
    <w:name w:val="B1D4523AD69145EBBC4100CC121FEDD8"/>
    <w:rsid w:val="00DD22B7"/>
  </w:style>
  <w:style w:type="paragraph" w:customStyle="1" w:styleId="1EE39CAA5B9B47F294F28E71D3B2140F">
    <w:name w:val="1EE39CAA5B9B47F294F28E71D3B2140F"/>
    <w:rsid w:val="00DD22B7"/>
  </w:style>
  <w:style w:type="paragraph" w:customStyle="1" w:styleId="21421BD9C9CB432E8B198206F20DD4E0">
    <w:name w:val="21421BD9C9CB432E8B198206F20DD4E0"/>
    <w:rsid w:val="00DD22B7"/>
  </w:style>
  <w:style w:type="paragraph" w:customStyle="1" w:styleId="306CFA1043234BC3BB1590559AB90887">
    <w:name w:val="306CFA1043234BC3BB1590559AB90887"/>
    <w:rsid w:val="00DD22B7"/>
  </w:style>
  <w:style w:type="paragraph" w:customStyle="1" w:styleId="B055F859CE0F4F63959527E9186B2141">
    <w:name w:val="B055F859CE0F4F63959527E9186B2141"/>
    <w:rsid w:val="00DD22B7"/>
  </w:style>
  <w:style w:type="paragraph" w:customStyle="1" w:styleId="1B1517BDCCF84A3EB46A7CFF730AB0F1">
    <w:name w:val="1B1517BDCCF84A3EB46A7CFF730AB0F1"/>
    <w:rsid w:val="00DD22B7"/>
  </w:style>
  <w:style w:type="paragraph" w:customStyle="1" w:styleId="2B74F9921F2F48E4B412C78C66025430">
    <w:name w:val="2B74F9921F2F48E4B412C78C66025430"/>
    <w:rsid w:val="00DD22B7"/>
  </w:style>
  <w:style w:type="paragraph" w:customStyle="1" w:styleId="ECAB991B026A482E91B3184AFE6DAC01">
    <w:name w:val="ECAB991B026A482E91B3184AFE6DAC01"/>
    <w:rsid w:val="00DD22B7"/>
  </w:style>
  <w:style w:type="paragraph" w:customStyle="1" w:styleId="6A80E9C93CEB40FAA7C6181BB26B55AA">
    <w:name w:val="6A80E9C93CEB40FAA7C6181BB26B55AA"/>
    <w:rsid w:val="00DD22B7"/>
  </w:style>
  <w:style w:type="paragraph" w:customStyle="1" w:styleId="DFAA4B45B095495EACCF2A6557CFF74F">
    <w:name w:val="DFAA4B45B095495EACCF2A6557CFF74F"/>
    <w:rsid w:val="00DD22B7"/>
  </w:style>
  <w:style w:type="paragraph" w:customStyle="1" w:styleId="87DD9372D70744EBBD9572671BEA959F">
    <w:name w:val="87DD9372D70744EBBD9572671BEA959F"/>
    <w:rsid w:val="00DD22B7"/>
  </w:style>
  <w:style w:type="paragraph" w:customStyle="1" w:styleId="CBE97B4323E641DB8DCF3F093F3C4087">
    <w:name w:val="CBE97B4323E641DB8DCF3F093F3C4087"/>
    <w:rsid w:val="00DD22B7"/>
  </w:style>
  <w:style w:type="paragraph" w:customStyle="1" w:styleId="30C5A72CAFDC49CD81DDCBDB550100BA">
    <w:name w:val="30C5A72CAFDC49CD81DDCBDB550100BA"/>
    <w:rsid w:val="00DD22B7"/>
  </w:style>
  <w:style w:type="paragraph" w:customStyle="1" w:styleId="2B32FE4BF42740AD86F29581991BCA2D">
    <w:name w:val="2B32FE4BF42740AD86F29581991BCA2D"/>
    <w:rsid w:val="00DD22B7"/>
  </w:style>
  <w:style w:type="paragraph" w:customStyle="1" w:styleId="C93DEEC6B0C04247A44F612AC8CA9668">
    <w:name w:val="C93DEEC6B0C04247A44F612AC8CA9668"/>
    <w:rsid w:val="00DD2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5" ma:contentTypeDescription="Crie um novo documento." ma:contentTypeScope="" ma:versionID="125bc996b5b233dbb6b5183f9e519957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ea0be047ad6066f46553e26f6fcc42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4932E-E215-49D9-9D28-D346DE33E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60080-68E2-4423-A84E-F8800868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29B74-64F8-478A-B55B-354710581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04AFC-A880-4C38-815E-E82A4DE749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LibreOffice/7.0.4.2$Windows_X86_64 LibreOffice_project/dcf040e67528d9187c66b2379df5ea4407429775</Application>
  <AppVersion>15.0000</AppVersion>
  <Pages>5</Pages>
  <Words>1597</Words>
  <Characters>8818</Characters>
  <CharactersWithSpaces>10348</CharactersWithSpaces>
  <Paragraphs>113</Paragraphs>
  <Company>AGU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2020-05-22T18:34:00Z</dcterms:created>
  <dc:creator>PC</dc:creator>
  <dc:description/>
  <dc:language>pt-BR</dc:language>
  <cp:lastModifiedBy/>
  <cp:lastPrinted>2019-08-22T14:02:00Z</cp:lastPrinted>
  <dcterms:modified xsi:type="dcterms:W3CDTF">2023-09-12T16:45:42Z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