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0ED2E" w14:textId="77777777" w:rsidR="00012324" w:rsidRDefault="00012324">
      <w:pPr>
        <w:jc w:val="center"/>
        <w:rPr>
          <w:rFonts w:ascii="Times New Roman" w:eastAsia="Times New Roman" w:hAnsi="Times New Roman" w:cs="Times New Roman"/>
        </w:rPr>
      </w:pPr>
    </w:p>
    <w:p w14:paraId="4707DC92" w14:textId="77777777" w:rsidR="00012324" w:rsidRDefault="00012324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9638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012324" w14:paraId="7BEA96F0" w14:textId="77777777">
        <w:trPr>
          <w:trHeight w:val="4632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A53C" w14:textId="77777777" w:rsidR="00012324" w:rsidRDefault="00717AE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ESTUDOS TÉCNICOS PRELIMINARES</w:t>
            </w:r>
          </w:p>
          <w:p w14:paraId="54C09A41" w14:textId="77777777" w:rsidR="00012324" w:rsidRDefault="00717AE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(ÓRGÃO PARTICIPANTE)</w:t>
            </w:r>
          </w:p>
        </w:tc>
      </w:tr>
      <w:tr w:rsidR="00012324" w14:paraId="2383916C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6188" w14:textId="77777777" w:rsidR="00012324" w:rsidRDefault="00717A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CAMPUS PETROLINA</w:t>
            </w:r>
          </w:p>
        </w:tc>
      </w:tr>
      <w:tr w:rsidR="00012324" w14:paraId="76435478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AF2F" w14:textId="77777777" w:rsidR="00012324" w:rsidRDefault="00717AE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presente documento visa analisar a viabilidade da presente contratação, bem como levantar os elementos essenciais que servirão para compor o Termo de Referência ou Projeto Básico, de forma a melhor atender às necessidades da Administração.</w:t>
            </w:r>
          </w:p>
        </w:tc>
      </w:tr>
      <w:tr w:rsidR="00012324" w14:paraId="49D1CF64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C7ADB" w14:textId="77777777" w:rsidR="00012324" w:rsidRDefault="00717AE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CONTRATAÇÃO DE EMPRESA ESPECIALIZADA SERVIÇO DE MANUTENÇÃO DE SISTEMAS DE REFRIGERAÇÃO E CONDICIONAMENTO DE AR PARA O INSTITUTO FEDERAL DO SERTÃO PERNAMBUCANO</w:t>
            </w:r>
          </w:p>
        </w:tc>
      </w:tr>
      <w:tr w:rsidR="00012324" w14:paraId="6400D717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E1323" w14:textId="77777777" w:rsidR="00012324" w:rsidRDefault="00717AE9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Dados do Processo</w:t>
            </w:r>
          </w:p>
        </w:tc>
      </w:tr>
      <w:tr w:rsidR="00012324" w14:paraId="66E9FBE1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88219" w14:textId="77777777" w:rsidR="00012324" w:rsidRDefault="00717A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Órgão Responsável pela Contratação: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3AC68" w14:textId="77777777" w:rsidR="00012324" w:rsidRDefault="00717AE9">
            <w:pPr>
              <w:ind w:left="62" w:right="-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Instituto Federal do Sertão Pernambucano </w:t>
            </w:r>
            <w:r>
              <w:rPr>
                <w:rFonts w:ascii="Times New Roman" w:eastAsia="Times New Roman" w:hAnsi="Times New Roman" w:cs="Times New Roman"/>
              </w:rPr>
              <w:t>– Campus Ouricuri</w:t>
            </w:r>
          </w:p>
        </w:tc>
      </w:tr>
      <w:tr w:rsidR="00012324" w14:paraId="0C9009B6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0C85F" w14:textId="77777777" w:rsidR="00012324" w:rsidRDefault="00717A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Órgão Participante: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B1FD" w14:textId="77777777" w:rsidR="00012324" w:rsidRDefault="00717AE9">
            <w:pPr>
              <w:ind w:left="145" w:right="-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Instituto Federal do Sertão Pernambucano – Campus Petrolina</w:t>
            </w:r>
          </w:p>
        </w:tc>
      </w:tr>
      <w:tr w:rsidR="00012324" w14:paraId="3A4E1C4A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13395" w14:textId="77777777" w:rsidR="00012324" w:rsidRDefault="00717A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N°do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Processo: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491E7" w14:textId="77777777" w:rsidR="00012324" w:rsidRDefault="00717AE9">
            <w:pPr>
              <w:ind w:left="45" w:right="-5" w:hanging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-------</w:t>
            </w:r>
          </w:p>
        </w:tc>
      </w:tr>
    </w:tbl>
    <w:p w14:paraId="61A026C3" w14:textId="77777777" w:rsidR="00012324" w:rsidRDefault="00012324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012324" w14:paraId="75A21C79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E58C" w14:textId="77777777" w:rsidR="00012324" w:rsidRDefault="00717A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Normativos que disciplinam os serviços a serem contratados:</w:t>
            </w:r>
          </w:p>
        </w:tc>
      </w:tr>
      <w:tr w:rsidR="00012324" w14:paraId="5F4FE943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B4E62" w14:textId="77777777" w:rsidR="00012324" w:rsidRDefault="00717A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Constituição Federal da República Federativa do Brasil / 1988</w:t>
            </w:r>
          </w:p>
          <w:p w14:paraId="036AEC55" w14:textId="77777777" w:rsidR="00012324" w:rsidRDefault="00717A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Lei Federal Nº 8.078/1990 (dispõe sobre a proteção do consumidor e dá outras providências);</w:t>
            </w:r>
          </w:p>
          <w:p w14:paraId="37F92D7B" w14:textId="77777777" w:rsidR="00012324" w:rsidRDefault="00717A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Lei Federal Nº 8.666/1993 (Regulamenta o Art. 37, Inciso XXI, da Constituição Federal, institui normas para licitações e contratos da Administração Pública e dá outras providências);</w:t>
            </w:r>
          </w:p>
          <w:p w14:paraId="6D528ECA" w14:textId="77777777" w:rsidR="00012324" w:rsidRDefault="00717A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Decreto Federal Nº 3.555/2000 (Aprova o Regulamento para a modalidade de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licitação denominada pregão, para aquisição de bens e serviços comuns); </w:t>
            </w:r>
          </w:p>
          <w:p w14:paraId="133CC3B0" w14:textId="77777777" w:rsidR="00012324" w:rsidRDefault="00717A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Decreto Federal Nº 3.772/2001, alterado pelo Decreto Federal Nº 4.485/2002 (Regulamenta o Art. 34 da Lei Nº 8.666, de 21 de junho de 1993, e dispõe sobre o Sistema de Cadastramento Un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ificado de Fornecedores – SICAF);</w:t>
            </w:r>
          </w:p>
          <w:p w14:paraId="1D2BE46C" w14:textId="77777777" w:rsidR="00012324" w:rsidRDefault="00717A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Lei Federal Nº 10.520/2002 (Institui, no âmbito da União, Estados, Distrito Federal e Municípios, nos termos do Art. 37, Inciso XXI, da Constituição Federal, modalidade de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licitação denominada pregão, para aquisição de ben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 e serviços comuns, e dá outras providências);</w:t>
            </w:r>
          </w:p>
          <w:p w14:paraId="37E6C087" w14:textId="77777777" w:rsidR="00012324" w:rsidRDefault="00717A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Lei Complementar Nº 123/2006 (Institui o Estatuto Nacional da Microempresa e Empresa de Pequeno Porte; altera dispositivos das Leis Nº 8.212 e 8.213, ambas de 24 de julho de 1991, da Consolidação das Leis do Trabalho – CLT, aprovada pelo Decreto-Lei Nº 5.4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52 de 1º de maio de 1943, da Lei Nº 10.189, de 14 de fevereiro de 2001, da Lei Complementar Nº 63, de 11 de janeiro de 1990; e revoga as Leis Nº 9.317, de 5 de dezembro de 1996, e 9.841, de 5 de outubro de 1999);</w:t>
            </w:r>
          </w:p>
          <w:p w14:paraId="2A74C4D9" w14:textId="77777777" w:rsidR="00012324" w:rsidRDefault="00717A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Instrução Normativa Nº 01/2010 – SLTI/MPOG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(Dispõe sobre os critérios de sustentabilidade ambiental na aquisição de bens, contratação de serviços ou obras pela Administração Pública Federal direta, autárquica e fundacional e dá outras providências);</w:t>
            </w:r>
          </w:p>
          <w:p w14:paraId="5CB08F73" w14:textId="77777777" w:rsidR="00012324" w:rsidRDefault="00717A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Lei Federal Nº 12.527/2011 (Regula o acesso a inf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ormações previsto no inciso XXXIII do art. 5º, no inciso II do § 3º do art. 37 e no § 2º do art. 216 da Constituição Federal; altera a Lei nº 8.112, de 11 de dezembro de 1990; revoga a Lei nº 11.111, de 5 de maio de 2005, e dispositivos da Lei nº 8.159, de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 de janeiro de 1991; e dá outras providências);</w:t>
            </w:r>
          </w:p>
          <w:p w14:paraId="7C7C07B7" w14:textId="77777777" w:rsidR="00012324" w:rsidRDefault="00717A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Decreto Federal Nº 7.746/2012, alterado pelo Decreto Federal Nº 9.178/2017 (Regulamenta o art. 3º da Lei nº 8.666, de 21 de junho de 1993, para estabelecer critérios e práticas para a promoção do desenvolvi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mento nacional sustentável nas contratações realizadas pela administração pública federal direta, autárquica e fundacional e pelas empresas estatais dependentes, e institui a Comissão Interministerial de Sustentabilidade na Administração Pública – CISAP);</w:t>
            </w:r>
          </w:p>
          <w:p w14:paraId="3D40E89F" w14:textId="77777777" w:rsidR="00012324" w:rsidRDefault="00717A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Decreto Federal Nº 7.892/2013 (Regulamenta o Sistema de Registro de Preços previsto no art. 15 da Lei nº 8.666, de 21 de junho de 1993);</w:t>
            </w:r>
          </w:p>
          <w:p w14:paraId="7E290063" w14:textId="77777777" w:rsidR="00012324" w:rsidRDefault="00717A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Instrução Normativa Nº 05/2014 – SLTI/MPOG (alterada pela IN Nº 03/2017) (Dispõe sobre os procedimentos administrativos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básicos para a realização de pesquisa de preços para a aquisição de bens e contratação de serviços em geral);</w:t>
            </w:r>
          </w:p>
          <w:p w14:paraId="0600D400" w14:textId="77777777" w:rsidR="00012324" w:rsidRDefault="00717A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Decreto Federal Nº 8.538/2015 (Regulamenta o tratamento favorecido, diferenciado e simplificado para as microempresas, empresas de pequeno porte,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agricultores familiares, produtores rurais pessoa física, microempreendedores individuais e sociedades cooperativas de consumo nas contratações públicas de bens, serviços e obras no âmbito da administração pública federal);</w:t>
            </w:r>
          </w:p>
          <w:p w14:paraId="68D1A531" w14:textId="77777777" w:rsidR="00012324" w:rsidRDefault="00717A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Instrução Normativa Nº 05/2017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 SLTI/MPOG (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Dispõe sobre as regras e diretrizes do procedimento de contratação de serviços sob o regime de execução indireta no âmbito da Administração Pública federal direta, autárquica e fundacional);</w:t>
            </w:r>
          </w:p>
          <w:p w14:paraId="4DBB348C" w14:textId="77777777" w:rsidR="00012324" w:rsidRDefault="00717A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Decreto Federal Nº 9.507/2018 (Dispõe sobre a execuç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ão indireta, mediante contratação, de serviços da administração pública federal direta, autárquica e fundacional e das empresas públicas e das sociedades de economia mista controladas pela União);</w:t>
            </w:r>
          </w:p>
          <w:p w14:paraId="21DBC058" w14:textId="77777777" w:rsidR="00012324" w:rsidRDefault="00717A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Decreto Federal Nº 10.024/2019 (Regulamenta a licitação,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modalidade pregão, na forma eletrônica, para a aquisição de bens e contratação de serviços comuns, incluídos os serviços comuns de engenharia, e dispõe sobre o uso da dispensa eletrônica, no âmbito da administração pública federal).</w:t>
            </w:r>
          </w:p>
          <w:p w14:paraId="066EAF83" w14:textId="77777777" w:rsidR="00012324" w:rsidRDefault="00012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7B4A3C8" w14:textId="77777777" w:rsidR="00012324" w:rsidRDefault="00012324">
      <w:pPr>
        <w:rPr>
          <w:rFonts w:ascii="Times New Roman" w:eastAsia="Times New Roman" w:hAnsi="Times New Roman" w:cs="Times New Roman"/>
          <w:b/>
        </w:rPr>
      </w:pPr>
    </w:p>
    <w:p w14:paraId="07FBED7A" w14:textId="77777777" w:rsidR="00012324" w:rsidRDefault="00012324">
      <w:pPr>
        <w:rPr>
          <w:rFonts w:ascii="Times New Roman" w:eastAsia="Times New Roman" w:hAnsi="Times New Roman" w:cs="Times New Roman"/>
          <w:b/>
        </w:rPr>
      </w:pPr>
    </w:p>
    <w:tbl>
      <w:tblPr>
        <w:tblStyle w:val="a1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012324" w14:paraId="239D117C" w14:textId="77777777">
        <w:trPr>
          <w:trHeight w:val="40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0F2D" w14:textId="77777777" w:rsidR="00012324" w:rsidRDefault="00717A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Análise das Contratações Anteriores</w:t>
            </w:r>
          </w:p>
        </w:tc>
      </w:tr>
      <w:tr w:rsidR="00012324" w14:paraId="5B04A60A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4773F" w14:textId="77777777" w:rsidR="00012324" w:rsidRDefault="0071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contratação do serviço de manutenção preventiva e corretiva de equipamentos de refrigeração, com eventual substituição de peças, tais como condicionadores de ar, refrigeradores, bebedouros, entre outros, com dados consolidados, no campus Petrolina remont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ao ano de 2014, quando foi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ajustado o contato nº 21/2014, com a empresa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Mult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Técnica Assistência Técnica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Odonto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Hospitalar Ltda, CNPJ nº 14.081201/0001-75 com vigência iniciada em 24/08/2014 e encerrada em 23/08/2015, processo nº 23415.000389/2014-21. </w:t>
            </w:r>
          </w:p>
          <w:p w14:paraId="354F8461" w14:textId="77777777" w:rsidR="00012324" w:rsidRDefault="00012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964492" w14:textId="77777777" w:rsidR="00012324" w:rsidRDefault="0071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Posteriormente foi ajustado o contato nº 02/2016, com a empresa SERVCLIMA - ALC COMERCIO E SERVIÇOS LTDA ME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inscrita no CNPJ sob o nº 18.336.698/0001-86 com vigência iniciada em 07/04/2016 e encerrada em 06/04/2020, processo nº 23415.000166/2016-25.</w:t>
            </w:r>
          </w:p>
          <w:p w14:paraId="0DD16BE2" w14:textId="77777777" w:rsidR="00012324" w:rsidRDefault="00012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6248496" w14:textId="77777777" w:rsidR="00012324" w:rsidRDefault="0071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dois casos foram executados serviços diversos, mediante chamado, havendo em relação à primeira contratada, alguns registros de atrasos pontuais na execução dos serviços, não resultado, todavia, em prejuízo para a Administração. </w:t>
            </w:r>
          </w:p>
          <w:p w14:paraId="31FF2CE9" w14:textId="77777777" w:rsidR="00012324" w:rsidRDefault="00012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6AA5E3" w14:textId="77777777" w:rsidR="00012324" w:rsidRDefault="0071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Além do serviço realizado mediante chamado, havia também o serviço de manutenção preventiva mediante prévia programação. </w:t>
            </w:r>
          </w:p>
          <w:p w14:paraId="076AB4A2" w14:textId="77777777" w:rsidR="00012324" w:rsidRDefault="0071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 tocante a atuação das empresas, de modo geral, pode ser relatada que executaram o contrato de modo satisfatório e eficiente, com a devida observação de suas cláusulas e dos prazos estabelecidos, não havendo registro de falhas graves com disposição para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desabonar a capacidade e responsabilidade das empresas, com as obrigações assumidas. </w:t>
            </w:r>
          </w:p>
          <w:p w14:paraId="23A0630D" w14:textId="77777777" w:rsidR="00012324" w:rsidRDefault="0071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Não é demais ressaltar que na execução dos contratos, as empresas aprestaram aptidão e capacidade para à execução de suas atribuições, sendo tendido o interesse coletivo.</w:t>
            </w:r>
          </w:p>
        </w:tc>
      </w:tr>
    </w:tbl>
    <w:p w14:paraId="5C62AFF0" w14:textId="77777777" w:rsidR="00012324" w:rsidRDefault="00012324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012324" w14:paraId="324A1D86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47004" w14:textId="77777777" w:rsidR="00012324" w:rsidRDefault="00717A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Necessidade da Contratação</w:t>
            </w:r>
          </w:p>
        </w:tc>
      </w:tr>
      <w:tr w:rsidR="00012324" w14:paraId="22942029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B6FE0" w14:textId="77777777" w:rsidR="00012324" w:rsidRDefault="0071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contratação de empresa especializada para prestação de serviço de manutenção preventiva e corretiva de sistemas de refrigeração, aparelhos condicionadores de ar e demais equipamentos de refrigeração se apresenta como essencial para o pleno funcionamento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das atividades acadêmicas e de rotina do Campus Petrolina. Em virtude do clima semiárido da nossa região, onde as temperaturas chegam próximas aos 40° nos meses mais quentes, o uso dos aparelhos condicionadores de ar pela comunidade escolar é quase que imp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erativo. O conforto térmico proporciona aos alunos uma melhor aprendizagem em sala de aula, assim como condiciona uma melhor produtividade na execução das atividades de docentes e técnicos administrativos. A utilização de equipamentos que fazem a refrigera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ção da água, para alunos e servidores, também se faz importante, sobretudo nos meses mais quentes, para isso, é preciso manter em dia a manutenção e limpeza de bebedouros, refrigeradores e frigobares pertencentes aos setores do Campus. Para viabilizar a ma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nutenção de estoques de gêneros alimentícios que abastecem a merenda escolar, é importante que se monitore o pleno funcionamento das câmaras frias. Cabe ressaltar também a utilização de equipamentos de refrigeração nos laboratórios existentes no Campus, ap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arelhos que auxiliam nas atividades práticas, aulas e desenvolvimento de pesquisas nas dependências do Campus Petrolina. Diante de todos os argumentos expostos, faz-se necessária a contratação de empresa especializada em manutenção de equipamentos de refri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geração, uma vez que a falta de manutenção e os defeitos imprevistos podem comprometer a qualidade do trabalho dos servidores, a qualidade da aprendizagem dos alunos em sala de aula, o acondicionamento de gêneros adquiridos para abastecimento da merenda es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colar e as atividades de pesquisa e extensão desenvolvidas por alunos e professores.</w:t>
            </w:r>
          </w:p>
          <w:p w14:paraId="2EDFC82E" w14:textId="77777777" w:rsidR="00012324" w:rsidRDefault="00012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A0F6473" w14:textId="77777777" w:rsidR="00012324" w:rsidRDefault="0071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execução deste serviço está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respaldado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no Art. 14, IN 05/2017:</w:t>
            </w:r>
          </w:p>
          <w:p w14:paraId="1B8D8485" w14:textId="77777777" w:rsidR="00012324" w:rsidRDefault="00012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F2195A5" w14:textId="77777777" w:rsidR="00012324" w:rsidRDefault="0071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“Art. 14. Os serviços considerados comuns são aqueles cujos padrões de desempenho e qualidade possam ser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objetivamente definidos pelo ato convocatório, por meio de especificações usuais do mercado.</w:t>
            </w:r>
          </w:p>
          <w:p w14:paraId="66769EAD" w14:textId="77777777" w:rsidR="00012324" w:rsidRDefault="00012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FB2347A" w14:textId="77777777" w:rsidR="00012324" w:rsidRDefault="0071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Parágrafo único. Independentemente de sua complexidade, os serviços podem ser enquadrados na condição de serviços comuns, desde que atendam aos requisitos dispos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tos no caput deste artigo.”</w:t>
            </w:r>
          </w:p>
        </w:tc>
      </w:tr>
    </w:tbl>
    <w:p w14:paraId="27A297D8" w14:textId="77777777" w:rsidR="00012324" w:rsidRDefault="00012324">
      <w:pPr>
        <w:rPr>
          <w:rFonts w:ascii="Times New Roman" w:eastAsia="Times New Roman" w:hAnsi="Times New Roman" w:cs="Times New Roman"/>
          <w:b/>
        </w:rPr>
      </w:pPr>
    </w:p>
    <w:p w14:paraId="23A7EFDE" w14:textId="77777777" w:rsidR="00012324" w:rsidRDefault="00012324">
      <w:pPr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012324" w14:paraId="1DE4629F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9EC8A" w14:textId="77777777" w:rsidR="00012324" w:rsidRDefault="00717A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Referência ao Plano de Desenvolvimento Institucional do IFSERTÃO-PE e demais instrumentos de planejamento</w:t>
            </w:r>
          </w:p>
        </w:tc>
      </w:tr>
      <w:tr w:rsidR="00012324" w14:paraId="1682EDA9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243C" w14:textId="77777777" w:rsidR="00012324" w:rsidRDefault="0071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 PDI 2019-2023 do IF SERTÃO-PE, aborda, entre outros aspectos, a melhoria contínua das condições de infraestrutura do Campus Petrolina para alunos e servidores, uma vez que o documento atesta a necessidade da implementação dessas ações, no sentido de otim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izar a qualidade e eficiência do trabalho dos servidores e o rendimento escolar dos discentes. Dessa forma, buscando manter a climatização dos espaços utilizados pela comunidade escolar, assim como realizar reparos preventivos e corretivos necessários ao 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elhor funcionamento dos equipamentos de refrigeração pertencentes à carga patrimonial do Campus, que auxiliam de maneira essencial na realização de aulas práticas, e atividades de pesquisa e extensão, nos laboratórios e demais espaços de atividades prática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 existentes no Campus. Cabe ressaltar que a demanda referente a esta contratação foi devidamente lançada no Plano Geral de Contratações – PGC – do Campus, orientado, do ponto de vista orçamentário e financeiro, pela contratação anterior (cuja vigência foi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encerrada no último mês de abril de 2020).</w:t>
            </w:r>
          </w:p>
        </w:tc>
      </w:tr>
    </w:tbl>
    <w:p w14:paraId="37E43A65" w14:textId="77777777" w:rsidR="00012324" w:rsidRDefault="00012324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4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012324" w14:paraId="4338A342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111E7" w14:textId="77777777" w:rsidR="00012324" w:rsidRDefault="00717A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Estimativas das Quantidades</w:t>
            </w:r>
          </w:p>
        </w:tc>
      </w:tr>
      <w:tr w:rsidR="00012324" w14:paraId="082EDD62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BFABB" w14:textId="77777777" w:rsidR="00012324" w:rsidRDefault="0071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 Departamento de Administração do Campus Petrolina anexou ao projeto da contratação (no Documento de Formalização da Demanda) a lista completa de equipamentos que serão cobertos pela presente contratação. São aparelhos condicionadores de ar, modelo Split;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refrigeradores; bebedouros, frigobares, câmaras frias e equipamentos específicos para refrigeração. Os reparos deverão ser previstos, tanto para atividades preventivas quanto corretivas, com eventual substituição de peças e utilização de mão de obra espec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ializada em cada linha de equipamento específica, nos moldes que serão delimitados no Termo de Referência ou Projeto Básico que norteará a contratação em destaque. </w:t>
            </w:r>
          </w:p>
        </w:tc>
      </w:tr>
    </w:tbl>
    <w:p w14:paraId="08EFBF6A" w14:textId="77777777" w:rsidR="00012324" w:rsidRDefault="00012324">
      <w:pPr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012324" w14:paraId="35F0245E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EEB92" w14:textId="77777777" w:rsidR="00012324" w:rsidRDefault="0071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 Resultados Pretendidos em termos de Economicidade e melhor aproveitamento dos Recursos humanos, materiais ou financeiros disponíveis</w:t>
            </w:r>
          </w:p>
        </w:tc>
      </w:tr>
      <w:tr w:rsidR="00012324" w14:paraId="1D60F4B2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00C61" w14:textId="77777777" w:rsidR="00012324" w:rsidRDefault="0071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 a contratação ora pretendida, a administração pretende atingir os seguintes resultados:</w:t>
            </w:r>
          </w:p>
          <w:p w14:paraId="74D7C418" w14:textId="77777777" w:rsidR="00012324" w:rsidRDefault="00717A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Manter a qualidade na prestação dos serviços de ensino, pesquisa e extensão, garantindo o conforto térmico e melhores condições ambientais aos entes da comunidade escolar;</w:t>
            </w:r>
          </w:p>
          <w:p w14:paraId="148ACB47" w14:textId="77777777" w:rsidR="00012324" w:rsidRDefault="00717A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Obter maior economicidade em razão da realização de manutenções preventivas periódic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as, conforme a indicação dos fabricantes dos equipamentos cobertos pelo contrato;</w:t>
            </w:r>
          </w:p>
          <w:p w14:paraId="2BA50E54" w14:textId="77777777" w:rsidR="00012324" w:rsidRDefault="00717A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Zelar pela conservação dos equipamentos de refrigeração do Campus, elevando-se a vida útil dos mesmos e diminuindo os gastos com novas aquisições de equipamentos de refrigera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ção;</w:t>
            </w:r>
          </w:p>
          <w:p w14:paraId="76237472" w14:textId="77777777" w:rsidR="00012324" w:rsidRDefault="00717A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Garantir a conservação adequada dos alimentos utilizados pelo restaurante institucional, buscando a segurança alimentar dos comensais;</w:t>
            </w:r>
          </w:p>
          <w:p w14:paraId="493721A4" w14:textId="77777777" w:rsidR="00012324" w:rsidRDefault="00717A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Ampliar a qualidade das pesquisas realizadas nos laboratórios e das aulas práticas desenvolvidas nos demais ambientes, no que diz respeito à necessidade de refrigeração de insumos e produtos elaborados;</w:t>
            </w:r>
          </w:p>
          <w:p w14:paraId="63125D87" w14:textId="77777777" w:rsidR="00012324" w:rsidRDefault="00717A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Economicidade ao colocar os itens em lotes, se for 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caso, visando a contratação de uma só empresa, gerando dinamismo e rapidez no atendimento a demanda e,</w:t>
            </w:r>
          </w:p>
          <w:p w14:paraId="529AF2C9" w14:textId="77777777" w:rsidR="00012324" w:rsidRDefault="00717A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Garantir a boa execução dos serviços, com uma fiscalização adequada sempre com base nos princípios de eficiência, eficácia e efetividade, utilizando-se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omo base os servidores que participam neste momento do planejamento da contratação.</w:t>
            </w:r>
          </w:p>
        </w:tc>
      </w:tr>
    </w:tbl>
    <w:p w14:paraId="2B9804D1" w14:textId="77777777" w:rsidR="00012324" w:rsidRDefault="00012324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6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012324" w14:paraId="76941A27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D8997" w14:textId="77777777" w:rsidR="00012324" w:rsidRDefault="0071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8. Providências para Adequação do Ambiente do Órgão</w:t>
            </w:r>
          </w:p>
        </w:tc>
      </w:tr>
      <w:tr w:rsidR="00012324" w14:paraId="1341D56A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4222" w14:textId="77777777" w:rsidR="00012324" w:rsidRDefault="0071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Não serão necessárias adequações nos ambientes do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Campus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Petrolina, uma vez que a prestação de serviços de manutenção preventiva e corretiva de condicionadores de ar, câmaras frias e do equipamento de refrigeração necessariamente serão realizados nas dependências do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Campus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os demais equipamentos, caso haja ne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cessidade, poderão ser levados para manutenção em outros ambientes, após assinatura de termo de responsabilidade emitido pela Coordenação de Administração e Serviços Auxiliares onde constará data da saída e o prazo para retorno do mesmo às dependências do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Campus, que versará em concordância com o Termo de Referência ou Projeto Básico. Caso a empresa contratada entenda que a manutenção possa ser feita nas dependências do Campus, a Coordenação em destaque propiciará à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mesma condições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infraestrutura para re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alização do serviço, cabendo à empresa o porte de todos os insumos, ferramentas e mão de obra necessárias.</w:t>
            </w:r>
          </w:p>
        </w:tc>
      </w:tr>
    </w:tbl>
    <w:p w14:paraId="5FA50CC9" w14:textId="77777777" w:rsidR="00012324" w:rsidRDefault="00012324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7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012324" w14:paraId="44C0E2EB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86D95" w14:textId="77777777" w:rsidR="00012324" w:rsidRDefault="0071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9. Contratações Correlatas e/ou Interdependentes</w:t>
            </w:r>
          </w:p>
        </w:tc>
      </w:tr>
      <w:tr w:rsidR="00012324" w14:paraId="1BB626D0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E1987" w14:textId="77777777" w:rsidR="00012324" w:rsidRDefault="0071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Não há nenhuma contratação que seja correlata ou interdependente ao serviço de manutenção preventiva e corretiva de aparelhos de condicionamento de ar e demais equipamentos de refrigeração.</w:t>
            </w:r>
          </w:p>
        </w:tc>
      </w:tr>
    </w:tbl>
    <w:p w14:paraId="35FBBA14" w14:textId="77777777" w:rsidR="00012324" w:rsidRDefault="00012324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8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8671"/>
      </w:tblGrid>
      <w:tr w:rsidR="00012324" w14:paraId="4781C4B3" w14:textId="7777777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E53CE" w14:textId="77777777" w:rsidR="00012324" w:rsidRDefault="0071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10. Declaração da Viabilidade ou não da Contratação</w:t>
            </w:r>
          </w:p>
        </w:tc>
      </w:tr>
      <w:tr w:rsidR="00012324" w14:paraId="0CFDFC12" w14:textId="7777777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3F013" w14:textId="77777777" w:rsidR="00012324" w:rsidRDefault="0071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 base nos elementos anteriores elencados neste Estudo Preliminar, e Equipe de Contratação declara que:</w:t>
            </w:r>
          </w:p>
        </w:tc>
      </w:tr>
      <w:tr w:rsidR="00012324" w14:paraId="15A2FDD9" w14:textId="77777777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F8FD" w14:textId="77777777" w:rsidR="00012324" w:rsidRDefault="0071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BA918" w14:textId="77777777" w:rsidR="00012324" w:rsidRDefault="0071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É viável a contratação</w:t>
            </w:r>
          </w:p>
        </w:tc>
      </w:tr>
      <w:tr w:rsidR="00012324" w14:paraId="4B8114CA" w14:textId="77777777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138B0" w14:textId="77777777" w:rsidR="00012324" w:rsidRDefault="00012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87D05" w14:textId="77777777" w:rsidR="00012324" w:rsidRDefault="0071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É inviável a contratação</w:t>
            </w:r>
          </w:p>
        </w:tc>
      </w:tr>
      <w:tr w:rsidR="00012324" w14:paraId="5EFDC452" w14:textId="7777777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75968" w14:textId="77777777" w:rsidR="00012324" w:rsidRDefault="00012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86159F3" w14:textId="77777777" w:rsidR="00012324" w:rsidRDefault="00012324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9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012324" w14:paraId="689A09E4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4A926" w14:textId="77777777" w:rsidR="00012324" w:rsidRDefault="0071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11. Fiscalização do Contrato</w:t>
            </w:r>
          </w:p>
        </w:tc>
      </w:tr>
      <w:tr w:rsidR="00012324" w14:paraId="0C28B495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A7007" w14:textId="77777777" w:rsidR="00012324" w:rsidRDefault="0071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fiscalização do contrato será designada, por meio de portaria, nos moldes designados pela Instrução Normativa Nº 05/2017, tendo como base a equipe de planejamento da contratação informada no documento de oficialização da demanda.</w:t>
            </w:r>
          </w:p>
        </w:tc>
      </w:tr>
    </w:tbl>
    <w:p w14:paraId="10A46B4F" w14:textId="77777777" w:rsidR="00012324" w:rsidRDefault="00012324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a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012324" w14:paraId="60E9D102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56B80" w14:textId="77777777" w:rsidR="00012324" w:rsidRDefault="0071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12. Acesso à Informaçã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</w:t>
            </w:r>
          </w:p>
        </w:tc>
      </w:tr>
      <w:tr w:rsidR="00012324" w14:paraId="0C3827C5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42CD2" w14:textId="77777777" w:rsidR="00012324" w:rsidRDefault="0071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Concordante com a Lei Federal Nº 12.527, de 18 de novembro de 2011, Lei de Acesso à Informação, a equipe de planejamento entende que as informações contidas no presente Estudo Preliminar DEVERÃO ESTAR DISPONÍVEIS para qualquer interessado, uma vez que não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 caracterizam como sigilosas.</w:t>
            </w:r>
          </w:p>
        </w:tc>
      </w:tr>
    </w:tbl>
    <w:p w14:paraId="615A5BE0" w14:textId="77777777" w:rsidR="00012324" w:rsidRDefault="00012324">
      <w:pPr>
        <w:jc w:val="center"/>
        <w:rPr>
          <w:rFonts w:ascii="Times New Roman" w:eastAsia="Times New Roman" w:hAnsi="Times New Roman" w:cs="Times New Roman"/>
          <w:b/>
        </w:rPr>
      </w:pPr>
    </w:p>
    <w:p w14:paraId="628379C3" w14:textId="77777777" w:rsidR="00012324" w:rsidRDefault="00012324">
      <w:pPr>
        <w:jc w:val="right"/>
        <w:rPr>
          <w:rFonts w:ascii="Times New Roman" w:eastAsia="Times New Roman" w:hAnsi="Times New Roman" w:cs="Times New Roman"/>
          <w:b/>
        </w:rPr>
      </w:pPr>
    </w:p>
    <w:p w14:paraId="68E3226D" w14:textId="77777777" w:rsidR="00012324" w:rsidRDefault="00717AE9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Petrolina-PE, 16 de junho de 2020.</w:t>
      </w:r>
    </w:p>
    <w:p w14:paraId="6CACA1B6" w14:textId="77777777" w:rsidR="00012324" w:rsidRDefault="00012324">
      <w:pPr>
        <w:jc w:val="both"/>
        <w:rPr>
          <w:rFonts w:ascii="Times New Roman" w:eastAsia="Times New Roman" w:hAnsi="Times New Roman" w:cs="Times New Roman"/>
          <w:b/>
        </w:rPr>
      </w:pPr>
    </w:p>
    <w:p w14:paraId="35C4B575" w14:textId="77777777" w:rsidR="00012324" w:rsidRDefault="00012324">
      <w:pPr>
        <w:jc w:val="center"/>
        <w:rPr>
          <w:rFonts w:ascii="Times New Roman" w:eastAsia="Times New Roman" w:hAnsi="Times New Roman" w:cs="Times New Roman"/>
          <w:b/>
        </w:rPr>
      </w:pPr>
    </w:p>
    <w:p w14:paraId="56722A89" w14:textId="77777777" w:rsidR="00012324" w:rsidRDefault="00012324">
      <w:pPr>
        <w:jc w:val="center"/>
        <w:rPr>
          <w:rFonts w:ascii="Times New Roman" w:eastAsia="Times New Roman" w:hAnsi="Times New Roman" w:cs="Times New Roman"/>
          <w:b/>
        </w:rPr>
      </w:pPr>
    </w:p>
    <w:p w14:paraId="74D6AC39" w14:textId="77777777" w:rsidR="00012324" w:rsidRDefault="00717AE9">
      <w:pPr>
        <w:spacing w:after="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59593095" wp14:editId="49B1682B">
            <wp:extent cx="2087593" cy="517908"/>
            <wp:effectExtent l="0" t="0" r="8255" b="0"/>
            <wp:docPr id="3" name="image1.png" descr="https://lh4.googleusercontent.com/brKoO7HpIKV7SdDdmkyjnMkkel3jQNRnUhkCvMUivmkVdcYyhI81wCjnQ9QKrSTBCVKIElU4Hcf1ihCQdnRsuBvDxlKsYpRkJCXuimNFWXRGRbynL3epfzyt4Bva0O6cfiuNf6y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4.googleusercontent.com/brKoO7HpIKV7SdDdmkyjnMkkel3jQNRnUhkCvMUivmkVdcYyhI81wCjnQ9QKrSTBCVKIElU4Hcf1ihCQdnRsuBvDxlKsYpRkJCXuimNFWXRGRbynL3epfzyt4Bva0O6cfiuNf6yz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6027" cy="5274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99FA78" w14:textId="77777777" w:rsidR="00012324" w:rsidRDefault="00717AE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ERIVELTO ALMEIDA DE OLIVEIRA</w:t>
      </w:r>
    </w:p>
    <w:p w14:paraId="302ABFDC" w14:textId="77777777" w:rsidR="00012324" w:rsidRDefault="00717A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Mat. SIAPE: 2246297</w:t>
      </w:r>
    </w:p>
    <w:p w14:paraId="730F34D5" w14:textId="77777777" w:rsidR="00012324" w:rsidRDefault="00717A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Departamento de Administração</w:t>
      </w:r>
    </w:p>
    <w:p w14:paraId="296ACE62" w14:textId="77777777" w:rsidR="00012324" w:rsidRDefault="00717A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Campus Petrolina</w:t>
      </w:r>
    </w:p>
    <w:p w14:paraId="017C5AF3" w14:textId="77777777" w:rsidR="00012324" w:rsidRDefault="00012324">
      <w:pPr>
        <w:jc w:val="center"/>
        <w:rPr>
          <w:rFonts w:ascii="Times New Roman" w:eastAsia="Times New Roman" w:hAnsi="Times New Roman" w:cs="Times New Roman"/>
          <w:b/>
        </w:rPr>
      </w:pPr>
    </w:p>
    <w:p w14:paraId="1AB9CB7C" w14:textId="4B60442A" w:rsidR="00012324" w:rsidRDefault="00012324">
      <w:pPr>
        <w:jc w:val="center"/>
        <w:rPr>
          <w:rFonts w:ascii="Times New Roman" w:eastAsia="Times New Roman" w:hAnsi="Times New Roman" w:cs="Times New Roman"/>
          <w:b/>
        </w:rPr>
      </w:pPr>
    </w:p>
    <w:p w14:paraId="4723D1D4" w14:textId="77777777" w:rsidR="00FD652D" w:rsidRDefault="00FD652D">
      <w:pPr>
        <w:jc w:val="center"/>
        <w:rPr>
          <w:rFonts w:ascii="Times New Roman" w:eastAsia="Times New Roman" w:hAnsi="Times New Roman" w:cs="Times New Roman"/>
          <w:b/>
        </w:rPr>
      </w:pPr>
    </w:p>
    <w:p w14:paraId="64C01828" w14:textId="15E7EECE" w:rsidR="00012324" w:rsidRDefault="00FD652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3125CB90" wp14:editId="05795431">
            <wp:extent cx="2118236" cy="534837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500" cy="55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B72ED" w14:textId="77777777" w:rsidR="00012324" w:rsidRDefault="00717AE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PAULO TAVARES MATIAS DE ANDRADE</w:t>
      </w:r>
    </w:p>
    <w:p w14:paraId="4AA4AC83" w14:textId="77777777" w:rsidR="00012324" w:rsidRDefault="00717A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Mat. SIAPE: 1872359</w:t>
      </w:r>
    </w:p>
    <w:p w14:paraId="2A7B0332" w14:textId="77777777" w:rsidR="00012324" w:rsidRDefault="00717A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Direção de Administração e Planejamento</w:t>
      </w:r>
    </w:p>
    <w:p w14:paraId="4C365454" w14:textId="77777777" w:rsidR="00012324" w:rsidRDefault="00717A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Campus Petrolina</w:t>
      </w:r>
    </w:p>
    <w:p w14:paraId="5B4DF913" w14:textId="77777777" w:rsidR="00012324" w:rsidRDefault="00012324">
      <w:pPr>
        <w:jc w:val="center"/>
        <w:rPr>
          <w:rFonts w:ascii="Times New Roman" w:eastAsia="Times New Roman" w:hAnsi="Times New Roman" w:cs="Times New Roman"/>
          <w:b/>
        </w:rPr>
      </w:pPr>
    </w:p>
    <w:sectPr w:rsidR="00012324">
      <w:headerReference w:type="default" r:id="rId9"/>
      <w:pgSz w:w="11906" w:h="16838"/>
      <w:pgMar w:top="1134" w:right="1134" w:bottom="720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A2C1C" w14:textId="77777777" w:rsidR="00717AE9" w:rsidRDefault="00717AE9">
      <w:r>
        <w:separator/>
      </w:r>
    </w:p>
  </w:endnote>
  <w:endnote w:type="continuationSeparator" w:id="0">
    <w:p w14:paraId="65F66C0A" w14:textId="77777777" w:rsidR="00717AE9" w:rsidRDefault="0071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84FAC" w14:textId="77777777" w:rsidR="00717AE9" w:rsidRDefault="00717AE9">
      <w:r>
        <w:separator/>
      </w:r>
    </w:p>
  </w:footnote>
  <w:footnote w:type="continuationSeparator" w:id="0">
    <w:p w14:paraId="785B16DC" w14:textId="77777777" w:rsidR="00717AE9" w:rsidRDefault="00717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B2686" w14:textId="77777777" w:rsidR="00012324" w:rsidRDefault="00717AE9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rFonts w:ascii="Arial" w:eastAsia="Arial" w:hAnsi="Arial" w:cs="Arial"/>
        <w:b/>
        <w:color w:val="000000"/>
      </w:rPr>
      <w:t>MINISTÉRIO DA EDUCAÇÃO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6F609A4C" wp14:editId="680C452D">
          <wp:simplePos x="0" y="0"/>
          <wp:positionH relativeFrom="column">
            <wp:posOffset>2724785</wp:posOffset>
          </wp:positionH>
          <wp:positionV relativeFrom="paragraph">
            <wp:posOffset>-367029</wp:posOffset>
          </wp:positionV>
          <wp:extent cx="508635" cy="499110"/>
          <wp:effectExtent l="0" t="0" r="0" b="0"/>
          <wp:wrapTopAndBottom distT="0" dist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-237" t="-242" r="-238" b="-241"/>
                  <a:stretch>
                    <a:fillRect/>
                  </a:stretch>
                </pic:blipFill>
                <pic:spPr>
                  <a:xfrm>
                    <a:off x="0" y="0"/>
                    <a:ext cx="508635" cy="499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39C6BB05" wp14:editId="18018955">
          <wp:simplePos x="0" y="0"/>
          <wp:positionH relativeFrom="column">
            <wp:posOffset>-81914</wp:posOffset>
          </wp:positionH>
          <wp:positionV relativeFrom="paragraph">
            <wp:posOffset>-132079</wp:posOffset>
          </wp:positionV>
          <wp:extent cx="1380490" cy="360045"/>
          <wp:effectExtent l="0" t="0" r="0" b="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-70" t="-269" r="-69" b="-269"/>
                  <a:stretch>
                    <a:fillRect/>
                  </a:stretch>
                </pic:blipFill>
                <pic:spPr>
                  <a:xfrm>
                    <a:off x="0" y="0"/>
                    <a:ext cx="1380490" cy="36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A1E4E7" w14:textId="77777777" w:rsidR="00012324" w:rsidRDefault="00717AE9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rFonts w:ascii="Arial" w:eastAsia="Arial" w:hAnsi="Arial" w:cs="Arial"/>
        <w:b/>
        <w:color w:val="000000"/>
        <w:sz w:val="16"/>
        <w:szCs w:val="16"/>
      </w:rPr>
      <w:t>SECRETARIA DE EDUCAÇÃO PROFISSIONAL E TECNOLÓGICA</w:t>
    </w:r>
  </w:p>
  <w:p w14:paraId="25D7666F" w14:textId="77777777" w:rsidR="00012324" w:rsidRDefault="00717AE9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rFonts w:ascii="Arial" w:eastAsia="Arial" w:hAnsi="Arial" w:cs="Arial"/>
        <w:b/>
        <w:color w:val="000000"/>
        <w:sz w:val="16"/>
        <w:szCs w:val="16"/>
      </w:rPr>
      <w:t>INSTITUTO FEDERAL DE EDUCAÇÃO, CIÊNCIA E TECNOLOGIA DO SERTÃO PERNAMBUCANO – CAMPUS PETROLINA</w:t>
    </w:r>
  </w:p>
  <w:p w14:paraId="5381751C" w14:textId="77777777" w:rsidR="00012324" w:rsidRDefault="00717AE9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DIREÇÃO DE ADMINISTRAÇÃO E PLANEJAMENTO – DAP</w:t>
    </w:r>
  </w:p>
  <w:p w14:paraId="28768346" w14:textId="77777777" w:rsidR="00012324" w:rsidRDefault="00012324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A5986"/>
    <w:multiLevelType w:val="multilevel"/>
    <w:tmpl w:val="7514FB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6F3541"/>
    <w:multiLevelType w:val="multilevel"/>
    <w:tmpl w:val="5A142F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80400AF"/>
    <w:multiLevelType w:val="multilevel"/>
    <w:tmpl w:val="B314BC9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eastAsia="Arial" w:hAnsi="Arial" w:cs="Aria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eastAsia="Arial" w:hAnsi="Arial" w:cs="Arial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eastAsia="Arial" w:hAnsi="Arial" w:cs="Arial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eastAsia="Arial" w:hAnsi="Arial" w:cs="Arial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24"/>
    <w:rsid w:val="00012324"/>
    <w:rsid w:val="00717AE9"/>
    <w:rsid w:val="00E67DEB"/>
    <w:rsid w:val="00F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99CB"/>
  <w15:docId w15:val="{C8C728F0-2383-4429-A2E9-15BDCEA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2259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Adv. Paulo Tavares</cp:lastModifiedBy>
  <cp:revision>2</cp:revision>
  <dcterms:created xsi:type="dcterms:W3CDTF">2020-06-18T14:11:00Z</dcterms:created>
  <dcterms:modified xsi:type="dcterms:W3CDTF">2020-06-18T14:22:00Z</dcterms:modified>
</cp:coreProperties>
</file>